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C337D1">
      <w:pPr>
        <w:spacing w:line="480" w:lineRule="auto"/>
        <w:jc w:val="center"/>
        <w:rPr>
          <w:rFonts w:hint="default" w:ascii="Arial" w:hAnsi="Arial" w:cs="Arial"/>
          <w:sz w:val="36"/>
          <w:szCs w:val="36"/>
        </w:rPr>
      </w:pPr>
      <w:r>
        <w:rPr>
          <w:rFonts w:hint="default" w:ascii="Arial" w:hAnsi="Arial" w:cs="Arial"/>
          <w:sz w:val="36"/>
          <w:szCs w:val="36"/>
        </w:rPr>
        <w:t>Supplementary Materials for</w:t>
      </w:r>
    </w:p>
    <w:p w14:paraId="78113CE1">
      <w:pPr>
        <w:spacing w:line="480" w:lineRule="auto"/>
        <w:jc w:val="center"/>
        <w:rPr>
          <w:rFonts w:hint="default" w:ascii="Arial" w:hAnsi="Arial" w:cs="Arial"/>
          <w:b/>
          <w:sz w:val="28"/>
          <w:szCs w:val="28"/>
        </w:rPr>
      </w:pPr>
      <w:r>
        <w:rPr>
          <w:rFonts w:hint="default" w:ascii="Arial" w:hAnsi="Arial" w:cs="Arial"/>
          <w:b/>
          <w:sz w:val="28"/>
          <w:szCs w:val="28"/>
        </w:rPr>
        <w:t>Predicting survival benefits after immune checkpoint inhibitor therapy in hepatocellular carcinoma patients using a machine learning approach with circulating biomarkers and clinical features</w:t>
      </w:r>
    </w:p>
    <w:p w14:paraId="2E4A9D57">
      <w:pPr>
        <w:spacing w:line="480" w:lineRule="auto"/>
        <w:jc w:val="center"/>
        <w:rPr>
          <w:rFonts w:hint="default" w:ascii="Arial" w:hAnsi="Arial" w:cs="Arial"/>
          <w:color w:val="000000"/>
          <w:sz w:val="20"/>
          <w:szCs w:val="20"/>
          <w:vertAlign w:val="superscript"/>
        </w:rPr>
      </w:pPr>
      <w:r>
        <w:rPr>
          <w:rFonts w:hint="default" w:ascii="Arial" w:hAnsi="Arial" w:cs="Arial"/>
          <w:color w:val="000000"/>
          <w:sz w:val="20"/>
          <w:szCs w:val="20"/>
        </w:rPr>
        <w:t>Zhiyan Dai</w:t>
      </w:r>
      <w:r>
        <w:rPr>
          <w:rFonts w:hint="default" w:ascii="Arial" w:hAnsi="Arial" w:cs="Arial"/>
          <w:color w:val="000000"/>
          <w:sz w:val="20"/>
          <w:szCs w:val="20"/>
          <w:vertAlign w:val="superscript"/>
        </w:rPr>
        <w:t>1#</w:t>
      </w:r>
      <w:r>
        <w:rPr>
          <w:rFonts w:hint="default" w:ascii="Arial" w:hAnsi="Arial" w:cs="Arial"/>
          <w:color w:val="000000"/>
          <w:sz w:val="20"/>
          <w:szCs w:val="20"/>
        </w:rPr>
        <w:t>, Chao Chen</w:t>
      </w:r>
      <w:r>
        <w:rPr>
          <w:rFonts w:hint="default" w:ascii="Arial" w:hAnsi="Arial" w:cs="Arial"/>
          <w:color w:val="000000"/>
          <w:sz w:val="20"/>
          <w:szCs w:val="20"/>
          <w:vertAlign w:val="superscript"/>
        </w:rPr>
        <w:t>2, 3#</w:t>
      </w:r>
      <w:r>
        <w:rPr>
          <w:rFonts w:hint="default" w:ascii="Arial" w:hAnsi="Arial" w:cs="Arial"/>
          <w:color w:val="000000"/>
          <w:sz w:val="20"/>
          <w:szCs w:val="20"/>
        </w:rPr>
        <w:t>, Ziyan Zhou</w:t>
      </w:r>
      <w:r>
        <w:rPr>
          <w:rFonts w:hint="default" w:ascii="Arial" w:hAnsi="Arial" w:cs="Arial"/>
          <w:color w:val="000000"/>
          <w:sz w:val="20"/>
          <w:szCs w:val="20"/>
          <w:vertAlign w:val="superscript"/>
        </w:rPr>
        <w:t>1,2</w:t>
      </w:r>
      <w:r>
        <w:rPr>
          <w:rFonts w:hint="default" w:ascii="Arial" w:hAnsi="Arial" w:cs="Arial"/>
          <w:color w:val="000000"/>
          <w:sz w:val="20"/>
          <w:szCs w:val="20"/>
        </w:rPr>
        <w:t>, Mingzhen Zhou</w:t>
      </w:r>
      <w:r>
        <w:rPr>
          <w:rFonts w:hint="default" w:ascii="Arial" w:hAnsi="Arial" w:cs="Arial"/>
          <w:color w:val="000000"/>
          <w:sz w:val="20"/>
          <w:szCs w:val="20"/>
          <w:vertAlign w:val="superscript"/>
        </w:rPr>
        <w:t>1,2</w:t>
      </w:r>
      <w:r>
        <w:rPr>
          <w:rFonts w:hint="default" w:ascii="Arial" w:hAnsi="Arial" w:cs="Arial"/>
          <w:color w:val="000000"/>
          <w:sz w:val="20"/>
          <w:szCs w:val="20"/>
        </w:rPr>
        <w:t>, Zhengyao Xie</w:t>
      </w:r>
      <w:r>
        <w:rPr>
          <w:rFonts w:hint="default" w:ascii="Arial" w:hAnsi="Arial" w:cs="Arial"/>
          <w:color w:val="000000"/>
          <w:sz w:val="20"/>
          <w:szCs w:val="20"/>
          <w:vertAlign w:val="superscript"/>
        </w:rPr>
        <w:t>1</w:t>
      </w:r>
      <w:r>
        <w:rPr>
          <w:rFonts w:hint="default" w:ascii="Arial" w:hAnsi="Arial" w:cs="Arial"/>
          <w:color w:val="000000"/>
          <w:sz w:val="20"/>
          <w:szCs w:val="20"/>
        </w:rPr>
        <w:t>, Ziyao Liu</w:t>
      </w:r>
      <w:r>
        <w:rPr>
          <w:rFonts w:hint="default" w:ascii="Arial" w:hAnsi="Arial" w:cs="Arial"/>
          <w:color w:val="000000"/>
          <w:sz w:val="20"/>
          <w:szCs w:val="20"/>
          <w:vertAlign w:val="superscript"/>
        </w:rPr>
        <w:t>1</w:t>
      </w:r>
      <w:r>
        <w:rPr>
          <w:rFonts w:hint="default" w:ascii="Arial" w:hAnsi="Arial" w:cs="Arial"/>
          <w:color w:val="000000"/>
          <w:sz w:val="20"/>
          <w:szCs w:val="20"/>
        </w:rPr>
        <w:t>, Siyuan Liu</w:t>
      </w:r>
      <w:r>
        <w:rPr>
          <w:rFonts w:hint="default" w:ascii="Arial" w:hAnsi="Arial" w:cs="Arial"/>
          <w:color w:val="000000"/>
          <w:sz w:val="20"/>
          <w:szCs w:val="20"/>
          <w:vertAlign w:val="superscript"/>
        </w:rPr>
        <w:t>1</w:t>
      </w:r>
      <w:r>
        <w:rPr>
          <w:rFonts w:hint="default" w:ascii="Arial" w:hAnsi="Arial" w:cs="Arial"/>
          <w:color w:val="000000"/>
          <w:sz w:val="20"/>
          <w:szCs w:val="20"/>
        </w:rPr>
        <w:t>, Yiqiang Chen</w:t>
      </w:r>
      <w:r>
        <w:rPr>
          <w:rFonts w:hint="default" w:ascii="Arial" w:hAnsi="Arial" w:cs="Arial"/>
          <w:color w:val="000000"/>
          <w:sz w:val="20"/>
          <w:szCs w:val="20"/>
          <w:vertAlign w:val="superscript"/>
        </w:rPr>
        <w:t>1</w:t>
      </w:r>
      <w:r>
        <w:rPr>
          <w:rFonts w:hint="default" w:ascii="Arial" w:hAnsi="Arial" w:cs="Arial"/>
          <w:color w:val="000000"/>
          <w:sz w:val="20"/>
          <w:szCs w:val="20"/>
        </w:rPr>
        <w:t>, Jingjing Li</w:t>
      </w:r>
      <w:r>
        <w:rPr>
          <w:rFonts w:hint="default" w:ascii="Arial" w:hAnsi="Arial" w:cs="Arial"/>
          <w:color w:val="000000"/>
          <w:sz w:val="20"/>
          <w:szCs w:val="20"/>
          <w:vertAlign w:val="superscript"/>
        </w:rPr>
        <w:t>1</w:t>
      </w:r>
      <w:r>
        <w:rPr>
          <w:rFonts w:hint="default" w:ascii="Arial" w:hAnsi="Arial" w:cs="Arial"/>
          <w:color w:val="000000"/>
          <w:sz w:val="20"/>
          <w:szCs w:val="20"/>
        </w:rPr>
        <w:t>, Baorui Liu</w:t>
      </w:r>
      <w:r>
        <w:rPr>
          <w:rFonts w:hint="default" w:ascii="Arial" w:hAnsi="Arial" w:cs="Arial"/>
          <w:color w:val="000000"/>
          <w:sz w:val="20"/>
          <w:szCs w:val="20"/>
          <w:vertAlign w:val="superscript"/>
        </w:rPr>
        <w:t>2*</w:t>
      </w:r>
      <w:r>
        <w:rPr>
          <w:rFonts w:hint="default" w:ascii="Arial" w:hAnsi="Arial" w:cs="Arial"/>
          <w:color w:val="000000"/>
          <w:sz w:val="20"/>
          <w:szCs w:val="20"/>
        </w:rPr>
        <w:t>, Jie Shen</w:t>
      </w:r>
      <w:r>
        <w:rPr>
          <w:rFonts w:hint="default" w:ascii="Arial" w:hAnsi="Arial" w:cs="Arial"/>
          <w:color w:val="000000"/>
          <w:sz w:val="20"/>
          <w:szCs w:val="20"/>
          <w:vertAlign w:val="superscript"/>
        </w:rPr>
        <w:t>1,2*</w:t>
      </w:r>
    </w:p>
    <w:p w14:paraId="223EBBEB">
      <w:pPr>
        <w:spacing w:line="480" w:lineRule="auto"/>
        <w:jc w:val="center"/>
        <w:rPr>
          <w:rFonts w:hint="default" w:ascii="Arial" w:hAnsi="Arial" w:cs="Arial"/>
          <w:sz w:val="28"/>
          <w:szCs w:val="28"/>
          <w:lang w:eastAsia="zh-CN"/>
        </w:rPr>
      </w:pPr>
      <w:r>
        <w:rPr>
          <w:rFonts w:hint="default" w:ascii="Arial" w:hAnsi="Arial" w:cs="Arial"/>
          <w:szCs w:val="24"/>
        </w:rPr>
        <w:t>Corresponding authors: Jie Shen, shenjie2008nju@163.com; Baorui Liu</w:t>
      </w:r>
      <w:r>
        <w:rPr>
          <w:rFonts w:hint="default" w:ascii="Arial" w:hAnsi="Arial" w:cs="Arial"/>
          <w:szCs w:val="24"/>
          <w:lang w:eastAsia="zh-CN"/>
        </w:rPr>
        <w:t>,</w:t>
      </w:r>
      <w:r>
        <w:rPr>
          <w:rFonts w:hint="default" w:ascii="Arial" w:hAnsi="Arial" w:cs="Arial"/>
          <w:szCs w:val="24"/>
        </w:rPr>
        <w:t xml:space="preserve"> baoruiliu@nju.edu.cn</w:t>
      </w:r>
      <w:r>
        <w:rPr>
          <w:rFonts w:hint="default" w:ascii="Arial" w:hAnsi="Arial" w:cs="Arial"/>
          <w:szCs w:val="24"/>
          <w:lang w:eastAsia="zh-CN"/>
        </w:rPr>
        <w:t>.</w:t>
      </w:r>
    </w:p>
    <w:p w14:paraId="5BBBF32C">
      <w:pPr>
        <w:spacing w:line="360" w:lineRule="auto"/>
        <w:rPr>
          <w:rFonts w:hint="default" w:ascii="Arial" w:hAnsi="Arial" w:cs="Arial"/>
          <w:b/>
        </w:rPr>
      </w:pPr>
    </w:p>
    <w:p w14:paraId="6C62D11A">
      <w:pPr>
        <w:spacing w:line="480" w:lineRule="auto"/>
        <w:rPr>
          <w:rFonts w:hint="default" w:ascii="Arial" w:hAnsi="Arial" w:cs="Arial"/>
          <w:b/>
        </w:rPr>
      </w:pPr>
      <w:r>
        <w:rPr>
          <w:rFonts w:hint="default" w:ascii="Arial" w:hAnsi="Arial" w:cs="Arial"/>
          <w:b/>
        </w:rPr>
        <w:t>This Word file includes:</w:t>
      </w:r>
    </w:p>
    <w:p w14:paraId="79D9954B">
      <w:pPr>
        <w:spacing w:line="480" w:lineRule="auto"/>
        <w:ind w:left="720"/>
        <w:rPr>
          <w:rFonts w:hint="default" w:ascii="Arial" w:hAnsi="Arial" w:cs="Arial"/>
        </w:rPr>
      </w:pPr>
      <w:r>
        <w:rPr>
          <w:rFonts w:hint="default" w:ascii="Arial" w:hAnsi="Arial" w:cs="Arial"/>
        </w:rPr>
        <w:t xml:space="preserve">Supplementary Figure 1 to </w:t>
      </w:r>
      <w:r>
        <w:rPr>
          <w:rFonts w:hint="default" w:ascii="Arial" w:hAnsi="Arial" w:cs="Arial"/>
          <w:lang w:val="en-US" w:eastAsia="zh-CN"/>
        </w:rPr>
        <w:t>6</w:t>
      </w:r>
      <w:r>
        <w:rPr>
          <w:rFonts w:hint="default" w:ascii="Arial" w:hAnsi="Arial" w:cs="Arial"/>
        </w:rPr>
        <w:t>.</w:t>
      </w:r>
    </w:p>
    <w:p w14:paraId="19664CAD">
      <w:pPr>
        <w:rPr>
          <w:rFonts w:hint="default" w:ascii="Arial" w:hAnsi="Arial" w:cs="Arial"/>
        </w:rPr>
      </w:pPr>
      <w:r>
        <w:rPr>
          <w:rFonts w:hint="default" w:ascii="Arial" w:hAnsi="Arial" w:cs="Arial"/>
        </w:rPr>
        <w:br w:type="page"/>
      </w:r>
    </w:p>
    <w:p w14:paraId="07D3F7C4">
      <w:pPr>
        <w:spacing w:line="480" w:lineRule="auto"/>
        <w:ind w:left="720"/>
        <w:rPr>
          <w:rFonts w:hint="default" w:ascii="Arial" w:hAnsi="Arial" w:cs="Arial" w:eastAsiaTheme="minorEastAsia"/>
          <w:lang w:eastAsia="zh-CN"/>
        </w:rPr>
      </w:pPr>
      <w:r>
        <w:rPr>
          <w:rFonts w:hint="default" w:ascii="Arial" w:hAnsi="Arial" w:cs="Arial" w:eastAsiaTheme="minorEastAsia"/>
          <w:lang w:eastAsia="zh-CN"/>
        </w:rPr>
        <w:drawing>
          <wp:inline distT="0" distB="0" distL="114300" distR="114300">
            <wp:extent cx="5273040" cy="2387600"/>
            <wp:effectExtent l="0" t="0" r="3810" b="12700"/>
            <wp:docPr id="1" name="图片 1" descr="fig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 S1"/>
                    <pic:cNvPicPr>
                      <a:picLocks noChangeAspect="1"/>
                    </pic:cNvPicPr>
                  </pic:nvPicPr>
                  <pic:blipFill>
                    <a:blip r:embed="rId4"/>
                    <a:stretch>
                      <a:fillRect/>
                    </a:stretch>
                  </pic:blipFill>
                  <pic:spPr>
                    <a:xfrm>
                      <a:off x="0" y="0"/>
                      <a:ext cx="5273040" cy="2387600"/>
                    </a:xfrm>
                    <a:prstGeom prst="rect">
                      <a:avLst/>
                    </a:prstGeom>
                  </pic:spPr>
                </pic:pic>
              </a:graphicData>
            </a:graphic>
          </wp:inline>
        </w:drawing>
      </w:r>
    </w:p>
    <w:p w14:paraId="539F44EF">
      <w:pPr>
        <w:spacing w:line="360" w:lineRule="auto"/>
        <w:jc w:val="both"/>
        <w:rPr>
          <w:rFonts w:hint="eastAsia"/>
          <w:lang w:val="en-US" w:eastAsia="zh-CN"/>
        </w:rPr>
      </w:pPr>
      <w:r>
        <w:rPr>
          <w:rFonts w:hint="default" w:ascii="Arial" w:hAnsi="Arial" w:cs="Arial"/>
          <w:b/>
          <w:sz w:val="21"/>
          <w:szCs w:val="21"/>
        </w:rPr>
        <w:t>Supplementary Figure 1 (A) ROC curve and cut point for model with circulating biomarkers only. (B) ROC curve and cut point for model with circulating biomarkers and clinical features.</w:t>
      </w:r>
      <w:r>
        <w:rPr>
          <w:rFonts w:hint="eastAsia" w:ascii="Arial" w:hAnsi="Arial" w:cs="Arial"/>
          <w:b/>
          <w:sz w:val="21"/>
          <w:szCs w:val="21"/>
          <w:lang w:val="en-US" w:eastAsia="zh-CN"/>
        </w:rPr>
        <w:t xml:space="preserve"> </w:t>
      </w:r>
      <w:r>
        <w:rPr>
          <w:rFonts w:hint="default" w:ascii="Arial" w:hAnsi="Arial" w:cs="Arial"/>
          <w:b/>
        </w:rPr>
        <w:t>Abbreviations:</w:t>
      </w:r>
      <w:r>
        <w:rPr>
          <w:rFonts w:hint="eastAsia" w:ascii="Arial" w:hAnsi="Arial" w:cs="Arial"/>
          <w:b/>
          <w:lang w:val="en-US" w:eastAsia="zh-CN"/>
        </w:rPr>
        <w:t xml:space="preserve"> </w:t>
      </w:r>
      <w:r>
        <w:rPr>
          <w:rFonts w:hint="eastAsia"/>
          <w:lang w:val="en-US" w:eastAsia="zh-CN"/>
        </w:rPr>
        <w:t>ROC, Receiver operating characteristic; AUC, area under the curve.</w:t>
      </w:r>
    </w:p>
    <w:p w14:paraId="33298BE8">
      <w:pPr>
        <w:rPr>
          <w:rFonts w:hint="eastAsia"/>
          <w:lang w:val="en-US" w:eastAsia="zh-CN"/>
        </w:rPr>
      </w:pPr>
      <w:r>
        <w:rPr>
          <w:rFonts w:hint="eastAsia"/>
          <w:lang w:val="en-US" w:eastAsia="zh-CN"/>
        </w:rPr>
        <w:br w:type="page"/>
      </w:r>
    </w:p>
    <w:p w14:paraId="1AAB770A">
      <w:pPr>
        <w:spacing w:line="360" w:lineRule="auto"/>
        <w:jc w:val="both"/>
        <w:rPr>
          <w:rFonts w:hint="default" w:ascii="Arial" w:hAnsi="Arial" w:cs="Arial" w:eastAsiaTheme="minorEastAsia"/>
          <w:b/>
          <w:sz w:val="21"/>
          <w:szCs w:val="21"/>
          <w:lang w:val="en-US" w:eastAsia="zh-CN"/>
        </w:rPr>
      </w:pPr>
      <w:r>
        <w:rPr>
          <w:rFonts w:hint="eastAsia"/>
          <w:lang w:val="en-US" w:eastAsia="zh-CN"/>
        </w:rPr>
        <w:t xml:space="preserve"> </w:t>
      </w:r>
    </w:p>
    <w:p w14:paraId="4C79E00E">
      <w:pPr>
        <w:spacing w:line="480" w:lineRule="auto"/>
        <w:ind w:left="720"/>
        <w:rPr>
          <w:rFonts w:hint="default" w:ascii="Arial" w:hAnsi="Arial" w:cs="Arial" w:eastAsiaTheme="minorEastAsia"/>
          <w:lang w:eastAsia="zh-CN"/>
        </w:rPr>
      </w:pPr>
      <w:r>
        <w:rPr>
          <w:rFonts w:hint="default" w:ascii="Arial" w:hAnsi="Arial" w:cs="Arial" w:eastAsiaTheme="minorEastAsia"/>
          <w:lang w:eastAsia="zh-CN"/>
        </w:rPr>
        <w:drawing>
          <wp:inline distT="0" distB="0" distL="114300" distR="114300">
            <wp:extent cx="4971415" cy="5654040"/>
            <wp:effectExtent l="0" t="0" r="635" b="3810"/>
            <wp:docPr id="2" name="图片 2" descr="fig 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 S2"/>
                    <pic:cNvPicPr>
                      <a:picLocks noChangeAspect="1"/>
                    </pic:cNvPicPr>
                  </pic:nvPicPr>
                  <pic:blipFill>
                    <a:blip r:embed="rId5"/>
                    <a:stretch>
                      <a:fillRect/>
                    </a:stretch>
                  </pic:blipFill>
                  <pic:spPr>
                    <a:xfrm>
                      <a:off x="0" y="0"/>
                      <a:ext cx="4971415" cy="5654040"/>
                    </a:xfrm>
                    <a:prstGeom prst="rect">
                      <a:avLst/>
                    </a:prstGeom>
                  </pic:spPr>
                </pic:pic>
              </a:graphicData>
            </a:graphic>
          </wp:inline>
        </w:drawing>
      </w:r>
    </w:p>
    <w:p w14:paraId="5167BB1C">
      <w:pPr>
        <w:spacing w:line="360" w:lineRule="auto"/>
        <w:jc w:val="both"/>
        <w:rPr>
          <w:rFonts w:hint="default"/>
          <w:lang w:val="en-US" w:eastAsia="zh-CN"/>
        </w:rPr>
      </w:pPr>
      <w:r>
        <w:rPr>
          <w:rFonts w:hint="eastAsia" w:ascii="Arial" w:hAnsi="Arial" w:cs="Arial"/>
          <w:b/>
          <w:sz w:val="21"/>
          <w:szCs w:val="21"/>
        </w:rPr>
        <w:t xml:space="preserve">Supplementary Figure </w:t>
      </w:r>
      <w:r>
        <w:rPr>
          <w:rFonts w:hint="eastAsia" w:ascii="Arial" w:hAnsi="Arial" w:cs="Arial"/>
          <w:b/>
          <w:sz w:val="21"/>
          <w:szCs w:val="21"/>
          <w:lang w:val="en-US" w:eastAsia="zh-CN"/>
        </w:rPr>
        <w:t>2</w:t>
      </w:r>
      <w:r>
        <w:rPr>
          <w:rFonts w:hint="eastAsia" w:ascii="Arial" w:hAnsi="Arial" w:cs="Arial"/>
          <w:b/>
          <w:sz w:val="21"/>
          <w:szCs w:val="21"/>
        </w:rPr>
        <w:t xml:space="preserve"> </w:t>
      </w:r>
      <w:r>
        <w:rPr>
          <w:rFonts w:hint="default" w:ascii="Arial" w:hAnsi="Arial" w:cs="Arial"/>
          <w:b/>
          <w:sz w:val="21"/>
          <w:szCs w:val="21"/>
        </w:rPr>
        <w:t>Performance of the model using biomarker level</w:t>
      </w:r>
      <w:r>
        <w:rPr>
          <w:rFonts w:hint="eastAsia" w:ascii="Arial" w:hAnsi="Arial" w:cs="Arial"/>
          <w:b/>
          <w:sz w:val="21"/>
          <w:szCs w:val="21"/>
        </w:rPr>
        <w:t xml:space="preserve"> after treatment</w:t>
      </w:r>
      <w:r>
        <w:rPr>
          <w:rFonts w:hint="default" w:ascii="Arial" w:hAnsi="Arial" w:cs="Arial"/>
          <w:b/>
          <w:sz w:val="21"/>
          <w:szCs w:val="21"/>
        </w:rPr>
        <w:t xml:space="preserve">. (A) The importance of selected circulating biomarkers in the random forest model. </w:t>
      </w:r>
      <w:r>
        <w:rPr>
          <w:rFonts w:hint="eastAsia" w:ascii="Arial" w:hAnsi="Arial" w:cs="Arial"/>
          <w:b/>
          <w:sz w:val="21"/>
          <w:szCs w:val="21"/>
        </w:rPr>
        <w:t xml:space="preserve">Importance refers to the reciprocal of the minimal depth, which indicates how much influence the variable has on final decision. </w:t>
      </w:r>
      <w:r>
        <w:rPr>
          <w:rFonts w:hint="default" w:ascii="Arial" w:hAnsi="Arial" w:cs="Arial"/>
          <w:b/>
          <w:sz w:val="21"/>
          <w:szCs w:val="21"/>
        </w:rPr>
        <w:t>(B) C-index of the model for training and test cohorts. (C) ROC</w:t>
      </w:r>
      <w:r>
        <w:rPr>
          <w:rFonts w:hint="eastAsia" w:ascii="Arial" w:hAnsi="Arial" w:cs="Arial"/>
          <w:b/>
          <w:sz w:val="21"/>
          <w:szCs w:val="21"/>
          <w:lang w:val="en-US" w:eastAsia="zh-CN"/>
        </w:rPr>
        <w:t xml:space="preserve"> curve</w:t>
      </w:r>
      <w:r>
        <w:rPr>
          <w:rFonts w:hint="default" w:ascii="Arial" w:hAnsi="Arial" w:cs="Arial"/>
          <w:b/>
          <w:sz w:val="21"/>
          <w:szCs w:val="21"/>
        </w:rPr>
        <w:t xml:space="preserve"> of the model on test cohort; Kaplan–Meier curves for overall survival </w:t>
      </w:r>
      <w:r>
        <w:rPr>
          <w:rFonts w:hint="eastAsia" w:ascii="Arial" w:hAnsi="Arial" w:cs="Arial"/>
          <w:b/>
          <w:sz w:val="21"/>
          <w:szCs w:val="21"/>
        </w:rPr>
        <w:t xml:space="preserve">of </w:t>
      </w:r>
      <w:r>
        <w:rPr>
          <w:rFonts w:hint="default" w:ascii="Arial" w:hAnsi="Arial" w:cs="Arial"/>
          <w:b/>
          <w:sz w:val="21"/>
          <w:szCs w:val="21"/>
        </w:rPr>
        <w:t>“</w:t>
      </w:r>
      <w:r>
        <w:rPr>
          <w:rFonts w:hint="eastAsia" w:ascii="Arial" w:hAnsi="Arial" w:cs="Arial"/>
          <w:b/>
          <w:sz w:val="21"/>
          <w:szCs w:val="21"/>
        </w:rPr>
        <w:t>high risk</w:t>
      </w:r>
      <w:r>
        <w:rPr>
          <w:rFonts w:hint="default" w:ascii="Arial" w:hAnsi="Arial" w:cs="Arial"/>
          <w:b/>
          <w:sz w:val="21"/>
          <w:szCs w:val="21"/>
        </w:rPr>
        <w:t>”</w:t>
      </w:r>
      <w:r>
        <w:rPr>
          <w:rFonts w:hint="eastAsia" w:ascii="Arial" w:hAnsi="Arial" w:cs="Arial"/>
          <w:b/>
          <w:sz w:val="21"/>
          <w:szCs w:val="21"/>
        </w:rPr>
        <w:t xml:space="preserve"> and </w:t>
      </w:r>
      <w:r>
        <w:rPr>
          <w:rFonts w:hint="default" w:ascii="Arial" w:hAnsi="Arial" w:cs="Arial"/>
          <w:b/>
          <w:sz w:val="21"/>
          <w:szCs w:val="21"/>
        </w:rPr>
        <w:t>“</w:t>
      </w:r>
      <w:r>
        <w:rPr>
          <w:rFonts w:hint="eastAsia" w:ascii="Arial" w:hAnsi="Arial" w:cs="Arial"/>
          <w:b/>
          <w:sz w:val="21"/>
          <w:szCs w:val="21"/>
        </w:rPr>
        <w:t>low risk</w:t>
      </w:r>
      <w:r>
        <w:rPr>
          <w:rFonts w:hint="default" w:ascii="Arial" w:hAnsi="Arial" w:cs="Arial"/>
          <w:b/>
          <w:sz w:val="21"/>
          <w:szCs w:val="21"/>
        </w:rPr>
        <w:t>”</w:t>
      </w:r>
      <w:r>
        <w:rPr>
          <w:rFonts w:hint="eastAsia" w:ascii="Arial" w:hAnsi="Arial" w:cs="Arial"/>
          <w:b/>
          <w:sz w:val="21"/>
          <w:szCs w:val="21"/>
        </w:rPr>
        <w:t xml:space="preserve"> groups </w:t>
      </w:r>
      <w:r>
        <w:rPr>
          <w:rFonts w:hint="default" w:ascii="Arial" w:hAnsi="Arial" w:cs="Arial"/>
          <w:b/>
          <w:sz w:val="21"/>
          <w:szCs w:val="21"/>
        </w:rPr>
        <w:t>for training (D) and test (E) set.</w:t>
      </w:r>
      <w:r>
        <w:rPr>
          <w:rFonts w:hint="eastAsia" w:ascii="Arial" w:hAnsi="Arial" w:cs="Arial"/>
          <w:b/>
          <w:sz w:val="21"/>
          <w:szCs w:val="21"/>
        </w:rPr>
        <w:t xml:space="preserve"> The </w:t>
      </w:r>
      <w:r>
        <w:rPr>
          <w:rFonts w:hint="default" w:ascii="Arial" w:hAnsi="Arial" w:cs="Arial"/>
          <w:b/>
          <w:sz w:val="21"/>
          <w:szCs w:val="21"/>
        </w:rPr>
        <w:t>“</w:t>
      </w:r>
      <w:r>
        <w:rPr>
          <w:rFonts w:hint="eastAsia" w:ascii="Arial" w:hAnsi="Arial" w:cs="Arial"/>
          <w:b/>
          <w:sz w:val="21"/>
          <w:szCs w:val="21"/>
        </w:rPr>
        <w:t>high risk</w:t>
      </w:r>
      <w:r>
        <w:rPr>
          <w:rFonts w:hint="default" w:ascii="Arial" w:hAnsi="Arial" w:cs="Arial"/>
          <w:b/>
          <w:sz w:val="21"/>
          <w:szCs w:val="21"/>
        </w:rPr>
        <w:t>”</w:t>
      </w:r>
      <w:r>
        <w:rPr>
          <w:rFonts w:hint="eastAsia" w:ascii="Arial" w:hAnsi="Arial" w:cs="Arial"/>
          <w:b/>
          <w:sz w:val="21"/>
          <w:szCs w:val="21"/>
        </w:rPr>
        <w:t xml:space="preserve"> and </w:t>
      </w:r>
      <w:r>
        <w:rPr>
          <w:rFonts w:hint="default" w:ascii="Arial" w:hAnsi="Arial" w:cs="Arial"/>
          <w:b/>
          <w:sz w:val="21"/>
          <w:szCs w:val="21"/>
        </w:rPr>
        <w:t>“</w:t>
      </w:r>
      <w:r>
        <w:rPr>
          <w:rFonts w:hint="eastAsia" w:ascii="Arial" w:hAnsi="Arial" w:cs="Arial"/>
          <w:b/>
          <w:sz w:val="21"/>
          <w:szCs w:val="21"/>
        </w:rPr>
        <w:t>low risk</w:t>
      </w:r>
      <w:r>
        <w:rPr>
          <w:rFonts w:hint="default" w:ascii="Arial" w:hAnsi="Arial" w:cs="Arial"/>
          <w:b/>
          <w:sz w:val="21"/>
          <w:szCs w:val="21"/>
        </w:rPr>
        <w:t>”</w:t>
      </w:r>
      <w:r>
        <w:rPr>
          <w:rFonts w:hint="eastAsia" w:ascii="Arial" w:hAnsi="Arial" w:cs="Arial"/>
          <w:b/>
          <w:sz w:val="21"/>
          <w:szCs w:val="21"/>
        </w:rPr>
        <w:t xml:space="preserve"> groups were defined using cut-off value of risk score optimized by training set, the risk scores stand for risk of event occurrence.</w:t>
      </w:r>
      <w:r>
        <w:rPr>
          <w:rFonts w:hint="eastAsia" w:ascii="Arial" w:hAnsi="Arial" w:cs="Arial"/>
          <w:b/>
          <w:sz w:val="21"/>
          <w:szCs w:val="21"/>
          <w:lang w:val="en-US" w:eastAsia="zh-CN"/>
        </w:rPr>
        <w:t xml:space="preserve"> </w:t>
      </w:r>
      <w:r>
        <w:rPr>
          <w:rFonts w:hint="default" w:ascii="Arial" w:hAnsi="Arial" w:cs="Arial"/>
          <w:b/>
        </w:rPr>
        <w:t>Abbreviations:</w:t>
      </w:r>
      <w:r>
        <w:rPr>
          <w:rFonts w:hint="eastAsia" w:ascii="Arial" w:hAnsi="Arial" w:cs="Arial"/>
          <w:b/>
          <w:lang w:val="en-US" w:eastAsia="zh-CN"/>
        </w:rPr>
        <w:t xml:space="preserve"> </w:t>
      </w:r>
      <w:r>
        <w:rPr>
          <w:rFonts w:hint="eastAsia"/>
          <w:lang w:val="en-US" w:eastAsia="zh-CN"/>
        </w:rPr>
        <w:t>HGB, hemoglobin; LDH, lactate dehydrogenase; CRP, C-reactive protein; AFP, alpha-fetoprotein; INR, international normalized ratio; PIVKA-II, protein induced by vitamin K absence; ROC, Receiver operating characteristic; AUC, area under the curve.</w:t>
      </w:r>
    </w:p>
    <w:p w14:paraId="6BAC55F2">
      <w:pPr>
        <w:rPr>
          <w:rFonts w:hint="eastAsia" w:ascii="Arial" w:hAnsi="Arial" w:eastAsia="Arial Unicode MS" w:cs="Arial"/>
          <w:b/>
          <w:color w:val="000000"/>
          <w:sz w:val="20"/>
          <w:szCs w:val="20"/>
          <w:lang w:val="en-US" w:eastAsia="zh-CN"/>
        </w:rPr>
      </w:pPr>
      <w:r>
        <w:rPr>
          <w:rFonts w:hint="eastAsia" w:ascii="Arial" w:hAnsi="Arial" w:eastAsia="Arial Unicode MS" w:cs="Arial"/>
          <w:b/>
          <w:color w:val="000000"/>
          <w:sz w:val="20"/>
          <w:szCs w:val="20"/>
          <w:lang w:val="en-US" w:eastAsia="zh-CN"/>
        </w:rPr>
        <w:br w:type="page"/>
      </w:r>
    </w:p>
    <w:p w14:paraId="3DD1C777">
      <w:pPr>
        <w:spacing w:line="360" w:lineRule="auto"/>
        <w:jc w:val="left"/>
        <w:rPr>
          <w:rFonts w:hint="eastAsia" w:ascii="Arial" w:hAnsi="Arial" w:eastAsia="Arial Unicode MS" w:cs="Arial"/>
          <w:b/>
          <w:color w:val="000000"/>
          <w:sz w:val="20"/>
          <w:szCs w:val="20"/>
          <w:lang w:val="en-US" w:eastAsia="zh-CN"/>
        </w:rPr>
      </w:pPr>
    </w:p>
    <w:p w14:paraId="424A0590">
      <w:pPr>
        <w:spacing w:line="480" w:lineRule="auto"/>
        <w:ind w:left="720"/>
        <w:rPr>
          <w:rFonts w:hint="default" w:ascii="Arial" w:hAnsi="Arial" w:cs="Arial" w:eastAsiaTheme="minorEastAsia"/>
          <w:lang w:eastAsia="zh-CN"/>
        </w:rPr>
      </w:pPr>
      <w:r>
        <w:rPr>
          <w:rFonts w:hint="default" w:ascii="Arial" w:hAnsi="Arial" w:cs="Arial" w:eastAsiaTheme="minorEastAsia"/>
          <w:lang w:eastAsia="zh-CN"/>
        </w:rPr>
        <w:drawing>
          <wp:inline distT="0" distB="0" distL="114300" distR="114300">
            <wp:extent cx="4898390" cy="5791200"/>
            <wp:effectExtent l="0" t="0" r="16510" b="0"/>
            <wp:docPr id="3" name="图片 3" descr="fig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 S3"/>
                    <pic:cNvPicPr>
                      <a:picLocks noChangeAspect="1"/>
                    </pic:cNvPicPr>
                  </pic:nvPicPr>
                  <pic:blipFill>
                    <a:blip r:embed="rId6"/>
                    <a:stretch>
                      <a:fillRect/>
                    </a:stretch>
                  </pic:blipFill>
                  <pic:spPr>
                    <a:xfrm>
                      <a:off x="0" y="0"/>
                      <a:ext cx="4898390" cy="5791200"/>
                    </a:xfrm>
                    <a:prstGeom prst="rect">
                      <a:avLst/>
                    </a:prstGeom>
                  </pic:spPr>
                </pic:pic>
              </a:graphicData>
            </a:graphic>
          </wp:inline>
        </w:drawing>
      </w:r>
    </w:p>
    <w:p w14:paraId="46BDBA65">
      <w:pPr>
        <w:spacing w:line="360" w:lineRule="auto"/>
        <w:jc w:val="both"/>
        <w:rPr>
          <w:rFonts w:hint="default"/>
          <w:lang w:val="en-US" w:eastAsia="zh-CN"/>
        </w:rPr>
      </w:pPr>
      <w:r>
        <w:rPr>
          <w:rFonts w:hint="eastAsia" w:ascii="Arial" w:hAnsi="Arial" w:cs="Arial"/>
          <w:b/>
          <w:sz w:val="21"/>
          <w:szCs w:val="21"/>
        </w:rPr>
        <w:t xml:space="preserve">Supplementary Figure </w:t>
      </w:r>
      <w:r>
        <w:rPr>
          <w:rFonts w:hint="eastAsia" w:ascii="Arial" w:hAnsi="Arial" w:cs="Arial"/>
          <w:b/>
          <w:sz w:val="21"/>
          <w:szCs w:val="21"/>
          <w:lang w:val="en-US" w:eastAsia="zh-CN"/>
        </w:rPr>
        <w:t>3</w:t>
      </w:r>
      <w:r>
        <w:rPr>
          <w:rFonts w:hint="eastAsia" w:ascii="Arial" w:hAnsi="Arial" w:cs="Arial"/>
          <w:b/>
          <w:sz w:val="21"/>
          <w:szCs w:val="21"/>
        </w:rPr>
        <w:t xml:space="preserve"> Performance of the model using biomarker level after treatment. (A) The importance of selected circulating biomarkers in the random forest model. Importance refers to the reciprocal of the minimal depth, which indicates how much influence the variable has on final decision. (B) C-index of the model for training and test cohorts. (C) ROC</w:t>
      </w:r>
      <w:r>
        <w:rPr>
          <w:rFonts w:hint="eastAsia" w:ascii="Arial" w:hAnsi="Arial" w:cs="Arial"/>
          <w:b/>
          <w:sz w:val="21"/>
          <w:szCs w:val="21"/>
          <w:lang w:val="en-US" w:eastAsia="zh-CN"/>
        </w:rPr>
        <w:t xml:space="preserve"> curve</w:t>
      </w:r>
      <w:r>
        <w:rPr>
          <w:rFonts w:hint="eastAsia" w:ascii="Arial" w:hAnsi="Arial" w:cs="Arial"/>
          <w:b/>
          <w:sz w:val="21"/>
          <w:szCs w:val="21"/>
        </w:rPr>
        <w:t xml:space="preserve"> of the model on test cohort; Kaplan–Meier curves for overall survival of “high risk” and “low risk” groups for training (D) and test (E) set. The “high risk” and “low risk” groups were defined using cut-off value of risk score optimized by training set, the risk scores stand for risk of event occurrence.</w:t>
      </w:r>
      <w:r>
        <w:rPr>
          <w:rFonts w:hint="eastAsia" w:ascii="Arial" w:hAnsi="Arial" w:cs="Arial"/>
          <w:b/>
          <w:sz w:val="21"/>
          <w:szCs w:val="21"/>
          <w:lang w:val="en-US" w:eastAsia="zh-CN"/>
        </w:rPr>
        <w:t xml:space="preserve"> </w:t>
      </w:r>
      <w:r>
        <w:rPr>
          <w:rFonts w:hint="default" w:ascii="Arial" w:hAnsi="Arial" w:cs="Arial"/>
          <w:b/>
        </w:rPr>
        <w:t>Abbreviations:</w:t>
      </w:r>
      <w:r>
        <w:rPr>
          <w:rFonts w:hint="eastAsia" w:ascii="Arial" w:hAnsi="Arial" w:cs="Arial"/>
          <w:b/>
          <w:lang w:val="en-US" w:eastAsia="zh-CN"/>
        </w:rPr>
        <w:t xml:space="preserve"> </w:t>
      </w:r>
      <w:r>
        <w:rPr>
          <w:rFonts w:hint="eastAsia"/>
          <w:lang w:val="en-US" w:eastAsia="zh-CN"/>
        </w:rPr>
        <w:t>HGB, hemoglobin; LDH, lactate dehydrogenase; AFP, alpha-fetoprotein; CRP, C-reactive protein; ROC, Receiver operating characteristic; AUC, area under the curve.</w:t>
      </w:r>
    </w:p>
    <w:p w14:paraId="5499ECEC">
      <w:pPr>
        <w:rPr>
          <w:rFonts w:hint="eastAsia" w:ascii="Arial" w:hAnsi="Arial" w:eastAsia="Arial Unicode MS" w:cs="Arial"/>
          <w:b/>
          <w:color w:val="000000"/>
          <w:sz w:val="20"/>
          <w:szCs w:val="20"/>
          <w:lang w:val="en-US" w:eastAsia="zh-CN"/>
        </w:rPr>
      </w:pPr>
      <w:r>
        <w:rPr>
          <w:rFonts w:hint="eastAsia" w:ascii="Arial" w:hAnsi="Arial" w:eastAsia="Arial Unicode MS" w:cs="Arial"/>
          <w:b/>
          <w:color w:val="000000"/>
          <w:sz w:val="20"/>
          <w:szCs w:val="20"/>
          <w:lang w:val="en-US" w:eastAsia="zh-CN"/>
        </w:rPr>
        <w:br w:type="page"/>
      </w:r>
    </w:p>
    <w:p w14:paraId="1DBDF804">
      <w:pPr>
        <w:spacing w:line="360" w:lineRule="auto"/>
        <w:jc w:val="left"/>
        <w:rPr>
          <w:rFonts w:hint="eastAsia" w:ascii="Arial" w:hAnsi="Arial" w:eastAsia="Arial Unicode MS" w:cs="Arial"/>
          <w:b/>
          <w:color w:val="000000"/>
          <w:sz w:val="20"/>
          <w:szCs w:val="20"/>
          <w:lang w:val="en-US" w:eastAsia="zh-CN"/>
        </w:rPr>
      </w:pPr>
    </w:p>
    <w:p w14:paraId="539DC2FF">
      <w:pPr>
        <w:spacing w:line="480" w:lineRule="auto"/>
        <w:ind w:left="720"/>
        <w:rPr>
          <w:rFonts w:hint="default" w:ascii="Arial" w:hAnsi="Arial" w:cs="Arial" w:eastAsiaTheme="minorEastAsia"/>
          <w:lang w:eastAsia="zh-CN"/>
        </w:rPr>
      </w:pPr>
      <w:r>
        <w:rPr>
          <w:rFonts w:hint="default" w:ascii="Arial" w:hAnsi="Arial" w:cs="Arial" w:eastAsiaTheme="minorEastAsia"/>
          <w:lang w:eastAsia="zh-CN"/>
        </w:rPr>
        <w:drawing>
          <wp:inline distT="0" distB="0" distL="114300" distR="114300">
            <wp:extent cx="5273675" cy="6504940"/>
            <wp:effectExtent l="0" t="0" r="3175" b="10160"/>
            <wp:docPr id="4" name="图片 4" descr="fig 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 S4"/>
                    <pic:cNvPicPr>
                      <a:picLocks noChangeAspect="1"/>
                    </pic:cNvPicPr>
                  </pic:nvPicPr>
                  <pic:blipFill>
                    <a:blip r:embed="rId7"/>
                    <a:stretch>
                      <a:fillRect/>
                    </a:stretch>
                  </pic:blipFill>
                  <pic:spPr>
                    <a:xfrm>
                      <a:off x="0" y="0"/>
                      <a:ext cx="5273675" cy="6504940"/>
                    </a:xfrm>
                    <a:prstGeom prst="rect">
                      <a:avLst/>
                    </a:prstGeom>
                  </pic:spPr>
                </pic:pic>
              </a:graphicData>
            </a:graphic>
          </wp:inline>
        </w:drawing>
      </w:r>
    </w:p>
    <w:p w14:paraId="3F7EE137">
      <w:pPr>
        <w:spacing w:line="360" w:lineRule="auto"/>
        <w:jc w:val="both"/>
        <w:rPr>
          <w:rFonts w:hint="default"/>
          <w:lang w:val="en-US" w:eastAsia="zh-CN"/>
        </w:rPr>
      </w:pPr>
      <w:r>
        <w:rPr>
          <w:rFonts w:hint="eastAsia" w:ascii="Arial" w:hAnsi="Arial" w:cs="Arial"/>
          <w:b/>
          <w:sz w:val="21"/>
          <w:szCs w:val="21"/>
        </w:rPr>
        <w:t xml:space="preserve">Supplementary Figure </w:t>
      </w:r>
      <w:r>
        <w:rPr>
          <w:rFonts w:hint="eastAsia" w:ascii="Arial" w:hAnsi="Arial" w:cs="Arial"/>
          <w:b/>
          <w:sz w:val="21"/>
          <w:szCs w:val="21"/>
          <w:lang w:val="en-US" w:eastAsia="zh-CN"/>
        </w:rPr>
        <w:t>4</w:t>
      </w:r>
      <w:r>
        <w:rPr>
          <w:rFonts w:hint="eastAsia" w:ascii="Arial" w:hAnsi="Arial" w:cs="Arial"/>
          <w:b/>
          <w:sz w:val="21"/>
          <w:szCs w:val="21"/>
        </w:rPr>
        <w:t xml:space="preserve"> Differences of selected biomarkers level in high-risk and low-risk group in model with only circulating biomarkers.</w:t>
      </w:r>
      <w:r>
        <w:rPr>
          <w:rFonts w:hint="eastAsia" w:ascii="Arial" w:hAnsi="Arial" w:cs="Arial"/>
          <w:b/>
          <w:sz w:val="21"/>
          <w:szCs w:val="21"/>
          <w:lang w:val="en-US" w:eastAsia="zh-CN"/>
        </w:rPr>
        <w:t xml:space="preserve"> </w:t>
      </w:r>
      <w:r>
        <w:rPr>
          <w:rFonts w:hint="default" w:ascii="Arial" w:hAnsi="Arial" w:cs="Arial"/>
          <w:b/>
        </w:rPr>
        <w:t>Abbreviations:</w:t>
      </w:r>
      <w:r>
        <w:rPr>
          <w:rFonts w:hint="eastAsia" w:ascii="Arial" w:hAnsi="Arial" w:cs="Arial"/>
          <w:b/>
          <w:lang w:val="en-US" w:eastAsia="zh-CN"/>
        </w:rPr>
        <w:t xml:space="preserve"> </w:t>
      </w:r>
      <w:r>
        <w:rPr>
          <w:rFonts w:hint="eastAsia"/>
          <w:lang w:val="en-US" w:eastAsia="zh-CN"/>
        </w:rPr>
        <w:t>AFP, alpha-fetoprotein; CRP, C-reactive protein; HGB, hemoglobin; LDH, lactate dehydrogenase.</w:t>
      </w:r>
    </w:p>
    <w:p w14:paraId="1F2C61C0">
      <w:pPr>
        <w:rPr>
          <w:rFonts w:hint="default" w:ascii="Arial" w:hAnsi="Arial" w:eastAsia="Arial Unicode MS" w:cs="Arial"/>
          <w:b/>
          <w:color w:val="000000"/>
          <w:sz w:val="20"/>
          <w:szCs w:val="20"/>
          <w:lang w:val="en-US" w:eastAsia="zh-CN"/>
        </w:rPr>
      </w:pPr>
      <w:r>
        <w:rPr>
          <w:rFonts w:hint="default" w:ascii="Arial" w:hAnsi="Arial" w:eastAsia="Arial Unicode MS" w:cs="Arial"/>
          <w:b/>
          <w:color w:val="000000"/>
          <w:sz w:val="20"/>
          <w:szCs w:val="20"/>
          <w:lang w:val="en-US" w:eastAsia="zh-CN"/>
        </w:rPr>
        <w:br w:type="page"/>
      </w:r>
    </w:p>
    <w:p w14:paraId="6A80B4C4">
      <w:pPr>
        <w:spacing w:line="360" w:lineRule="auto"/>
        <w:jc w:val="left"/>
        <w:rPr>
          <w:rFonts w:hint="default" w:ascii="Arial" w:hAnsi="Arial" w:eastAsia="Arial Unicode MS" w:cs="Arial"/>
          <w:b/>
          <w:color w:val="000000"/>
          <w:sz w:val="20"/>
          <w:szCs w:val="20"/>
          <w:lang w:val="en-US" w:eastAsia="zh-CN"/>
        </w:rPr>
      </w:pPr>
    </w:p>
    <w:p w14:paraId="364763CA">
      <w:pPr>
        <w:spacing w:line="480" w:lineRule="auto"/>
        <w:ind w:left="720"/>
        <w:rPr>
          <w:rFonts w:hint="default" w:ascii="Arial" w:hAnsi="Arial" w:cs="Arial" w:eastAsiaTheme="minorEastAsia"/>
          <w:lang w:eastAsia="zh-CN"/>
        </w:rPr>
      </w:pPr>
      <w:r>
        <w:rPr>
          <w:rFonts w:hint="default" w:ascii="Arial" w:hAnsi="Arial" w:cs="Arial" w:eastAsiaTheme="minorEastAsia"/>
          <w:lang w:eastAsia="zh-CN"/>
        </w:rPr>
        <w:drawing>
          <wp:inline distT="0" distB="0" distL="114300" distR="114300">
            <wp:extent cx="5273675" cy="6504940"/>
            <wp:effectExtent l="0" t="0" r="3175" b="10160"/>
            <wp:docPr id="5" name="图片 5" descr="fig 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 S5"/>
                    <pic:cNvPicPr>
                      <a:picLocks noChangeAspect="1"/>
                    </pic:cNvPicPr>
                  </pic:nvPicPr>
                  <pic:blipFill>
                    <a:blip r:embed="rId8"/>
                    <a:stretch>
                      <a:fillRect/>
                    </a:stretch>
                  </pic:blipFill>
                  <pic:spPr>
                    <a:xfrm>
                      <a:off x="0" y="0"/>
                      <a:ext cx="5273675" cy="6504940"/>
                    </a:xfrm>
                    <a:prstGeom prst="rect">
                      <a:avLst/>
                    </a:prstGeom>
                  </pic:spPr>
                </pic:pic>
              </a:graphicData>
            </a:graphic>
          </wp:inline>
        </w:drawing>
      </w:r>
    </w:p>
    <w:p w14:paraId="1938C600">
      <w:pPr>
        <w:spacing w:line="360" w:lineRule="auto"/>
        <w:jc w:val="both"/>
        <w:rPr>
          <w:rFonts w:hint="default"/>
          <w:lang w:val="en-US" w:eastAsia="zh-CN"/>
        </w:rPr>
      </w:pPr>
      <w:r>
        <w:rPr>
          <w:rFonts w:hint="eastAsia" w:ascii="Arial" w:hAnsi="Arial" w:cs="Arial"/>
          <w:b/>
          <w:sz w:val="21"/>
          <w:szCs w:val="21"/>
        </w:rPr>
        <w:t xml:space="preserve">Supplementary Figure </w:t>
      </w:r>
      <w:r>
        <w:rPr>
          <w:rFonts w:hint="eastAsia" w:ascii="Arial" w:hAnsi="Arial" w:cs="Arial"/>
          <w:b/>
          <w:sz w:val="21"/>
          <w:szCs w:val="21"/>
          <w:lang w:val="en-US" w:eastAsia="zh-CN"/>
        </w:rPr>
        <w:t>5</w:t>
      </w:r>
      <w:r>
        <w:rPr>
          <w:rFonts w:hint="eastAsia" w:ascii="Arial" w:hAnsi="Arial" w:cs="Arial"/>
          <w:b/>
          <w:sz w:val="21"/>
          <w:szCs w:val="21"/>
        </w:rPr>
        <w:t xml:space="preserve"> Differences of selected biomarkers level in high-risk and low-risk group in model with circulating biomarkers and clinical features.</w:t>
      </w:r>
      <w:r>
        <w:rPr>
          <w:rFonts w:hint="eastAsia" w:ascii="Arial" w:hAnsi="Arial" w:eastAsia="Arial Unicode MS" w:cs="Arial"/>
          <w:color w:val="000000"/>
          <w:sz w:val="20"/>
          <w:szCs w:val="20"/>
          <w:lang w:val="en-US" w:eastAsia="zh-CN"/>
        </w:rPr>
        <w:t xml:space="preserve"> </w:t>
      </w:r>
      <w:r>
        <w:rPr>
          <w:rFonts w:hint="default" w:ascii="Arial" w:hAnsi="Arial" w:cs="Arial"/>
          <w:b/>
        </w:rPr>
        <w:t>Abbreviations:</w:t>
      </w:r>
      <w:r>
        <w:rPr>
          <w:rFonts w:hint="eastAsia" w:ascii="Arial" w:hAnsi="Arial" w:cs="Arial"/>
          <w:b/>
          <w:lang w:val="en-US" w:eastAsia="zh-CN"/>
        </w:rPr>
        <w:t xml:space="preserve"> </w:t>
      </w:r>
      <w:r>
        <w:rPr>
          <w:rFonts w:hint="eastAsia"/>
          <w:lang w:val="en-US" w:eastAsia="zh-CN"/>
        </w:rPr>
        <w:t>AFP, alpha-fetoprotein; CRP, C-reactive protein; HGB, hemoglobin; INR, international normalized ratio; LDH, lactate dehydrogenase.</w:t>
      </w:r>
    </w:p>
    <w:p w14:paraId="0B1AE6F8">
      <w:pPr>
        <w:rPr>
          <w:rFonts w:hint="eastAsia" w:ascii="Arial" w:hAnsi="Arial" w:eastAsia="Arial Unicode MS" w:cs="Arial"/>
          <w:lang w:val="en-US" w:eastAsia="zh-CN"/>
        </w:rPr>
      </w:pPr>
      <w:r>
        <w:rPr>
          <w:rFonts w:hint="eastAsia" w:ascii="Arial" w:hAnsi="Arial" w:eastAsia="Arial Unicode MS" w:cs="Arial"/>
          <w:lang w:val="en-US" w:eastAsia="zh-CN"/>
        </w:rPr>
        <w:br w:type="page"/>
      </w:r>
    </w:p>
    <w:p w14:paraId="6BBB4B1B">
      <w:pPr>
        <w:spacing w:line="480" w:lineRule="auto"/>
        <w:ind w:left="720"/>
        <w:rPr>
          <w:rFonts w:hint="eastAsia" w:ascii="Arial" w:hAnsi="Arial" w:eastAsia="Arial Unicode MS" w:cs="Arial"/>
          <w:lang w:val="en-US" w:eastAsia="zh-CN"/>
        </w:rPr>
      </w:pPr>
      <w:bookmarkStart w:id="0" w:name="_GoBack"/>
      <w:r>
        <w:rPr>
          <w:rFonts w:hint="eastAsia" w:ascii="Arial" w:hAnsi="Arial" w:eastAsia="Arial Unicode MS" w:cs="Arial"/>
          <w:lang w:val="en-US" w:eastAsia="zh-CN"/>
        </w:rPr>
        <w:drawing>
          <wp:inline distT="0" distB="0" distL="114300" distR="114300">
            <wp:extent cx="5271770" cy="3587115"/>
            <wp:effectExtent l="0" t="0" r="5080" b="13335"/>
            <wp:docPr id="6" name="图片 6" descr="fig 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 S6"/>
                    <pic:cNvPicPr>
                      <a:picLocks noChangeAspect="1"/>
                    </pic:cNvPicPr>
                  </pic:nvPicPr>
                  <pic:blipFill>
                    <a:blip r:embed="rId9"/>
                    <a:stretch>
                      <a:fillRect/>
                    </a:stretch>
                  </pic:blipFill>
                  <pic:spPr>
                    <a:xfrm>
                      <a:off x="0" y="0"/>
                      <a:ext cx="5271770" cy="3587115"/>
                    </a:xfrm>
                    <a:prstGeom prst="rect">
                      <a:avLst/>
                    </a:prstGeom>
                  </pic:spPr>
                </pic:pic>
              </a:graphicData>
            </a:graphic>
          </wp:inline>
        </w:drawing>
      </w:r>
      <w:bookmarkEnd w:id="0"/>
    </w:p>
    <w:p w14:paraId="133CDEB7">
      <w:pPr>
        <w:spacing w:line="360" w:lineRule="auto"/>
        <w:jc w:val="both"/>
        <w:rPr>
          <w:rFonts w:hint="default"/>
          <w:lang w:val="en-US" w:eastAsia="zh-CN"/>
        </w:rPr>
      </w:pPr>
      <w:r>
        <w:rPr>
          <w:rFonts w:hint="eastAsia" w:ascii="Arial" w:hAnsi="Arial" w:cs="Arial"/>
          <w:b/>
          <w:sz w:val="21"/>
          <w:szCs w:val="21"/>
        </w:rPr>
        <w:t>Supplementary Figure 6 Proportion of missing value for baseline biomarker level.</w:t>
      </w:r>
      <w:r>
        <w:rPr>
          <w:rFonts w:hint="eastAsia" w:ascii="Arial" w:hAnsi="Arial" w:cs="Arial"/>
          <w:b/>
          <w:sz w:val="21"/>
          <w:szCs w:val="21"/>
          <w:lang w:val="en-US" w:eastAsia="zh-CN"/>
        </w:rPr>
        <w:t xml:space="preserve"> </w:t>
      </w:r>
      <w:r>
        <w:rPr>
          <w:rFonts w:hint="default" w:ascii="Arial" w:hAnsi="Arial" w:cs="Arial"/>
          <w:b/>
        </w:rPr>
        <w:t>Abbreviations:</w:t>
      </w:r>
      <w:r>
        <w:rPr>
          <w:rFonts w:hint="eastAsia" w:ascii="Arial" w:hAnsi="Arial" w:cs="Arial"/>
          <w:b/>
          <w:lang w:val="en-US" w:eastAsia="zh-CN"/>
        </w:rPr>
        <w:t xml:space="preserve"> </w:t>
      </w:r>
      <w:r>
        <w:rPr>
          <w:rFonts w:hint="eastAsia"/>
          <w:lang w:val="en-US" w:eastAsia="zh-CN"/>
        </w:rPr>
        <w:t xml:space="preserve">NK, natural killer; PIVKA, protein induced by vitamin K absence; INR, international normalized ratio; CRP, C-reactive protein; AFP, alpha-fetoprotein; LDH, lactate dehydrogenase; HGB, hemoglobin. </w:t>
      </w:r>
    </w:p>
    <w:p w14:paraId="53AA6043">
      <w:pPr>
        <w:spacing w:line="360" w:lineRule="auto"/>
        <w:jc w:val="both"/>
        <w:rPr>
          <w:rFonts w:hint="eastAsia" w:ascii="Arial" w:hAnsi="Arial" w:cs="Arial" w:eastAsiaTheme="minorEastAsia"/>
          <w:b/>
          <w:sz w:val="21"/>
          <w:szCs w:val="21"/>
          <w:lang w:val="en-US" w:eastAsia="zh-CN"/>
        </w:rPr>
      </w:pPr>
    </w:p>
    <w:p w14:paraId="23674E22">
      <w:pPr>
        <w:spacing w:line="480" w:lineRule="auto"/>
        <w:ind w:left="720"/>
        <w:rPr>
          <w:rFonts w:hint="eastAsia" w:ascii="Arial" w:hAnsi="Arial" w:eastAsia="Arial Unicode MS" w:cs="Arial"/>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1MDM1MzNmZTM5NGI0NDBiYzQwOGQwN2Q3ZmFjOTcifQ=="/>
  </w:docVars>
  <w:rsids>
    <w:rsidRoot w:val="2C2B549A"/>
    <w:rsid w:val="297D7F4A"/>
    <w:rsid w:val="2C2B549A"/>
    <w:rsid w:val="318B553F"/>
    <w:rsid w:val="62DB15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lang w:val="en-US" w:eastAsia="en-US"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annotation text"/>
    <w:basedOn w:val="1"/>
    <w:unhideWhenUsed/>
    <w:qFormat/>
    <w:uiPriority w:val="99"/>
    <w:pPr>
      <w:jc w:val="left"/>
    </w:pPr>
  </w:style>
  <w:style w:type="paragraph" w:styleId="3">
    <w:name w:val="footer"/>
    <w:basedOn w:val="1"/>
    <w:unhideWhenUsed/>
    <w:qFormat/>
    <w:uiPriority w:val="99"/>
    <w:pPr>
      <w:tabs>
        <w:tab w:val="center" w:pos="4153"/>
        <w:tab w:val="right" w:pos="8306"/>
      </w:tabs>
      <w:snapToGrid w:val="0"/>
      <w:jc w:val="left"/>
    </w:pPr>
    <w:rPr>
      <w:sz w:val="18"/>
      <w:szCs w:val="18"/>
    </w:rPr>
  </w:style>
  <w:style w:type="character" w:styleId="6">
    <w:name w:val="Hyperlink"/>
    <w:basedOn w:val="5"/>
    <w:unhideWhenUsed/>
    <w:qFormat/>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488</Words>
  <Characters>2939</Characters>
  <Lines>0</Lines>
  <Paragraphs>0</Paragraphs>
  <TotalTime>1</TotalTime>
  <ScaleCrop>false</ScaleCrop>
  <LinksUpToDate>false</LinksUpToDate>
  <CharactersWithSpaces>3407</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2024-09-27T00:03:00Z</dcterms:created>
  <dc:creator>Zhiyan</dc:creator>
  <cp:lastModifiedBy>Zhiyan</cp:lastModifiedBy>
  <dcterms:modified xsi:type="dcterms:W3CDTF">2024-09-27T07:34:38Z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4B023F68158B4D71A653FD47EAC335CC_11</vt:lpwstr>
  </property>
</Properties>
</file>