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0E2F3" w14:textId="77777777" w:rsidR="00435A31" w:rsidRPr="007C18B7" w:rsidRDefault="007C18B7">
      <w:pPr>
        <w:pStyle w:val="Heading3"/>
        <w:rPr>
          <w:rFonts w:eastAsiaTheme="minorEastAsia"/>
          <w:color w:val="000000"/>
        </w:rPr>
      </w:pPr>
      <w:r w:rsidRPr="007C18B7">
        <w:rPr>
          <w:color w:val="000000"/>
        </w:rPr>
        <w:t xml:space="preserve">Supplementary </w:t>
      </w:r>
      <w:r w:rsidRPr="007C18B7">
        <w:rPr>
          <w:rFonts w:eastAsiaTheme="minorEastAsia" w:hint="eastAsia"/>
          <w:color w:val="000000"/>
        </w:rPr>
        <w:t>M</w:t>
      </w:r>
      <w:r w:rsidRPr="007C18B7">
        <w:rPr>
          <w:color w:val="000000"/>
        </w:rPr>
        <w:t>aterial</w:t>
      </w:r>
    </w:p>
    <w:p w14:paraId="509F3654" w14:textId="77777777" w:rsidR="00435A31" w:rsidRPr="007C18B7" w:rsidRDefault="007C18B7">
      <w:pPr>
        <w:pStyle w:val="Heading1"/>
        <w:rPr>
          <w:color w:val="000000"/>
        </w:rPr>
      </w:pPr>
      <w:r w:rsidRPr="007C18B7">
        <w:rPr>
          <w:color w:val="000000"/>
        </w:rPr>
        <w:t>Supplementary Figure</w:t>
      </w:r>
      <w:r w:rsidRPr="007C18B7">
        <w:rPr>
          <w:rFonts w:hint="eastAsia"/>
          <w:color w:val="000000"/>
        </w:rPr>
        <w:t>s</w:t>
      </w:r>
    </w:p>
    <w:p w14:paraId="06F41B3F" w14:textId="77777777" w:rsidR="00435A31" w:rsidRPr="007C18B7" w:rsidRDefault="007C18B7">
      <w:pPr>
        <w:pStyle w:val="Heading2"/>
        <w:rPr>
          <w:color w:val="000000"/>
        </w:rPr>
      </w:pPr>
      <w:bookmarkStart w:id="0" w:name="_Hlk172727600"/>
      <w:r w:rsidRPr="007C18B7">
        <w:rPr>
          <w:rFonts w:hint="eastAsia"/>
          <w:color w:val="000000"/>
        </w:rPr>
        <w:t>F</w:t>
      </w:r>
      <w:r w:rsidRPr="007C18B7">
        <w:rPr>
          <w:color w:val="000000"/>
        </w:rPr>
        <w:t>igure S1</w:t>
      </w:r>
    </w:p>
    <w:bookmarkEnd w:id="0"/>
    <w:p w14:paraId="5DC5F47C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lastRenderedPageBreak/>
        <w:drawing>
          <wp:inline distT="0" distB="0" distL="114300" distR="114300" wp14:anchorId="097462C1" wp14:editId="50FD46C7">
            <wp:extent cx="5272405" cy="7438390"/>
            <wp:effectExtent l="0" t="0" r="635" b="635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2685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b/>
          <w:bCs/>
          <w:color w:val="000000"/>
        </w:rPr>
        <w:t xml:space="preserve">Figure S1. </w:t>
      </w:r>
      <w:r w:rsidRPr="007C18B7">
        <w:rPr>
          <w:rFonts w:hint="eastAsia"/>
          <w:color w:val="000000"/>
        </w:rPr>
        <w:t>Abnormal patterns of the endoplasmic reticulum (ER) membrane protein complex (EMC) subunits expression in cancer.</w:t>
      </w:r>
    </w:p>
    <w:p w14:paraId="746F7E40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(A) The transcript-level differences of EMC-related molecules between normal samples and cancer samples in TCGA. Normal tissues in both the TCGA and GTEx databases were included as negative </w:t>
      </w:r>
      <w:r w:rsidRPr="007C18B7">
        <w:rPr>
          <w:rFonts w:hint="eastAsia"/>
          <w:color w:val="000000"/>
        </w:rPr>
        <w:lastRenderedPageBreak/>
        <w:t xml:space="preserve">controls. </w:t>
      </w:r>
    </w:p>
    <w:p w14:paraId="744B5775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>(B) Mutation (single nucleotide variation, SNV) frequency of EMC-related molecules.</w:t>
      </w:r>
    </w:p>
    <w:p w14:paraId="0967073D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(C) The waterfall diagram displays the mutation type and summary of EMC-related molecules with the highest mutation frequency in TCGA pancancer. </w:t>
      </w:r>
    </w:p>
    <w:p w14:paraId="508D59A5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>(D) The pie chart illustrates the proportion of different types of copy number variaitons (CNVs) in each cancer.</w:t>
      </w:r>
    </w:p>
    <w:p w14:paraId="59B4E868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(E) The amplification and deletion percentage of homozygous CNV about each gene in each cancer. </w:t>
      </w:r>
    </w:p>
    <w:p w14:paraId="0C44B2FA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(F) </w:t>
      </w:r>
      <w:r w:rsidRPr="007C18B7">
        <w:rPr>
          <w:color w:val="000000"/>
        </w:rPr>
        <w:t xml:space="preserve">The amplification and deletion percentage of </w:t>
      </w:r>
      <w:r w:rsidRPr="007C18B7">
        <w:rPr>
          <w:rFonts w:hint="eastAsia"/>
          <w:color w:val="000000"/>
        </w:rPr>
        <w:t>h</w:t>
      </w:r>
      <w:r w:rsidRPr="007C18B7">
        <w:rPr>
          <w:color w:val="000000"/>
        </w:rPr>
        <w:t>eterozygous</w:t>
      </w:r>
      <w:r w:rsidRPr="007C18B7">
        <w:rPr>
          <w:rFonts w:hint="eastAsia"/>
          <w:color w:val="000000"/>
        </w:rPr>
        <w:t xml:space="preserve"> </w:t>
      </w:r>
      <w:r w:rsidRPr="007C18B7">
        <w:rPr>
          <w:color w:val="000000"/>
        </w:rPr>
        <w:t>CNV about each gene in each cancer.</w:t>
      </w:r>
    </w:p>
    <w:p w14:paraId="4292E874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>(G) The bubble plot shows the CNV associates with gene expression of EMC-related molecules.</w:t>
      </w:r>
    </w:p>
    <w:p w14:paraId="18EC767F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>F</w:t>
      </w:r>
      <w:r w:rsidRPr="007C18B7">
        <w:rPr>
          <w:color w:val="000000"/>
        </w:rPr>
        <w:t>igure S</w:t>
      </w:r>
      <w:r w:rsidRPr="007C18B7">
        <w:rPr>
          <w:rFonts w:hint="eastAsia"/>
          <w:color w:val="000000"/>
        </w:rPr>
        <w:t>2</w:t>
      </w:r>
    </w:p>
    <w:p w14:paraId="428A9D22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drawing>
          <wp:inline distT="0" distB="0" distL="0" distR="0" wp14:anchorId="1F9110C5" wp14:editId="1B3D0C31">
            <wp:extent cx="5274310" cy="3110230"/>
            <wp:effectExtent l="0" t="0" r="2540" b="13970"/>
            <wp:docPr id="10111872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87267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07A1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b/>
          <w:bCs/>
          <w:color w:val="000000"/>
        </w:rPr>
        <w:t xml:space="preserve">Figure S2. </w:t>
      </w:r>
      <w:r w:rsidRPr="007C18B7">
        <w:rPr>
          <w:color w:val="000000"/>
        </w:rPr>
        <w:t xml:space="preserve">Representative Hematoxylin and eosin (HE) staining for high and low </w:t>
      </w:r>
      <w:r w:rsidRPr="007C18B7">
        <w:rPr>
          <w:rFonts w:hint="eastAsia"/>
          <w:color w:val="000000"/>
        </w:rPr>
        <w:t>EMC</w:t>
      </w:r>
      <w:r w:rsidRPr="007C18B7">
        <w:rPr>
          <w:color w:val="000000"/>
        </w:rPr>
        <w:t xml:space="preserve"> expression levels in </w:t>
      </w:r>
      <w:r w:rsidRPr="007C18B7">
        <w:rPr>
          <w:rFonts w:hint="eastAsia"/>
          <w:color w:val="000000"/>
        </w:rPr>
        <w:t>HCC</w:t>
      </w:r>
      <w:r w:rsidRPr="007C18B7">
        <w:rPr>
          <w:color w:val="000000"/>
        </w:rPr>
        <w:t xml:space="preserve"> tissues.</w:t>
      </w:r>
      <w:r w:rsidRPr="007C18B7">
        <w:rPr>
          <w:rFonts w:hint="eastAsia"/>
          <w:color w:val="000000"/>
        </w:rPr>
        <w:t xml:space="preserve"> </w:t>
      </w:r>
    </w:p>
    <w:p w14:paraId="54208301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(A) HE </w:t>
      </w:r>
      <w:r w:rsidRPr="007C18B7">
        <w:rPr>
          <w:color w:val="000000"/>
        </w:rPr>
        <w:t>staining for high</w:t>
      </w:r>
      <w:r w:rsidRPr="007C18B7">
        <w:rPr>
          <w:rFonts w:hint="eastAsia"/>
          <w:color w:val="000000"/>
        </w:rPr>
        <w:t>-EMC HCC</w:t>
      </w:r>
      <w:r w:rsidRPr="007C18B7">
        <w:rPr>
          <w:color w:val="000000"/>
        </w:rPr>
        <w:t xml:space="preserve"> tissues</w:t>
      </w:r>
      <w:r w:rsidRPr="007C18B7">
        <w:rPr>
          <w:rFonts w:hint="eastAsia"/>
          <w:color w:val="000000"/>
        </w:rPr>
        <w:t>.</w:t>
      </w:r>
    </w:p>
    <w:p w14:paraId="7E4E9D31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(B) HE </w:t>
      </w:r>
      <w:r w:rsidRPr="007C18B7">
        <w:rPr>
          <w:color w:val="000000"/>
        </w:rPr>
        <w:t xml:space="preserve">staining for </w:t>
      </w:r>
      <w:r w:rsidRPr="007C18B7">
        <w:rPr>
          <w:rFonts w:hint="eastAsia"/>
          <w:color w:val="000000"/>
        </w:rPr>
        <w:t>low-EMC HCC</w:t>
      </w:r>
      <w:r w:rsidRPr="007C18B7">
        <w:rPr>
          <w:color w:val="000000"/>
        </w:rPr>
        <w:t xml:space="preserve"> tissues</w:t>
      </w:r>
      <w:r w:rsidRPr="007C18B7">
        <w:rPr>
          <w:rFonts w:hint="eastAsia"/>
          <w:color w:val="000000"/>
        </w:rPr>
        <w:t>.</w:t>
      </w:r>
    </w:p>
    <w:p w14:paraId="28F16D38" w14:textId="77777777" w:rsidR="00435A31" w:rsidRPr="007C18B7" w:rsidRDefault="00435A31">
      <w:pPr>
        <w:rPr>
          <w:color w:val="000000"/>
        </w:rPr>
      </w:pPr>
    </w:p>
    <w:p w14:paraId="50F7C01B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lastRenderedPageBreak/>
        <w:t>F</w:t>
      </w:r>
      <w:r w:rsidRPr="007C18B7">
        <w:rPr>
          <w:color w:val="000000"/>
        </w:rPr>
        <w:t>igure S</w:t>
      </w:r>
      <w:r w:rsidRPr="007C18B7">
        <w:rPr>
          <w:rFonts w:hint="eastAsia"/>
          <w:color w:val="000000"/>
        </w:rPr>
        <w:t>3</w:t>
      </w:r>
    </w:p>
    <w:p w14:paraId="4B919F94" w14:textId="77777777" w:rsidR="00435A31" w:rsidRPr="007C18B7" w:rsidRDefault="00435A31">
      <w:pPr>
        <w:rPr>
          <w:color w:val="000000"/>
        </w:rPr>
      </w:pPr>
    </w:p>
    <w:p w14:paraId="2CA3CD74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drawing>
          <wp:inline distT="0" distB="0" distL="0" distR="0" wp14:anchorId="1009773D" wp14:editId="563024EB">
            <wp:extent cx="5274310" cy="3886835"/>
            <wp:effectExtent l="0" t="0" r="0" b="0"/>
            <wp:docPr id="15343799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7995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A911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b/>
          <w:bCs/>
          <w:color w:val="000000"/>
        </w:rPr>
        <w:t>Figure S3.</w:t>
      </w:r>
      <w:r w:rsidRPr="007C18B7">
        <w:rPr>
          <w:color w:val="000000"/>
        </w:rPr>
        <w:t xml:space="preserve"> Violin plots showing the smoothed expression distribution of corresponding markers for different cell types.</w:t>
      </w:r>
    </w:p>
    <w:p w14:paraId="5E1BC76B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>F</w:t>
      </w:r>
      <w:r w:rsidRPr="007C18B7">
        <w:rPr>
          <w:color w:val="000000"/>
        </w:rPr>
        <w:t>igure S</w:t>
      </w:r>
      <w:r w:rsidRPr="007C18B7">
        <w:rPr>
          <w:rFonts w:hint="eastAsia"/>
          <w:color w:val="000000"/>
        </w:rPr>
        <w:t>4</w:t>
      </w:r>
    </w:p>
    <w:p w14:paraId="6ABE3055" w14:textId="77777777" w:rsidR="00435A31" w:rsidRPr="007C18B7" w:rsidRDefault="00435A31">
      <w:pPr>
        <w:rPr>
          <w:color w:val="000000"/>
        </w:rPr>
      </w:pPr>
    </w:p>
    <w:p w14:paraId="1D510C44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lastRenderedPageBreak/>
        <w:drawing>
          <wp:inline distT="0" distB="0" distL="0" distR="0" wp14:anchorId="10052956" wp14:editId="310F732D">
            <wp:extent cx="5274310" cy="2923540"/>
            <wp:effectExtent l="0" t="0" r="0" b="0"/>
            <wp:docPr id="6534736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73671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48F2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b/>
          <w:bCs/>
          <w:color w:val="000000"/>
        </w:rPr>
        <w:t>Figure S4.</w:t>
      </w:r>
      <w:r w:rsidRPr="007C18B7">
        <w:rPr>
          <w:color w:val="000000"/>
        </w:rPr>
        <w:t xml:space="preserve"> The protein–protein interaction (PPI) network of </w:t>
      </w:r>
      <w:r w:rsidRPr="007C18B7">
        <w:rPr>
          <w:rFonts w:hint="eastAsia"/>
          <w:color w:val="000000"/>
        </w:rPr>
        <w:t xml:space="preserve">EMC </w:t>
      </w:r>
      <w:r w:rsidRPr="007C18B7">
        <w:rPr>
          <w:color w:val="000000"/>
        </w:rPr>
        <w:t xml:space="preserve">based on the STRING </w:t>
      </w:r>
      <w:r w:rsidRPr="007C18B7">
        <w:rPr>
          <w:color w:val="000000"/>
        </w:rPr>
        <w:t>database.</w:t>
      </w:r>
      <w:r w:rsidRPr="007C18B7">
        <w:rPr>
          <w:rFonts w:hint="eastAsia"/>
          <w:color w:val="000000"/>
        </w:rPr>
        <w:t xml:space="preserve"> </w:t>
      </w:r>
      <w:r w:rsidRPr="007C18B7">
        <w:rPr>
          <w:rFonts w:hint="eastAsia"/>
          <w:color w:val="000000"/>
        </w:rPr>
        <w:t>EMC1 is highlighted with a red circle.</w:t>
      </w:r>
    </w:p>
    <w:p w14:paraId="280B4741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lastRenderedPageBreak/>
        <w:t>F</w:t>
      </w:r>
      <w:r w:rsidRPr="007C18B7">
        <w:rPr>
          <w:color w:val="000000"/>
        </w:rPr>
        <w:t>igure S</w:t>
      </w:r>
      <w:r w:rsidRPr="007C18B7">
        <w:rPr>
          <w:rFonts w:hint="eastAsia"/>
          <w:color w:val="000000"/>
        </w:rPr>
        <w:t>5</w:t>
      </w:r>
    </w:p>
    <w:p w14:paraId="53B94C33" w14:textId="77777777" w:rsidR="00435A31" w:rsidRPr="007C18B7" w:rsidRDefault="007C18B7">
      <w:pPr>
        <w:rPr>
          <w:color w:val="000000"/>
        </w:rPr>
      </w:pPr>
      <w:r w:rsidRPr="007C18B7">
        <w:rPr>
          <w:color w:val="000000"/>
        </w:rPr>
        <w:drawing>
          <wp:inline distT="0" distB="0" distL="0" distR="0" wp14:anchorId="38C26242" wp14:editId="144060CF">
            <wp:extent cx="3352165" cy="8204200"/>
            <wp:effectExtent l="0" t="0" r="0" b="0"/>
            <wp:docPr id="1196711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11888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684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143A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b/>
          <w:bCs/>
          <w:color w:val="000000"/>
        </w:rPr>
        <w:lastRenderedPageBreak/>
        <w:t>Figure S5.</w:t>
      </w:r>
      <w:r w:rsidRPr="007C18B7">
        <w:rPr>
          <w:color w:val="000000"/>
        </w:rPr>
        <w:t xml:space="preserve"> </w:t>
      </w:r>
      <w:r w:rsidRPr="007C18B7">
        <w:rPr>
          <w:rFonts w:hint="eastAsia"/>
          <w:color w:val="000000"/>
        </w:rPr>
        <w:t xml:space="preserve">Correlation between EMC expression and immune cells as analyzed through BEST. </w:t>
      </w:r>
    </w:p>
    <w:p w14:paraId="38EDA46D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(A) The heatmap shows the correlation between EMC and immune cells estimated by eight </w:t>
      </w:r>
      <w:r w:rsidRPr="007C18B7">
        <w:rPr>
          <w:rFonts w:hint="eastAsia"/>
          <w:color w:val="000000"/>
        </w:rPr>
        <w:t>algorithms. M2 macrophages are highlighted with red boxes.</w:t>
      </w:r>
    </w:p>
    <w:p w14:paraId="0FC9BBA6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>(B) The heatmap shows the correlation between EMC and immune components. C-C Motif Chemokine Ligand 15 (</w:t>
      </w:r>
      <w:r w:rsidRPr="007C18B7">
        <w:rPr>
          <w:rFonts w:hint="eastAsia"/>
          <w:i/>
          <w:iCs/>
          <w:color w:val="000000"/>
        </w:rPr>
        <w:t>CCL15</w:t>
      </w:r>
      <w:r w:rsidRPr="007C18B7">
        <w:rPr>
          <w:rFonts w:hint="eastAsia"/>
          <w:color w:val="000000"/>
        </w:rPr>
        <w:t>) and Beta-2-Microglobulin (</w:t>
      </w:r>
      <w:r w:rsidRPr="007C18B7">
        <w:rPr>
          <w:rFonts w:hint="eastAsia"/>
          <w:i/>
          <w:iCs/>
          <w:color w:val="000000"/>
        </w:rPr>
        <w:t>B2M</w:t>
      </w:r>
      <w:r w:rsidRPr="007C18B7">
        <w:rPr>
          <w:rFonts w:hint="eastAsia"/>
          <w:color w:val="000000"/>
        </w:rPr>
        <w:t>) are highlighted with red boxes.</w:t>
      </w:r>
    </w:p>
    <w:p w14:paraId="49307ECF" w14:textId="77777777" w:rsidR="00435A31" w:rsidRPr="007C18B7" w:rsidRDefault="007C18B7">
      <w:pPr>
        <w:pStyle w:val="Heading1"/>
        <w:rPr>
          <w:color w:val="000000"/>
        </w:rPr>
      </w:pPr>
      <w:r w:rsidRPr="007C18B7">
        <w:rPr>
          <w:color w:val="000000"/>
        </w:rPr>
        <w:t xml:space="preserve">Supplementary </w:t>
      </w:r>
      <w:r w:rsidRPr="007C18B7">
        <w:rPr>
          <w:rFonts w:eastAsiaTheme="minorEastAsia" w:hint="eastAsia"/>
          <w:color w:val="000000"/>
          <w:lang w:eastAsia="zh-CN"/>
        </w:rPr>
        <w:t>Table</w:t>
      </w:r>
      <w:r w:rsidRPr="007C18B7">
        <w:rPr>
          <w:rFonts w:hint="eastAsia"/>
          <w:color w:val="000000"/>
        </w:rPr>
        <w:t>s</w:t>
      </w:r>
    </w:p>
    <w:p w14:paraId="647DAB2E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 xml:space="preserve">Table </w:t>
      </w:r>
      <w:r w:rsidRPr="007C18B7">
        <w:rPr>
          <w:color w:val="000000"/>
        </w:rPr>
        <w:t>S1</w:t>
      </w:r>
      <w:r w:rsidRPr="007C18B7">
        <w:rPr>
          <w:rFonts w:hint="eastAsia"/>
          <w:color w:val="000000"/>
        </w:rPr>
        <w:t xml:space="preserve"> </w:t>
      </w:r>
    </w:p>
    <w:p w14:paraId="441CF7B3" w14:textId="77777777" w:rsidR="00435A31" w:rsidRPr="007C18B7" w:rsidRDefault="007C18B7">
      <w:pPr>
        <w:jc w:val="center"/>
        <w:rPr>
          <w:b/>
          <w:bCs/>
          <w:color w:val="000000"/>
        </w:rPr>
      </w:pPr>
      <w:r w:rsidRPr="007C18B7">
        <w:rPr>
          <w:b/>
          <w:bCs/>
          <w:color w:val="000000"/>
        </w:rPr>
        <w:t>Information on Antibodies and Reagents Used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3"/>
        <w:gridCol w:w="2343"/>
        <w:gridCol w:w="2710"/>
      </w:tblGrid>
      <w:tr w:rsidR="00435A31" w:rsidRPr="007C18B7" w14:paraId="126E8599" w14:textId="77777777">
        <w:trPr>
          <w:trHeight w:val="564"/>
        </w:trPr>
        <w:tc>
          <w:tcPr>
            <w:tcW w:w="3243" w:type="dxa"/>
            <w:shd w:val="clear" w:color="auto" w:fill="E8E8E8" w:themeFill="background2"/>
            <w:vAlign w:val="center"/>
          </w:tcPr>
          <w:p w14:paraId="26576EC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Antibodies and Reagents</w:t>
            </w:r>
          </w:p>
        </w:tc>
        <w:tc>
          <w:tcPr>
            <w:tcW w:w="2343" w:type="dxa"/>
            <w:shd w:val="clear" w:color="auto" w:fill="E8E8E8" w:themeFill="background2"/>
            <w:vAlign w:val="center"/>
          </w:tcPr>
          <w:p w14:paraId="0340F56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Manufacturer, Country, Cat number</w:t>
            </w:r>
          </w:p>
        </w:tc>
        <w:tc>
          <w:tcPr>
            <w:tcW w:w="2710" w:type="dxa"/>
            <w:shd w:val="clear" w:color="auto" w:fill="E8E8E8" w:themeFill="background2"/>
            <w:vAlign w:val="center"/>
          </w:tcPr>
          <w:p w14:paraId="6E140E1E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Concentration</w:t>
            </w:r>
          </w:p>
        </w:tc>
      </w:tr>
      <w:tr w:rsidR="00435A31" w:rsidRPr="007C18B7" w14:paraId="669BD7FE" w14:textId="77777777">
        <w:trPr>
          <w:trHeight w:val="612"/>
        </w:trPr>
        <w:tc>
          <w:tcPr>
            <w:tcW w:w="3243" w:type="dxa"/>
            <w:vAlign w:val="center"/>
          </w:tcPr>
          <w:p w14:paraId="3507E9F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HE staining kit</w:t>
            </w:r>
          </w:p>
        </w:tc>
        <w:tc>
          <w:tcPr>
            <w:tcW w:w="2343" w:type="dxa"/>
            <w:vAlign w:val="center"/>
          </w:tcPr>
          <w:p w14:paraId="0BA7891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Beyotime Biotechnology, China, #C0105 </w:t>
            </w:r>
          </w:p>
        </w:tc>
        <w:tc>
          <w:tcPr>
            <w:tcW w:w="2710" w:type="dxa"/>
            <w:vAlign w:val="center"/>
          </w:tcPr>
          <w:p w14:paraId="35430176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-</w:t>
            </w:r>
          </w:p>
        </w:tc>
      </w:tr>
      <w:tr w:rsidR="00435A31" w:rsidRPr="007C18B7" w14:paraId="6B2CB5F0" w14:textId="77777777">
        <w:trPr>
          <w:trHeight w:val="756"/>
        </w:trPr>
        <w:tc>
          <w:tcPr>
            <w:tcW w:w="3243" w:type="dxa"/>
            <w:vAlign w:val="center"/>
          </w:tcPr>
          <w:p w14:paraId="03BA1A1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Plasmid vectors for </w:t>
            </w:r>
            <w:r w:rsidRPr="007C18B7">
              <w:rPr>
                <w:i/>
                <w:iCs/>
                <w:color w:val="000000"/>
              </w:rPr>
              <w:t>ECM1</w:t>
            </w:r>
          </w:p>
        </w:tc>
        <w:tc>
          <w:tcPr>
            <w:tcW w:w="2343" w:type="dxa"/>
            <w:vAlign w:val="center"/>
          </w:tcPr>
          <w:p w14:paraId="1587D70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GeneChem, China, #10021850 </w:t>
            </w:r>
          </w:p>
        </w:tc>
        <w:tc>
          <w:tcPr>
            <w:tcW w:w="2710" w:type="dxa"/>
            <w:vAlign w:val="center"/>
          </w:tcPr>
          <w:p w14:paraId="174FCB0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4AB2184B" w14:textId="77777777">
        <w:trPr>
          <w:trHeight w:val="612"/>
        </w:trPr>
        <w:tc>
          <w:tcPr>
            <w:tcW w:w="3243" w:type="dxa"/>
            <w:vAlign w:val="center"/>
          </w:tcPr>
          <w:p w14:paraId="2D4CB5B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Puromycin </w:t>
            </w:r>
          </w:p>
        </w:tc>
        <w:tc>
          <w:tcPr>
            <w:tcW w:w="2343" w:type="dxa"/>
            <w:vAlign w:val="center"/>
          </w:tcPr>
          <w:p w14:paraId="72E32ABA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Beyotime Biotechnology, China, # 041321210517</w:t>
            </w:r>
          </w:p>
        </w:tc>
        <w:tc>
          <w:tcPr>
            <w:tcW w:w="2710" w:type="dxa"/>
            <w:vAlign w:val="center"/>
          </w:tcPr>
          <w:p w14:paraId="0FEB233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1.5 μg/mL</w:t>
            </w:r>
          </w:p>
        </w:tc>
      </w:tr>
      <w:tr w:rsidR="00435A31" w:rsidRPr="007C18B7" w14:paraId="6E444744" w14:textId="77777777">
        <w:trPr>
          <w:trHeight w:val="804"/>
        </w:trPr>
        <w:tc>
          <w:tcPr>
            <w:tcW w:w="3243" w:type="dxa"/>
            <w:vAlign w:val="center"/>
          </w:tcPr>
          <w:p w14:paraId="2D5ADB0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0.2% TritonX-100</w:t>
            </w:r>
          </w:p>
        </w:tc>
        <w:tc>
          <w:tcPr>
            <w:tcW w:w="2343" w:type="dxa"/>
            <w:vAlign w:val="center"/>
          </w:tcPr>
          <w:p w14:paraId="11905C1B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Proteintech, China, #61202011</w:t>
            </w:r>
          </w:p>
        </w:tc>
        <w:tc>
          <w:tcPr>
            <w:tcW w:w="2710" w:type="dxa"/>
            <w:vAlign w:val="center"/>
          </w:tcPr>
          <w:p w14:paraId="6A2A27C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24942EC4" w14:textId="77777777">
        <w:trPr>
          <w:trHeight w:val="732"/>
        </w:trPr>
        <w:tc>
          <w:tcPr>
            <w:tcW w:w="3243" w:type="dxa"/>
            <w:vAlign w:val="center"/>
          </w:tcPr>
          <w:p w14:paraId="4C6EFD5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Nuclei were stained using 4',6-diamidino-2-phenylindole (DAPI)</w:t>
            </w:r>
          </w:p>
        </w:tc>
        <w:tc>
          <w:tcPr>
            <w:tcW w:w="2343" w:type="dxa"/>
            <w:vAlign w:val="center"/>
          </w:tcPr>
          <w:p w14:paraId="58F962A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Beyotime Biotechnology, China, </w:t>
            </w:r>
            <w:r w:rsidRPr="007C18B7">
              <w:rPr>
                <w:color w:val="000000"/>
              </w:rPr>
              <w:t>#091620210520</w:t>
            </w:r>
          </w:p>
        </w:tc>
        <w:tc>
          <w:tcPr>
            <w:tcW w:w="2710" w:type="dxa"/>
            <w:vAlign w:val="center"/>
          </w:tcPr>
          <w:p w14:paraId="724A39B1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0667157E" w14:textId="77777777">
        <w:trPr>
          <w:trHeight w:val="612"/>
        </w:trPr>
        <w:tc>
          <w:tcPr>
            <w:tcW w:w="3243" w:type="dxa"/>
            <w:vAlign w:val="center"/>
          </w:tcPr>
          <w:p w14:paraId="63D2EB9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phorbol 12-myristate 13-acetate (PMA)</w:t>
            </w:r>
          </w:p>
        </w:tc>
        <w:tc>
          <w:tcPr>
            <w:tcW w:w="2343" w:type="dxa"/>
            <w:vAlign w:val="center"/>
          </w:tcPr>
          <w:p w14:paraId="2DA5109E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Sigma-Aldrich, USA, #63597-44-4</w:t>
            </w:r>
          </w:p>
        </w:tc>
        <w:tc>
          <w:tcPr>
            <w:tcW w:w="2710" w:type="dxa"/>
            <w:vAlign w:val="center"/>
          </w:tcPr>
          <w:p w14:paraId="307B548B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20 ng/mL</w:t>
            </w:r>
          </w:p>
        </w:tc>
      </w:tr>
      <w:tr w:rsidR="00435A31" w:rsidRPr="007C18B7" w14:paraId="6DB11BEB" w14:textId="77777777">
        <w:trPr>
          <w:trHeight w:val="282"/>
        </w:trPr>
        <w:tc>
          <w:tcPr>
            <w:tcW w:w="3243" w:type="dxa"/>
            <w:vMerge w:val="restart"/>
            <w:vAlign w:val="center"/>
          </w:tcPr>
          <w:p w14:paraId="3BB030B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Bicinchoninic acid (BCA) Assay Kit</w:t>
            </w:r>
          </w:p>
        </w:tc>
        <w:tc>
          <w:tcPr>
            <w:tcW w:w="2343" w:type="dxa"/>
            <w:vMerge w:val="restart"/>
            <w:vAlign w:val="center"/>
          </w:tcPr>
          <w:p w14:paraId="7149507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Vazyme, China, #E112-02</w:t>
            </w:r>
          </w:p>
        </w:tc>
        <w:tc>
          <w:tcPr>
            <w:tcW w:w="2710" w:type="dxa"/>
            <w:vMerge w:val="restart"/>
            <w:vAlign w:val="center"/>
          </w:tcPr>
          <w:p w14:paraId="24A1C93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1.5 μg/mL</w:t>
            </w:r>
          </w:p>
        </w:tc>
      </w:tr>
      <w:tr w:rsidR="00435A31" w:rsidRPr="007C18B7" w14:paraId="30C80F7F" w14:textId="77777777">
        <w:trPr>
          <w:trHeight w:val="282"/>
        </w:trPr>
        <w:tc>
          <w:tcPr>
            <w:tcW w:w="3243" w:type="dxa"/>
            <w:vMerge/>
            <w:vAlign w:val="center"/>
          </w:tcPr>
          <w:p w14:paraId="3E88F783" w14:textId="77777777" w:rsidR="00435A31" w:rsidRPr="007C18B7" w:rsidRDefault="00435A31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</w:tcPr>
          <w:p w14:paraId="278C4138" w14:textId="77777777" w:rsidR="00435A31" w:rsidRPr="007C18B7" w:rsidRDefault="00435A31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710" w:type="dxa"/>
            <w:vMerge/>
            <w:vAlign w:val="center"/>
          </w:tcPr>
          <w:p w14:paraId="4AAED902" w14:textId="77777777" w:rsidR="00435A31" w:rsidRPr="007C18B7" w:rsidRDefault="00435A31">
            <w:pPr>
              <w:spacing w:line="240" w:lineRule="auto"/>
              <w:rPr>
                <w:color w:val="000000"/>
              </w:rPr>
            </w:pPr>
          </w:p>
        </w:tc>
      </w:tr>
      <w:tr w:rsidR="00435A31" w:rsidRPr="007C18B7" w14:paraId="1F8FCF3B" w14:textId="77777777">
        <w:trPr>
          <w:trHeight w:val="612"/>
        </w:trPr>
        <w:tc>
          <w:tcPr>
            <w:tcW w:w="3243" w:type="dxa"/>
            <w:vAlign w:val="center"/>
          </w:tcPr>
          <w:p w14:paraId="060758F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ATP Assay Kit</w:t>
            </w:r>
          </w:p>
        </w:tc>
        <w:tc>
          <w:tcPr>
            <w:tcW w:w="2343" w:type="dxa"/>
            <w:vAlign w:val="center"/>
          </w:tcPr>
          <w:p w14:paraId="62EC25A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Beyotime Biotechnology, China, #S0026</w:t>
            </w:r>
          </w:p>
        </w:tc>
        <w:tc>
          <w:tcPr>
            <w:tcW w:w="2710" w:type="dxa"/>
            <w:vAlign w:val="center"/>
          </w:tcPr>
          <w:p w14:paraId="186CC35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-</w:t>
            </w:r>
          </w:p>
        </w:tc>
      </w:tr>
      <w:tr w:rsidR="00435A31" w:rsidRPr="007C18B7" w14:paraId="2D04F8B6" w14:textId="77777777">
        <w:trPr>
          <w:trHeight w:val="306"/>
        </w:trPr>
        <w:tc>
          <w:tcPr>
            <w:tcW w:w="3243" w:type="dxa"/>
            <w:vAlign w:val="center"/>
          </w:tcPr>
          <w:p w14:paraId="6B0DDB5B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Penicillin/streptomycin</w:t>
            </w:r>
          </w:p>
        </w:tc>
        <w:tc>
          <w:tcPr>
            <w:tcW w:w="2343" w:type="dxa"/>
            <w:vAlign w:val="center"/>
          </w:tcPr>
          <w:p w14:paraId="0DA5127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Gibco, USA, #15070063</w:t>
            </w:r>
          </w:p>
        </w:tc>
        <w:tc>
          <w:tcPr>
            <w:tcW w:w="2710" w:type="dxa"/>
            <w:vAlign w:val="center"/>
          </w:tcPr>
          <w:p w14:paraId="10C33CE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28A26248" w14:textId="77777777">
        <w:trPr>
          <w:trHeight w:val="612"/>
        </w:trPr>
        <w:tc>
          <w:tcPr>
            <w:tcW w:w="3243" w:type="dxa"/>
            <w:vAlign w:val="center"/>
          </w:tcPr>
          <w:p w14:paraId="32C622D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Protease and phosphatase inhibitor cocktail for genneraluse, 50X</w:t>
            </w:r>
          </w:p>
        </w:tc>
        <w:tc>
          <w:tcPr>
            <w:tcW w:w="2343" w:type="dxa"/>
            <w:vAlign w:val="center"/>
          </w:tcPr>
          <w:p w14:paraId="7632E82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Beyotime Biotechnology, China, #P1045</w:t>
            </w:r>
          </w:p>
        </w:tc>
        <w:tc>
          <w:tcPr>
            <w:tcW w:w="2710" w:type="dxa"/>
            <w:vAlign w:val="center"/>
          </w:tcPr>
          <w:p w14:paraId="1A00B81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3E569A6E" w14:textId="77777777">
        <w:trPr>
          <w:trHeight w:val="306"/>
        </w:trPr>
        <w:tc>
          <w:tcPr>
            <w:tcW w:w="3243" w:type="dxa"/>
            <w:vAlign w:val="center"/>
          </w:tcPr>
          <w:p w14:paraId="78A1328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Loading buffer</w:t>
            </w:r>
          </w:p>
        </w:tc>
        <w:tc>
          <w:tcPr>
            <w:tcW w:w="2343" w:type="dxa"/>
            <w:vAlign w:val="center"/>
          </w:tcPr>
          <w:p w14:paraId="5B1C651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Epizyme, China, #LT103s</w:t>
            </w:r>
          </w:p>
        </w:tc>
        <w:tc>
          <w:tcPr>
            <w:tcW w:w="2710" w:type="dxa"/>
            <w:vAlign w:val="center"/>
          </w:tcPr>
          <w:p w14:paraId="6B5F33E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43D3DDFF" w14:textId="77777777">
        <w:trPr>
          <w:trHeight w:val="1008"/>
        </w:trPr>
        <w:tc>
          <w:tcPr>
            <w:tcW w:w="3243" w:type="dxa"/>
            <w:vAlign w:val="center"/>
          </w:tcPr>
          <w:p w14:paraId="1B6F3751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Radioimmunoprecipitation assay buffer (RIPA buffer)</w:t>
            </w:r>
          </w:p>
        </w:tc>
        <w:tc>
          <w:tcPr>
            <w:tcW w:w="2343" w:type="dxa"/>
            <w:vAlign w:val="center"/>
          </w:tcPr>
          <w:p w14:paraId="14A9F19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Beyotime Biotechnology, China, #P0013B</w:t>
            </w:r>
          </w:p>
        </w:tc>
        <w:tc>
          <w:tcPr>
            <w:tcW w:w="2710" w:type="dxa"/>
            <w:vAlign w:val="center"/>
          </w:tcPr>
          <w:p w14:paraId="56A645E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-</w:t>
            </w:r>
          </w:p>
        </w:tc>
      </w:tr>
      <w:tr w:rsidR="00435A31" w:rsidRPr="007C18B7" w14:paraId="6D0B68D3" w14:textId="77777777">
        <w:trPr>
          <w:trHeight w:val="798"/>
        </w:trPr>
        <w:tc>
          <w:tcPr>
            <w:tcW w:w="3243" w:type="dxa"/>
            <w:vAlign w:val="center"/>
          </w:tcPr>
          <w:p w14:paraId="31F852E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lastRenderedPageBreak/>
              <w:t>anti-CD163 polyclonal antibodies</w:t>
            </w:r>
          </w:p>
        </w:tc>
        <w:tc>
          <w:tcPr>
            <w:tcW w:w="2343" w:type="dxa"/>
            <w:vAlign w:val="center"/>
          </w:tcPr>
          <w:p w14:paraId="1E907A6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Proteintech, USA, #HPA046404</w:t>
            </w:r>
          </w:p>
        </w:tc>
        <w:tc>
          <w:tcPr>
            <w:tcW w:w="2710" w:type="dxa"/>
            <w:vAlign w:val="center"/>
          </w:tcPr>
          <w:p w14:paraId="27B3794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IF: 1:500</w:t>
            </w:r>
          </w:p>
          <w:p w14:paraId="2B40B92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IHC 1:500</w:t>
            </w:r>
          </w:p>
        </w:tc>
      </w:tr>
      <w:tr w:rsidR="00435A31" w:rsidRPr="007C18B7" w14:paraId="44C1CFB9" w14:textId="77777777">
        <w:trPr>
          <w:trHeight w:val="804"/>
        </w:trPr>
        <w:tc>
          <w:tcPr>
            <w:tcW w:w="3243" w:type="dxa"/>
            <w:vAlign w:val="center"/>
          </w:tcPr>
          <w:p w14:paraId="69C1632E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Anti-β-actin Mouse polyclonal antibodies</w:t>
            </w:r>
          </w:p>
        </w:tc>
        <w:tc>
          <w:tcPr>
            <w:tcW w:w="2343" w:type="dxa"/>
            <w:vAlign w:val="center"/>
          </w:tcPr>
          <w:p w14:paraId="3B06D7B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Proteintech, USA, #6609-1-Ig</w:t>
            </w:r>
          </w:p>
        </w:tc>
        <w:tc>
          <w:tcPr>
            <w:tcW w:w="2710" w:type="dxa"/>
            <w:vAlign w:val="center"/>
          </w:tcPr>
          <w:p w14:paraId="108E78E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1:5000</w:t>
            </w:r>
          </w:p>
        </w:tc>
      </w:tr>
      <w:tr w:rsidR="00435A31" w:rsidRPr="007C18B7" w14:paraId="4E349973" w14:textId="77777777">
        <w:trPr>
          <w:trHeight w:val="774"/>
        </w:trPr>
        <w:tc>
          <w:tcPr>
            <w:tcW w:w="3243" w:type="dxa"/>
            <w:vAlign w:val="center"/>
          </w:tcPr>
          <w:p w14:paraId="5A4ACBD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Aconitase 2 polyclonal antibodies</w:t>
            </w:r>
          </w:p>
        </w:tc>
        <w:tc>
          <w:tcPr>
            <w:tcW w:w="2343" w:type="dxa"/>
            <w:vAlign w:val="center"/>
          </w:tcPr>
          <w:p w14:paraId="0279E21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Peprotech, USA, </w:t>
            </w:r>
            <w:r w:rsidRPr="007C18B7">
              <w:rPr>
                <w:color w:val="000000"/>
              </w:rPr>
              <w:t>#11134-1-AP</w:t>
            </w:r>
          </w:p>
        </w:tc>
        <w:tc>
          <w:tcPr>
            <w:tcW w:w="2710" w:type="dxa"/>
            <w:vAlign w:val="center"/>
          </w:tcPr>
          <w:p w14:paraId="18E2C1E1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1:5000</w:t>
            </w:r>
          </w:p>
        </w:tc>
      </w:tr>
      <w:tr w:rsidR="00435A31" w:rsidRPr="007C18B7" w14:paraId="4F6B51B8" w14:textId="77777777">
        <w:trPr>
          <w:trHeight w:val="612"/>
        </w:trPr>
        <w:tc>
          <w:tcPr>
            <w:tcW w:w="3243" w:type="dxa"/>
            <w:vAlign w:val="center"/>
          </w:tcPr>
          <w:p w14:paraId="52EFB0E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OGDH polyclonal antibodies</w:t>
            </w:r>
          </w:p>
        </w:tc>
        <w:tc>
          <w:tcPr>
            <w:tcW w:w="2343" w:type="dxa"/>
            <w:vAlign w:val="center"/>
          </w:tcPr>
          <w:p w14:paraId="5062B63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Peprotech, USA, #15212-1-AP</w:t>
            </w:r>
          </w:p>
        </w:tc>
        <w:tc>
          <w:tcPr>
            <w:tcW w:w="2710" w:type="dxa"/>
            <w:vAlign w:val="center"/>
          </w:tcPr>
          <w:p w14:paraId="75F4E7BE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1:1000</w:t>
            </w:r>
          </w:p>
        </w:tc>
      </w:tr>
      <w:tr w:rsidR="00435A31" w:rsidRPr="007C18B7" w14:paraId="5B64ABFB" w14:textId="77777777">
        <w:trPr>
          <w:trHeight w:val="1206"/>
        </w:trPr>
        <w:tc>
          <w:tcPr>
            <w:tcW w:w="3243" w:type="dxa"/>
            <w:vAlign w:val="center"/>
          </w:tcPr>
          <w:p w14:paraId="632AD6A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Beta Catenin polyclonal antibodies</w:t>
            </w:r>
          </w:p>
        </w:tc>
        <w:tc>
          <w:tcPr>
            <w:tcW w:w="2343" w:type="dxa"/>
            <w:vAlign w:val="center"/>
          </w:tcPr>
          <w:p w14:paraId="7D7AE56A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Peprotech, USA, #51067-2-AP</w:t>
            </w:r>
          </w:p>
        </w:tc>
        <w:tc>
          <w:tcPr>
            <w:tcW w:w="2710" w:type="dxa"/>
            <w:vAlign w:val="center"/>
          </w:tcPr>
          <w:p w14:paraId="6EC01EA6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1:1000</w:t>
            </w:r>
          </w:p>
        </w:tc>
      </w:tr>
      <w:tr w:rsidR="00435A31" w:rsidRPr="007C18B7" w14:paraId="639B2C68" w14:textId="77777777">
        <w:trPr>
          <w:trHeight w:val="912"/>
        </w:trPr>
        <w:tc>
          <w:tcPr>
            <w:tcW w:w="3243" w:type="dxa"/>
            <w:vAlign w:val="center"/>
          </w:tcPr>
          <w:p w14:paraId="4026A8C1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EMC1 polyclonal antibodies</w:t>
            </w:r>
          </w:p>
        </w:tc>
        <w:tc>
          <w:tcPr>
            <w:tcW w:w="2343" w:type="dxa"/>
            <w:vAlign w:val="center"/>
          </w:tcPr>
          <w:p w14:paraId="2624D586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Peprotech, USA, #26017-1-AP</w:t>
            </w:r>
          </w:p>
        </w:tc>
        <w:tc>
          <w:tcPr>
            <w:tcW w:w="2710" w:type="dxa"/>
            <w:vAlign w:val="center"/>
          </w:tcPr>
          <w:p w14:paraId="6E202E4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1:1000</w:t>
            </w:r>
            <w:r w:rsidRPr="007C18B7">
              <w:rPr>
                <w:rFonts w:hint="eastAsia"/>
                <w:color w:val="000000"/>
              </w:rPr>
              <w:t>，</w:t>
            </w:r>
            <w:r w:rsidRPr="007C18B7">
              <w:rPr>
                <w:color w:val="000000"/>
              </w:rPr>
              <w:t>IF: 1:300</w:t>
            </w:r>
          </w:p>
        </w:tc>
      </w:tr>
      <w:tr w:rsidR="00435A31" w:rsidRPr="007C18B7" w14:paraId="524DD514" w14:textId="77777777">
        <w:trPr>
          <w:trHeight w:val="912"/>
        </w:trPr>
        <w:tc>
          <w:tcPr>
            <w:tcW w:w="3243" w:type="dxa"/>
            <w:vAlign w:val="center"/>
          </w:tcPr>
          <w:p w14:paraId="530385F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Anti-CK </w:t>
            </w:r>
            <w:r w:rsidRPr="007C18B7">
              <w:rPr>
                <w:color w:val="000000"/>
              </w:rPr>
              <w:t>Rabbit polyclonal antibodies</w:t>
            </w:r>
          </w:p>
        </w:tc>
        <w:tc>
          <w:tcPr>
            <w:tcW w:w="2343" w:type="dxa"/>
            <w:vAlign w:val="center"/>
          </w:tcPr>
          <w:p w14:paraId="493856E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Cell Signaling Technology, USA, #12509</w:t>
            </w:r>
          </w:p>
        </w:tc>
        <w:tc>
          <w:tcPr>
            <w:tcW w:w="2710" w:type="dxa"/>
            <w:vAlign w:val="center"/>
          </w:tcPr>
          <w:p w14:paraId="116B093B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IF 1:200</w:t>
            </w:r>
          </w:p>
        </w:tc>
      </w:tr>
      <w:tr w:rsidR="00435A31" w:rsidRPr="007C18B7" w14:paraId="337BD762" w14:textId="77777777">
        <w:trPr>
          <w:trHeight w:val="306"/>
        </w:trPr>
        <w:tc>
          <w:tcPr>
            <w:tcW w:w="3243" w:type="dxa"/>
            <w:vAlign w:val="center"/>
          </w:tcPr>
          <w:p w14:paraId="0EF4466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Goat Anti-Rabbit IgG H&amp;L (HRP)</w:t>
            </w:r>
          </w:p>
        </w:tc>
        <w:tc>
          <w:tcPr>
            <w:tcW w:w="2343" w:type="dxa"/>
            <w:vAlign w:val="center"/>
          </w:tcPr>
          <w:p w14:paraId="4C3D5A4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Abcam, UK, #ab205718</w:t>
            </w:r>
          </w:p>
        </w:tc>
        <w:tc>
          <w:tcPr>
            <w:tcW w:w="2710" w:type="dxa"/>
            <w:vAlign w:val="center"/>
          </w:tcPr>
          <w:p w14:paraId="68BCF12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IHC 1:2000</w:t>
            </w:r>
          </w:p>
        </w:tc>
      </w:tr>
      <w:tr w:rsidR="00435A31" w:rsidRPr="007C18B7" w14:paraId="68720E02" w14:textId="77777777">
        <w:trPr>
          <w:trHeight w:val="1518"/>
        </w:trPr>
        <w:tc>
          <w:tcPr>
            <w:tcW w:w="3243" w:type="dxa"/>
            <w:vAlign w:val="center"/>
          </w:tcPr>
          <w:p w14:paraId="3102944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Alexa Fluor 488 AffiniPure goat anti-mouse IgG (H+L) </w:t>
            </w:r>
          </w:p>
        </w:tc>
        <w:tc>
          <w:tcPr>
            <w:tcW w:w="2343" w:type="dxa"/>
            <w:vAlign w:val="center"/>
          </w:tcPr>
          <w:p w14:paraId="4AFE70A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FcMACS, China, #136908</w:t>
            </w:r>
          </w:p>
        </w:tc>
        <w:tc>
          <w:tcPr>
            <w:tcW w:w="2710" w:type="dxa"/>
            <w:vAlign w:val="center"/>
          </w:tcPr>
          <w:p w14:paraId="1E34BE3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IF1:500</w:t>
            </w:r>
          </w:p>
        </w:tc>
      </w:tr>
      <w:tr w:rsidR="00435A31" w:rsidRPr="007C18B7" w14:paraId="2C326207" w14:textId="77777777">
        <w:trPr>
          <w:trHeight w:val="924"/>
        </w:trPr>
        <w:tc>
          <w:tcPr>
            <w:tcW w:w="3243" w:type="dxa"/>
            <w:vAlign w:val="center"/>
          </w:tcPr>
          <w:p w14:paraId="7A904E3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Goat anti-mouse IgG (H+L) CoraLite594 </w:t>
            </w:r>
          </w:p>
        </w:tc>
        <w:tc>
          <w:tcPr>
            <w:tcW w:w="2343" w:type="dxa"/>
            <w:vAlign w:val="center"/>
          </w:tcPr>
          <w:p w14:paraId="0D16B9D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Proteintech, China, #SA00013-4</w:t>
            </w:r>
          </w:p>
        </w:tc>
        <w:tc>
          <w:tcPr>
            <w:tcW w:w="2710" w:type="dxa"/>
            <w:vAlign w:val="center"/>
          </w:tcPr>
          <w:p w14:paraId="3BE3C61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IF 1:500</w:t>
            </w:r>
          </w:p>
        </w:tc>
      </w:tr>
      <w:tr w:rsidR="00435A31" w:rsidRPr="007C18B7" w14:paraId="2F35D3F8" w14:textId="77777777">
        <w:trPr>
          <w:trHeight w:val="924"/>
        </w:trPr>
        <w:tc>
          <w:tcPr>
            <w:tcW w:w="3243" w:type="dxa"/>
            <w:vAlign w:val="center"/>
          </w:tcPr>
          <w:p w14:paraId="23E776F1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Fluorescein (FITC) conjugated Affinipure Goat Anti-Rabbit IgG(H+L)</w:t>
            </w:r>
          </w:p>
        </w:tc>
        <w:tc>
          <w:tcPr>
            <w:tcW w:w="2343" w:type="dxa"/>
            <w:vAlign w:val="center"/>
          </w:tcPr>
          <w:p w14:paraId="01CAD19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Proteintech, China, #SA00003-2</w:t>
            </w:r>
          </w:p>
        </w:tc>
        <w:tc>
          <w:tcPr>
            <w:tcW w:w="2710" w:type="dxa"/>
            <w:vAlign w:val="center"/>
          </w:tcPr>
          <w:p w14:paraId="5CD6959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IF 1:500</w:t>
            </w:r>
          </w:p>
        </w:tc>
      </w:tr>
      <w:tr w:rsidR="00435A31" w:rsidRPr="007C18B7" w14:paraId="22590563" w14:textId="77777777">
        <w:trPr>
          <w:trHeight w:val="864"/>
        </w:trPr>
        <w:tc>
          <w:tcPr>
            <w:tcW w:w="3243" w:type="dxa"/>
            <w:vAlign w:val="center"/>
          </w:tcPr>
          <w:p w14:paraId="3F11A33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Goat Anti-Rabbit IgG H&amp;L (HRP)</w:t>
            </w:r>
          </w:p>
        </w:tc>
        <w:tc>
          <w:tcPr>
            <w:tcW w:w="2343" w:type="dxa"/>
            <w:vAlign w:val="center"/>
          </w:tcPr>
          <w:p w14:paraId="22AF51D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Abcam, UK, #ab205718</w:t>
            </w:r>
          </w:p>
        </w:tc>
        <w:tc>
          <w:tcPr>
            <w:tcW w:w="2710" w:type="dxa"/>
            <w:vAlign w:val="center"/>
          </w:tcPr>
          <w:p w14:paraId="3AE29ACA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IHC 1:2000</w:t>
            </w:r>
          </w:p>
        </w:tc>
      </w:tr>
      <w:tr w:rsidR="00435A31" w:rsidRPr="007C18B7" w14:paraId="05546116" w14:textId="77777777">
        <w:trPr>
          <w:trHeight w:val="1218"/>
        </w:trPr>
        <w:tc>
          <w:tcPr>
            <w:tcW w:w="3243" w:type="dxa"/>
            <w:vAlign w:val="center"/>
          </w:tcPr>
          <w:p w14:paraId="4C305DD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Highly Cross-Adsorbed Goat (Polyclonal) Anti-Mouse IgG(H+L) Antibody</w:t>
            </w:r>
          </w:p>
        </w:tc>
        <w:tc>
          <w:tcPr>
            <w:tcW w:w="2343" w:type="dxa"/>
            <w:vAlign w:val="center"/>
          </w:tcPr>
          <w:p w14:paraId="768BCCE6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LI-COR, USA, #926-68070</w:t>
            </w:r>
          </w:p>
        </w:tc>
        <w:tc>
          <w:tcPr>
            <w:tcW w:w="2710" w:type="dxa"/>
            <w:vAlign w:val="center"/>
          </w:tcPr>
          <w:p w14:paraId="6C4099A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1:1000</w:t>
            </w:r>
          </w:p>
        </w:tc>
      </w:tr>
      <w:tr w:rsidR="00435A31" w:rsidRPr="007C18B7" w14:paraId="199FDC29" w14:textId="77777777">
        <w:trPr>
          <w:trHeight w:val="1230"/>
        </w:trPr>
        <w:tc>
          <w:tcPr>
            <w:tcW w:w="3243" w:type="dxa"/>
            <w:vAlign w:val="center"/>
          </w:tcPr>
          <w:p w14:paraId="111D376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Highly Cross-Adsorbed Goat (Polyclonal) Anti-Rabbit IgG(H+L) Antibody</w:t>
            </w:r>
          </w:p>
        </w:tc>
        <w:tc>
          <w:tcPr>
            <w:tcW w:w="2343" w:type="dxa"/>
            <w:vAlign w:val="center"/>
          </w:tcPr>
          <w:p w14:paraId="28E22210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LI-COR, USA, #926-68071</w:t>
            </w:r>
          </w:p>
        </w:tc>
        <w:tc>
          <w:tcPr>
            <w:tcW w:w="2710" w:type="dxa"/>
            <w:vAlign w:val="center"/>
          </w:tcPr>
          <w:p w14:paraId="06417E88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WB 1:1000</w:t>
            </w:r>
          </w:p>
        </w:tc>
      </w:tr>
      <w:tr w:rsidR="00435A31" w:rsidRPr="007C18B7" w14:paraId="4AD53C7A" w14:textId="77777777">
        <w:trPr>
          <w:trHeight w:val="738"/>
        </w:trPr>
        <w:tc>
          <w:tcPr>
            <w:tcW w:w="3243" w:type="dxa"/>
            <w:vAlign w:val="center"/>
          </w:tcPr>
          <w:p w14:paraId="24CDBF9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Dulbecco’s modified Eagle’s medium (DMEM)</w:t>
            </w:r>
          </w:p>
        </w:tc>
        <w:tc>
          <w:tcPr>
            <w:tcW w:w="2343" w:type="dxa"/>
            <w:vAlign w:val="center"/>
          </w:tcPr>
          <w:p w14:paraId="043B4A7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Gibco, USA, #11965092</w:t>
            </w:r>
          </w:p>
        </w:tc>
        <w:tc>
          <w:tcPr>
            <w:tcW w:w="2710" w:type="dxa"/>
            <w:vAlign w:val="center"/>
          </w:tcPr>
          <w:p w14:paraId="71A46575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-</w:t>
            </w:r>
          </w:p>
        </w:tc>
      </w:tr>
      <w:tr w:rsidR="00435A31" w:rsidRPr="007C18B7" w14:paraId="01051EDE" w14:textId="77777777">
        <w:trPr>
          <w:trHeight w:val="300"/>
        </w:trPr>
        <w:tc>
          <w:tcPr>
            <w:tcW w:w="3243" w:type="dxa"/>
            <w:vAlign w:val="center"/>
          </w:tcPr>
          <w:p w14:paraId="717E01A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lastRenderedPageBreak/>
              <w:t>Fetal bovine serum (FBS)</w:t>
            </w:r>
          </w:p>
        </w:tc>
        <w:tc>
          <w:tcPr>
            <w:tcW w:w="2343" w:type="dxa"/>
            <w:vAlign w:val="center"/>
          </w:tcPr>
          <w:p w14:paraId="0A11CAF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Gibco, USA, #10091148</w:t>
            </w:r>
          </w:p>
        </w:tc>
        <w:tc>
          <w:tcPr>
            <w:tcW w:w="2710" w:type="dxa"/>
            <w:vAlign w:val="center"/>
          </w:tcPr>
          <w:p w14:paraId="67A35BC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-</w:t>
            </w:r>
          </w:p>
        </w:tc>
      </w:tr>
      <w:tr w:rsidR="00435A31" w:rsidRPr="007C18B7" w14:paraId="79B34FCC" w14:textId="77777777">
        <w:trPr>
          <w:trHeight w:val="450"/>
        </w:trPr>
        <w:tc>
          <w:tcPr>
            <w:tcW w:w="3243" w:type="dxa"/>
            <w:vAlign w:val="center"/>
          </w:tcPr>
          <w:p w14:paraId="3C7DCCE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Roswell Park Memorial Institute 1640 (RPMI-1640)</w:t>
            </w:r>
          </w:p>
        </w:tc>
        <w:tc>
          <w:tcPr>
            <w:tcW w:w="2343" w:type="dxa"/>
            <w:vAlign w:val="center"/>
          </w:tcPr>
          <w:p w14:paraId="412A210B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Gibco, USA, #11875119</w:t>
            </w:r>
          </w:p>
        </w:tc>
        <w:tc>
          <w:tcPr>
            <w:tcW w:w="2710" w:type="dxa"/>
            <w:vAlign w:val="center"/>
          </w:tcPr>
          <w:p w14:paraId="08427C9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-</w:t>
            </w:r>
          </w:p>
        </w:tc>
      </w:tr>
      <w:tr w:rsidR="00435A31" w:rsidRPr="007C18B7" w14:paraId="09679A0F" w14:textId="77777777">
        <w:trPr>
          <w:trHeight w:val="750"/>
        </w:trPr>
        <w:tc>
          <w:tcPr>
            <w:tcW w:w="3243" w:type="dxa"/>
            <w:vAlign w:val="center"/>
          </w:tcPr>
          <w:p w14:paraId="6F095139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Recombinant Human FGF-basic (154 a.a.)</w:t>
            </w:r>
          </w:p>
        </w:tc>
        <w:tc>
          <w:tcPr>
            <w:tcW w:w="2343" w:type="dxa"/>
            <w:vAlign w:val="center"/>
          </w:tcPr>
          <w:p w14:paraId="537DEB5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Peprotech, USA, #100-18B-100</w:t>
            </w:r>
          </w:p>
        </w:tc>
        <w:tc>
          <w:tcPr>
            <w:tcW w:w="2710" w:type="dxa"/>
            <w:vAlign w:val="center"/>
          </w:tcPr>
          <w:p w14:paraId="20B98D1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20ng/ml</w:t>
            </w:r>
          </w:p>
        </w:tc>
      </w:tr>
      <w:tr w:rsidR="00435A31" w:rsidRPr="007C18B7" w14:paraId="2762B709" w14:textId="77777777">
        <w:trPr>
          <w:trHeight w:val="450"/>
        </w:trPr>
        <w:tc>
          <w:tcPr>
            <w:tcW w:w="3243" w:type="dxa"/>
            <w:vAlign w:val="center"/>
          </w:tcPr>
          <w:p w14:paraId="668DE2FA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B27 supplement</w:t>
            </w:r>
          </w:p>
        </w:tc>
        <w:tc>
          <w:tcPr>
            <w:tcW w:w="2343" w:type="dxa"/>
            <w:vAlign w:val="center"/>
          </w:tcPr>
          <w:p w14:paraId="6C496D21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 xml:space="preserve">Gibco, USA, </w:t>
            </w:r>
            <w:r w:rsidRPr="007C18B7">
              <w:rPr>
                <w:color w:val="000000"/>
              </w:rPr>
              <w:t>#17504044</w:t>
            </w:r>
          </w:p>
        </w:tc>
        <w:tc>
          <w:tcPr>
            <w:tcW w:w="2710" w:type="dxa"/>
            <w:vAlign w:val="center"/>
          </w:tcPr>
          <w:p w14:paraId="57EC82CC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2%</w:t>
            </w:r>
          </w:p>
        </w:tc>
      </w:tr>
      <w:tr w:rsidR="00435A31" w:rsidRPr="007C18B7" w14:paraId="5FC25F37" w14:textId="77777777">
        <w:trPr>
          <w:trHeight w:val="348"/>
        </w:trPr>
        <w:tc>
          <w:tcPr>
            <w:tcW w:w="3243" w:type="dxa"/>
            <w:vAlign w:val="center"/>
          </w:tcPr>
          <w:p w14:paraId="11148F77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Matrigel</w:t>
            </w:r>
          </w:p>
        </w:tc>
        <w:tc>
          <w:tcPr>
            <w:tcW w:w="2343" w:type="dxa"/>
            <w:vAlign w:val="center"/>
          </w:tcPr>
          <w:p w14:paraId="5CD08EBD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Corning, USA, #356234</w:t>
            </w:r>
          </w:p>
        </w:tc>
        <w:tc>
          <w:tcPr>
            <w:tcW w:w="2710" w:type="dxa"/>
            <w:vAlign w:val="center"/>
          </w:tcPr>
          <w:p w14:paraId="4800BF94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-</w:t>
            </w:r>
          </w:p>
        </w:tc>
      </w:tr>
      <w:tr w:rsidR="00435A31" w:rsidRPr="007C18B7" w14:paraId="4051D427" w14:textId="77777777">
        <w:trPr>
          <w:trHeight w:val="348"/>
        </w:trPr>
        <w:tc>
          <w:tcPr>
            <w:tcW w:w="3243" w:type="dxa"/>
            <w:vAlign w:val="center"/>
          </w:tcPr>
          <w:p w14:paraId="3ECBA1A3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D</w:t>
            </w:r>
            <w:r w:rsidRPr="007C18B7">
              <w:rPr>
                <w:rFonts w:hint="eastAsia"/>
                <w:color w:val="000000"/>
              </w:rPr>
              <w:t>‐</w:t>
            </w:r>
            <w:r w:rsidRPr="007C18B7">
              <w:rPr>
                <w:rFonts w:hint="eastAsia"/>
                <w:color w:val="000000"/>
              </w:rPr>
              <w:t>luciferin potassium salt</w:t>
            </w:r>
          </w:p>
        </w:tc>
        <w:tc>
          <w:tcPr>
            <w:tcW w:w="2343" w:type="dxa"/>
            <w:vAlign w:val="center"/>
          </w:tcPr>
          <w:p w14:paraId="2504D032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color w:val="000000"/>
              </w:rPr>
              <w:t>BLT, China</w:t>
            </w:r>
            <w:r w:rsidRPr="007C18B7">
              <w:rPr>
                <w:rFonts w:hint="eastAsia"/>
                <w:color w:val="000000"/>
              </w:rPr>
              <w:t xml:space="preserve">, </w:t>
            </w:r>
            <w:r w:rsidRPr="007C18B7">
              <w:rPr>
                <w:color w:val="000000"/>
              </w:rPr>
              <w:t>#</w:t>
            </w:r>
            <w:r w:rsidRPr="007C18B7">
              <w:rPr>
                <w:rFonts w:hint="eastAsia"/>
                <w:color w:val="000000"/>
              </w:rPr>
              <w:t>LS003</w:t>
            </w:r>
          </w:p>
        </w:tc>
        <w:tc>
          <w:tcPr>
            <w:tcW w:w="2710" w:type="dxa"/>
            <w:vAlign w:val="center"/>
          </w:tcPr>
          <w:p w14:paraId="44B3C9CF" w14:textId="77777777" w:rsidR="00435A31" w:rsidRPr="007C18B7" w:rsidRDefault="007C18B7">
            <w:pPr>
              <w:spacing w:line="240" w:lineRule="auto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15mg/ml</w:t>
            </w:r>
          </w:p>
        </w:tc>
      </w:tr>
    </w:tbl>
    <w:p w14:paraId="1E44C0B9" w14:textId="77777777" w:rsidR="00435A31" w:rsidRPr="007C18B7" w:rsidRDefault="007C18B7">
      <w:pPr>
        <w:rPr>
          <w:color w:val="000000"/>
        </w:rPr>
      </w:pPr>
      <w:r w:rsidRPr="007C18B7">
        <w:rPr>
          <w:color w:val="000000"/>
        </w:rPr>
        <w:t xml:space="preserve">Note: This table provides detailed information on the antibodies and reagents used in the study, including the manufacturer, country of origin, </w:t>
      </w:r>
      <w:r w:rsidRPr="007C18B7">
        <w:rPr>
          <w:color w:val="000000"/>
        </w:rPr>
        <w:t>catalog number, and concentration used.</w:t>
      </w:r>
    </w:p>
    <w:p w14:paraId="4EA249E7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 xml:space="preserve">Table </w:t>
      </w:r>
      <w:r w:rsidRPr="007C18B7">
        <w:rPr>
          <w:color w:val="000000"/>
        </w:rPr>
        <w:t>S</w:t>
      </w:r>
      <w:r w:rsidRPr="007C18B7">
        <w:rPr>
          <w:rFonts w:hint="eastAsia"/>
          <w:color w:val="000000"/>
        </w:rPr>
        <w:t>2</w:t>
      </w:r>
    </w:p>
    <w:p w14:paraId="42FA14CF" w14:textId="77777777" w:rsidR="00435A31" w:rsidRPr="007C18B7" w:rsidRDefault="007C18B7">
      <w:pPr>
        <w:jc w:val="center"/>
        <w:rPr>
          <w:b/>
          <w:bCs/>
          <w:color w:val="000000"/>
        </w:rPr>
      </w:pPr>
      <w:r w:rsidRPr="007C18B7">
        <w:rPr>
          <w:b/>
          <w:bCs/>
          <w:color w:val="000000"/>
        </w:rPr>
        <w:t>Information of the lentivirus vector</w:t>
      </w:r>
    </w:p>
    <w:tbl>
      <w:tblPr>
        <w:tblStyle w:val="TableGrid"/>
        <w:tblW w:w="7910" w:type="dxa"/>
        <w:jc w:val="center"/>
        <w:tblLook w:val="04A0" w:firstRow="1" w:lastRow="0" w:firstColumn="1" w:lastColumn="0" w:noHBand="0" w:noVBand="1"/>
      </w:tblPr>
      <w:tblGrid>
        <w:gridCol w:w="835"/>
        <w:gridCol w:w="7075"/>
      </w:tblGrid>
      <w:tr w:rsidR="00435A31" w:rsidRPr="007C18B7" w14:paraId="011D4C7B" w14:textId="77777777">
        <w:trPr>
          <w:trHeight w:val="439"/>
          <w:jc w:val="center"/>
        </w:trPr>
        <w:tc>
          <w:tcPr>
            <w:tcW w:w="835" w:type="dxa"/>
            <w:vMerge w:val="restart"/>
            <w:vAlign w:val="center"/>
          </w:tcPr>
          <w:p w14:paraId="0EFD26A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Human</w:t>
            </w:r>
          </w:p>
        </w:tc>
        <w:tc>
          <w:tcPr>
            <w:tcW w:w="7075" w:type="dxa"/>
            <w:vAlign w:val="center"/>
          </w:tcPr>
          <w:p w14:paraId="20C0021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Lentivirus carrying sh-</w:t>
            </w:r>
            <w:r w:rsidRPr="007C18B7">
              <w:rPr>
                <w:i/>
                <w:iCs/>
                <w:color w:val="000000"/>
              </w:rPr>
              <w:t xml:space="preserve">EMC1 </w:t>
            </w:r>
            <w:r w:rsidRPr="007C18B7">
              <w:rPr>
                <w:color w:val="000000"/>
              </w:rPr>
              <w:t>sequence: 5′-GCAGAGCGATTCATCAACTAT-3′</w:t>
            </w:r>
          </w:p>
        </w:tc>
      </w:tr>
      <w:tr w:rsidR="00435A31" w:rsidRPr="007C18B7" w14:paraId="1169543D" w14:textId="77777777">
        <w:trPr>
          <w:trHeight w:val="337"/>
          <w:jc w:val="center"/>
        </w:trPr>
        <w:tc>
          <w:tcPr>
            <w:tcW w:w="835" w:type="dxa"/>
            <w:vMerge/>
          </w:tcPr>
          <w:p w14:paraId="5C0BC487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7075" w:type="dxa"/>
            <w:vAlign w:val="center"/>
          </w:tcPr>
          <w:p w14:paraId="4A7F519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negative control</w:t>
            </w:r>
            <w:r w:rsidRPr="007C18B7">
              <w:rPr>
                <w:rFonts w:hint="eastAsia"/>
                <w:color w:val="000000"/>
              </w:rPr>
              <w:t xml:space="preserve">: </w:t>
            </w:r>
            <w:r w:rsidRPr="007C18B7">
              <w:rPr>
                <w:color w:val="000000"/>
              </w:rPr>
              <w:t>5′-TTCTCCGAACGTG</w:t>
            </w:r>
            <w:r w:rsidRPr="007C18B7">
              <w:rPr>
                <w:rFonts w:hint="eastAsia"/>
                <w:color w:val="000000"/>
              </w:rPr>
              <w:t>C</w:t>
            </w:r>
            <w:r w:rsidRPr="007C18B7">
              <w:rPr>
                <w:color w:val="000000"/>
              </w:rPr>
              <w:t>TCACGT-3′</w:t>
            </w:r>
          </w:p>
        </w:tc>
      </w:tr>
      <w:tr w:rsidR="00435A31" w:rsidRPr="007C18B7" w14:paraId="5F4F4308" w14:textId="77777777">
        <w:trPr>
          <w:trHeight w:val="337"/>
          <w:jc w:val="center"/>
        </w:trPr>
        <w:tc>
          <w:tcPr>
            <w:tcW w:w="835" w:type="dxa"/>
            <w:vMerge w:val="restart"/>
            <w:vAlign w:val="center"/>
          </w:tcPr>
          <w:p w14:paraId="10D167D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Mouse</w:t>
            </w:r>
          </w:p>
        </w:tc>
        <w:tc>
          <w:tcPr>
            <w:tcW w:w="7075" w:type="dxa"/>
          </w:tcPr>
          <w:p w14:paraId="4C89D8C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Lentivirus carrying sh-</w:t>
            </w:r>
            <w:r w:rsidRPr="007C18B7">
              <w:rPr>
                <w:i/>
                <w:iCs/>
                <w:color w:val="000000"/>
              </w:rPr>
              <w:t xml:space="preserve">EMC1 </w:t>
            </w:r>
            <w:r w:rsidRPr="007C18B7">
              <w:rPr>
                <w:color w:val="000000"/>
              </w:rPr>
              <w:t>sequence: 5′-TGGACCATAATAGCTACTCTGCAA-3′</w:t>
            </w:r>
          </w:p>
        </w:tc>
      </w:tr>
      <w:tr w:rsidR="00435A31" w:rsidRPr="007C18B7" w14:paraId="736018CE" w14:textId="77777777">
        <w:trPr>
          <w:trHeight w:val="337"/>
          <w:jc w:val="center"/>
        </w:trPr>
        <w:tc>
          <w:tcPr>
            <w:tcW w:w="835" w:type="dxa"/>
            <w:vMerge/>
          </w:tcPr>
          <w:p w14:paraId="7ECB6ED5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7075" w:type="dxa"/>
          </w:tcPr>
          <w:p w14:paraId="5D67D4EB" w14:textId="77777777" w:rsidR="00435A31" w:rsidRPr="007C18B7" w:rsidRDefault="007C18B7">
            <w:pPr>
              <w:rPr>
                <w:b/>
                <w:bCs/>
                <w:color w:val="000000"/>
              </w:rPr>
            </w:pPr>
            <w:r w:rsidRPr="007C18B7">
              <w:rPr>
                <w:color w:val="000000"/>
              </w:rPr>
              <w:t>negative control</w:t>
            </w:r>
            <w:r w:rsidRPr="007C18B7">
              <w:rPr>
                <w:rFonts w:hint="eastAsia"/>
                <w:color w:val="000000"/>
              </w:rPr>
              <w:t xml:space="preserve">: </w:t>
            </w:r>
            <w:r w:rsidRPr="007C18B7">
              <w:rPr>
                <w:color w:val="000000"/>
              </w:rPr>
              <w:t>5′-UUCUCCGAACGUGUCACGUTT-3′</w:t>
            </w:r>
          </w:p>
        </w:tc>
      </w:tr>
    </w:tbl>
    <w:p w14:paraId="48A48415" w14:textId="77777777" w:rsidR="00435A31" w:rsidRPr="007C18B7" w:rsidRDefault="007C18B7">
      <w:pPr>
        <w:rPr>
          <w:color w:val="000000"/>
        </w:rPr>
      </w:pPr>
      <w:bookmarkStart w:id="1" w:name="_Hlk172740918"/>
      <w:r w:rsidRPr="007C18B7">
        <w:rPr>
          <w:rFonts w:hint="eastAsia"/>
          <w:color w:val="000000"/>
        </w:rPr>
        <w:t xml:space="preserve">Note: </w:t>
      </w:r>
      <w:r w:rsidRPr="007C18B7">
        <w:rPr>
          <w:color w:val="000000"/>
        </w:rPr>
        <w:t>This table provides detailed information about the sequences used in the lentivirus vectors for both human and mouse studies, including the sh-EMC1 and negative control sequences.</w:t>
      </w:r>
    </w:p>
    <w:p w14:paraId="6A6BED2C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 xml:space="preserve">Table </w:t>
      </w:r>
      <w:r w:rsidRPr="007C18B7">
        <w:rPr>
          <w:color w:val="000000"/>
        </w:rPr>
        <w:t>S</w:t>
      </w:r>
      <w:r w:rsidRPr="007C18B7">
        <w:rPr>
          <w:rFonts w:hint="eastAsia"/>
          <w:color w:val="000000"/>
        </w:rPr>
        <w:t>3</w:t>
      </w:r>
    </w:p>
    <w:p w14:paraId="49769F21" w14:textId="77777777" w:rsidR="00435A31" w:rsidRPr="007C18B7" w:rsidRDefault="007C18B7">
      <w:pPr>
        <w:jc w:val="center"/>
        <w:rPr>
          <w:b/>
          <w:bCs/>
          <w:color w:val="000000"/>
        </w:rPr>
      </w:pPr>
      <w:r w:rsidRPr="007C18B7">
        <w:rPr>
          <w:b/>
          <w:bCs/>
          <w:color w:val="000000"/>
        </w:rPr>
        <w:t xml:space="preserve">The clinicopathological characteristics of 80 </w:t>
      </w:r>
      <w:r w:rsidRPr="007C18B7">
        <w:rPr>
          <w:rFonts w:hint="eastAsia"/>
          <w:b/>
          <w:bCs/>
          <w:color w:val="000000"/>
        </w:rPr>
        <w:t>HCC</w:t>
      </w:r>
      <w:r w:rsidRPr="007C18B7">
        <w:rPr>
          <w:b/>
          <w:bCs/>
          <w:color w:val="000000"/>
        </w:rPr>
        <w:t xml:space="preserve"> samples</w:t>
      </w:r>
    </w:p>
    <w:tbl>
      <w:tblPr>
        <w:tblW w:w="8222" w:type="dxa"/>
        <w:jc w:val="center"/>
        <w:tblLook w:val="04A0" w:firstRow="1" w:lastRow="0" w:firstColumn="1" w:lastColumn="0" w:noHBand="0" w:noVBand="1"/>
      </w:tblPr>
      <w:tblGrid>
        <w:gridCol w:w="2748"/>
        <w:gridCol w:w="1361"/>
        <w:gridCol w:w="1278"/>
        <w:gridCol w:w="1134"/>
        <w:gridCol w:w="1701"/>
      </w:tblGrid>
      <w:tr w:rsidR="00435A31" w:rsidRPr="007C18B7" w14:paraId="260EDA9A" w14:textId="77777777">
        <w:trPr>
          <w:trHeight w:val="435"/>
          <w:jc w:val="center"/>
        </w:trPr>
        <w:tc>
          <w:tcPr>
            <w:tcW w:w="27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  <w:noWrap/>
            <w:vAlign w:val="center"/>
          </w:tcPr>
          <w:p w14:paraId="66C38F4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Characteristics</w:t>
            </w:r>
          </w:p>
        </w:tc>
        <w:tc>
          <w:tcPr>
            <w:tcW w:w="13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  <w:noWrap/>
            <w:vAlign w:val="center"/>
          </w:tcPr>
          <w:p w14:paraId="775C6BE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(n = 80)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</w:tcPr>
          <w:p w14:paraId="2FA4B0A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EMC1 low expression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</w:tcPr>
          <w:p w14:paraId="5C1A870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EMC1 high expression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</w:tcPr>
          <w:p w14:paraId="00BB21D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P-value</w:t>
            </w:r>
          </w:p>
        </w:tc>
      </w:tr>
      <w:tr w:rsidR="00435A31" w:rsidRPr="007C18B7" w14:paraId="73AF2FE3" w14:textId="77777777">
        <w:trPr>
          <w:trHeight w:val="427"/>
          <w:jc w:val="center"/>
        </w:trPr>
        <w:tc>
          <w:tcPr>
            <w:tcW w:w="274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50C1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Age (years)</w:t>
            </w:r>
          </w:p>
        </w:tc>
        <w:tc>
          <w:tcPr>
            <w:tcW w:w="13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D4135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F8B5998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FF8FB60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6DD085F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</w:t>
            </w:r>
          </w:p>
        </w:tc>
      </w:tr>
      <w:tr w:rsidR="00435A31" w:rsidRPr="007C18B7" w14:paraId="7DD5BEDF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CD004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≥</w:t>
            </w:r>
            <w:r w:rsidRPr="007C18B7">
              <w:rPr>
                <w:rFonts w:hint="eastAsia"/>
                <w:color w:val="000000"/>
              </w:rPr>
              <w:t>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F53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53 (66.25%)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D1C331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E1F49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28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50704361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0BB82CD3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085AA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&lt;50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AE3B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27 (33.75%)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64F4AB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F1F06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15</w:t>
            </w: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14:paraId="7EA143EF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5E8E04B9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C5E0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Gender, n (%)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F7E3F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32AF29C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A9F53C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</w:tcPr>
          <w:p w14:paraId="1031B8D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0.404</w:t>
            </w:r>
          </w:p>
        </w:tc>
      </w:tr>
      <w:tr w:rsidR="00435A31" w:rsidRPr="007C18B7" w14:paraId="444D47CD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8128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Female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AF53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36 (45%)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F2F3A9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E6ADD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17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29A89AF4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100CD5A1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8500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3CEA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44 (55%)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B0AAA0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32A1A4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26</w:t>
            </w: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14:paraId="713EC4B2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07A6536E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C49C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Histologic grade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7D572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4A47B69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1F54DE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</w:tcPr>
          <w:p w14:paraId="7E07ADE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0.54</w:t>
            </w:r>
            <w:r w:rsidRPr="007C18B7">
              <w:rPr>
                <w:rFonts w:hint="eastAsia"/>
                <w:color w:val="000000"/>
              </w:rPr>
              <w:t>7</w:t>
            </w:r>
          </w:p>
        </w:tc>
      </w:tr>
      <w:tr w:rsidR="00435A31" w:rsidRPr="007C18B7" w14:paraId="730982F8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B498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lastRenderedPageBreak/>
              <w:t>G1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16E9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7 (8.75%)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91CF59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0788E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571C482B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2645661D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24CC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7F1F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25 (31.25%)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48A66B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949B4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14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4C16EB15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03F751B9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B261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081F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29 (36.25%)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4A5C8A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0E864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17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4343328E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6AB4E2BC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6DB6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BFD4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19 (23.75%)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8D02DC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7868A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10</w:t>
            </w: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14:paraId="5754C921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5B1D8A29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B27C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TNM stage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1E333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1D5D034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A128F9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</w:tcPr>
          <w:p w14:paraId="4BAD86E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0.034</w:t>
            </w:r>
          </w:p>
        </w:tc>
      </w:tr>
      <w:tr w:rsidR="00435A31" w:rsidRPr="007C18B7" w14:paraId="36C1272A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A27D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I-II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7B1B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13</w:t>
            </w:r>
            <w:r w:rsidRPr="007C18B7">
              <w:rPr>
                <w:color w:val="000000"/>
              </w:rPr>
              <w:t xml:space="preserve"> (</w:t>
            </w:r>
            <w:r w:rsidRPr="007C18B7">
              <w:rPr>
                <w:rFonts w:hint="eastAsia"/>
                <w:color w:val="000000"/>
              </w:rPr>
              <w:t>31</w:t>
            </w:r>
            <w:r w:rsidRPr="007C18B7">
              <w:rPr>
                <w:color w:val="000000"/>
              </w:rPr>
              <w:t>.25%)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D98581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78828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3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0234983E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3DAD5FD6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8494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III-IV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238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 xml:space="preserve">67 </w:t>
            </w:r>
            <w:r w:rsidRPr="007C18B7">
              <w:rPr>
                <w:color w:val="000000"/>
              </w:rPr>
              <w:t>(</w:t>
            </w:r>
            <w:r w:rsidRPr="007C18B7">
              <w:rPr>
                <w:rFonts w:hint="eastAsia"/>
                <w:color w:val="000000"/>
              </w:rPr>
              <w:t>6</w:t>
            </w:r>
            <w:r w:rsidRPr="007C18B7">
              <w:rPr>
                <w:color w:val="000000"/>
              </w:rPr>
              <w:t>8.75%)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28FB9C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D5CE2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40</w:t>
            </w: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14:paraId="1B5241A7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102EACC7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2691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Differentiated degree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7453D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4B82ED9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E9EDB6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</w:tcPr>
          <w:p w14:paraId="31511F6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0.13</w:t>
            </w:r>
            <w:r w:rsidRPr="007C18B7">
              <w:rPr>
                <w:rFonts w:hint="eastAsia"/>
                <w:color w:val="000000"/>
              </w:rPr>
              <w:t>7</w:t>
            </w:r>
          </w:p>
        </w:tc>
      </w:tr>
      <w:tr w:rsidR="00435A31" w:rsidRPr="007C18B7" w14:paraId="31CC1DBA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7198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Low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AEB3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17 (21.25%)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E6F80E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6B07CB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11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5BADB380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628FEF5C" w14:textId="77777777">
        <w:trPr>
          <w:trHeight w:val="418"/>
          <w:jc w:val="center"/>
        </w:trPr>
        <w:tc>
          <w:tcPr>
            <w:tcW w:w="27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9D357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Moderate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183E3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43 (53.75%)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</w:tcPr>
          <w:p w14:paraId="6D16A74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191D3C8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25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11A7846C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6C8BD2D5" w14:textId="77777777">
        <w:trPr>
          <w:trHeight w:val="427"/>
          <w:jc w:val="center"/>
        </w:trPr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6DE8B3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High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9095C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20 (25%)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FCFAFD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D9A9BA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7</w:t>
            </w: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14:paraId="6F535FB7" w14:textId="77777777" w:rsidR="00435A31" w:rsidRPr="007C18B7" w:rsidRDefault="00435A31">
            <w:pPr>
              <w:rPr>
                <w:color w:val="000000"/>
              </w:rPr>
            </w:pPr>
          </w:p>
        </w:tc>
      </w:tr>
    </w:tbl>
    <w:p w14:paraId="4B243030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Note: </w:t>
      </w:r>
      <w:r w:rsidRPr="007C18B7">
        <w:rPr>
          <w:color w:val="000000"/>
        </w:rPr>
        <w:t xml:space="preserve">The P-value results indicate that there is a significant difference in the TNM Stage distribution between the EMC1 low expression and high </w:t>
      </w:r>
      <w:r w:rsidRPr="007C18B7">
        <w:rPr>
          <w:color w:val="000000"/>
        </w:rPr>
        <w:t>expression groups (P = 0.034). For other characteristics, there are no significant differences between the groups (P-values are greater than 0.05).</w:t>
      </w:r>
    </w:p>
    <w:p w14:paraId="46597030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 xml:space="preserve">Table </w:t>
      </w:r>
      <w:r w:rsidRPr="007C18B7">
        <w:rPr>
          <w:color w:val="000000"/>
        </w:rPr>
        <w:t>S</w:t>
      </w:r>
      <w:r w:rsidRPr="007C18B7">
        <w:rPr>
          <w:rFonts w:hint="eastAsia"/>
          <w:color w:val="000000"/>
        </w:rPr>
        <w:t>4</w:t>
      </w:r>
    </w:p>
    <w:p w14:paraId="7031B79A" w14:textId="77777777" w:rsidR="00435A31" w:rsidRPr="007C18B7" w:rsidRDefault="007C18B7">
      <w:pPr>
        <w:jc w:val="center"/>
        <w:rPr>
          <w:b/>
          <w:bCs/>
          <w:color w:val="000000"/>
        </w:rPr>
      </w:pPr>
      <w:r w:rsidRPr="007C18B7">
        <w:rPr>
          <w:b/>
          <w:bCs/>
          <w:color w:val="000000"/>
        </w:rPr>
        <w:t xml:space="preserve">The clinicopathological characteristics of </w:t>
      </w:r>
      <w:r w:rsidRPr="007C18B7">
        <w:rPr>
          <w:rFonts w:hint="eastAsia"/>
          <w:b/>
          <w:bCs/>
          <w:color w:val="000000"/>
        </w:rPr>
        <w:t>20</w:t>
      </w:r>
      <w:r w:rsidRPr="007C18B7">
        <w:rPr>
          <w:b/>
          <w:bCs/>
          <w:color w:val="000000"/>
        </w:rPr>
        <w:t xml:space="preserve"> </w:t>
      </w:r>
      <w:r w:rsidRPr="007C18B7">
        <w:rPr>
          <w:rFonts w:hint="eastAsia"/>
          <w:b/>
          <w:bCs/>
          <w:color w:val="000000"/>
        </w:rPr>
        <w:t>HCC cases</w:t>
      </w:r>
    </w:p>
    <w:tbl>
      <w:tblPr>
        <w:tblpPr w:leftFromText="180" w:rightFromText="180" w:vertAnchor="page" w:horzAnchor="margin" w:tblpY="1141"/>
        <w:tblW w:w="8630" w:type="dxa"/>
        <w:tblLook w:val="04A0" w:firstRow="1" w:lastRow="0" w:firstColumn="1" w:lastColumn="0" w:noHBand="0" w:noVBand="1"/>
      </w:tblPr>
      <w:tblGrid>
        <w:gridCol w:w="1809"/>
        <w:gridCol w:w="1943"/>
        <w:gridCol w:w="1626"/>
        <w:gridCol w:w="1626"/>
        <w:gridCol w:w="1626"/>
      </w:tblGrid>
      <w:tr w:rsidR="00435A31" w:rsidRPr="007C18B7" w14:paraId="6065F1D9" w14:textId="77777777">
        <w:trPr>
          <w:trHeight w:val="266"/>
        </w:trPr>
        <w:tc>
          <w:tcPr>
            <w:tcW w:w="18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  <w:noWrap/>
            <w:vAlign w:val="center"/>
          </w:tcPr>
          <w:bookmarkEnd w:id="1"/>
          <w:p w14:paraId="3E5D8AC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lastRenderedPageBreak/>
              <w:t>Characteristics</w:t>
            </w:r>
          </w:p>
        </w:tc>
        <w:tc>
          <w:tcPr>
            <w:tcW w:w="19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  <w:noWrap/>
            <w:vAlign w:val="center"/>
          </w:tcPr>
          <w:p w14:paraId="25A2BE0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(n = 20)</w:t>
            </w: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</w:tcPr>
          <w:p w14:paraId="6F61E1E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 xml:space="preserve">EMC1 low </w:t>
            </w:r>
            <w:r w:rsidRPr="007C18B7">
              <w:rPr>
                <w:color w:val="000000"/>
              </w:rPr>
              <w:t>expression</w:t>
            </w: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</w:tcPr>
          <w:p w14:paraId="1924F57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 xml:space="preserve">EMC1 high </w:t>
            </w:r>
            <w:r w:rsidRPr="007C18B7">
              <w:rPr>
                <w:color w:val="000000"/>
              </w:rPr>
              <w:t>expression</w:t>
            </w: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8E8E8" w:themeFill="background2"/>
          </w:tcPr>
          <w:p w14:paraId="39E9FB9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P-value</w:t>
            </w:r>
          </w:p>
        </w:tc>
      </w:tr>
      <w:tr w:rsidR="00435A31" w:rsidRPr="007C18B7" w14:paraId="1E707943" w14:textId="77777777">
        <w:trPr>
          <w:trHeight w:val="260"/>
        </w:trPr>
        <w:tc>
          <w:tcPr>
            <w:tcW w:w="18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C06C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Age (years)</w:t>
            </w:r>
          </w:p>
        </w:tc>
        <w:tc>
          <w:tcPr>
            <w:tcW w:w="19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D8856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2844F57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8E49F6F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5C5559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0.62</w:t>
            </w:r>
            <w:r w:rsidRPr="007C18B7">
              <w:rPr>
                <w:rFonts w:hint="eastAsia"/>
                <w:color w:val="000000"/>
              </w:rPr>
              <w:t>6</w:t>
            </w:r>
          </w:p>
        </w:tc>
      </w:tr>
      <w:tr w:rsidR="00435A31" w:rsidRPr="007C18B7" w14:paraId="4BEE29BB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8D428" w14:textId="77777777" w:rsidR="00435A31" w:rsidRPr="007C18B7" w:rsidRDefault="007C18B7">
            <w:pPr>
              <w:jc w:val="left"/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≥</w:t>
            </w:r>
            <w:r w:rsidRPr="007C18B7">
              <w:rPr>
                <w:rFonts w:hint="eastAsia"/>
                <w:color w:val="000000"/>
              </w:rPr>
              <w:t>50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FF40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7AE2515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8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57566BE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6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  <w:vAlign w:val="center"/>
          </w:tcPr>
          <w:p w14:paraId="2976C19B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55BC65AA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3BD49" w14:textId="77777777" w:rsidR="00435A31" w:rsidRPr="007C18B7" w:rsidRDefault="007C18B7">
            <w:pPr>
              <w:jc w:val="left"/>
              <w:rPr>
                <w:color w:val="000000"/>
              </w:rPr>
            </w:pPr>
            <w:r w:rsidRPr="007C18B7">
              <w:rPr>
                <w:color w:val="000000"/>
              </w:rPr>
              <w:t>&lt;50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13E8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6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6C08DD4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B1D6F3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4</w:t>
            </w:r>
          </w:p>
        </w:tc>
        <w:tc>
          <w:tcPr>
            <w:tcW w:w="1626" w:type="dxa"/>
            <w:vMerge/>
            <w:tcBorders>
              <w:left w:val="nil"/>
              <w:bottom w:val="nil"/>
              <w:right w:val="nil"/>
            </w:tcBorders>
          </w:tcPr>
          <w:p w14:paraId="233F7D73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367A3C22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5102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Gender, n (%)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8DF56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3FBCD12A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49B119E4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vMerge w:val="restart"/>
            <w:tcBorders>
              <w:top w:val="nil"/>
              <w:left w:val="nil"/>
              <w:right w:val="nil"/>
            </w:tcBorders>
          </w:tcPr>
          <w:p w14:paraId="2A3B0D4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0.648</w:t>
            </w:r>
          </w:p>
        </w:tc>
      </w:tr>
      <w:tr w:rsidR="00435A31" w:rsidRPr="007C18B7" w14:paraId="651A991F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1B32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Female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3A27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8 (40%)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F1D406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103D2CC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5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  <w:vAlign w:val="center"/>
          </w:tcPr>
          <w:p w14:paraId="15EAA076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15B051BE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1145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Male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59AB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12 (60%)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7EADC4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6B69E0B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5</w:t>
            </w:r>
          </w:p>
        </w:tc>
        <w:tc>
          <w:tcPr>
            <w:tcW w:w="1626" w:type="dxa"/>
            <w:vMerge/>
            <w:tcBorders>
              <w:left w:val="nil"/>
              <w:bottom w:val="nil"/>
              <w:right w:val="nil"/>
            </w:tcBorders>
          </w:tcPr>
          <w:p w14:paraId="57DEB41B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7DE02A22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CA90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Histologic grade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C9A67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5C2C31BD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67D1513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vMerge w:val="restart"/>
            <w:tcBorders>
              <w:top w:val="nil"/>
              <w:left w:val="nil"/>
              <w:right w:val="nil"/>
            </w:tcBorders>
          </w:tcPr>
          <w:p w14:paraId="279E459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0.79</w:t>
            </w:r>
            <w:r w:rsidRPr="007C18B7">
              <w:rPr>
                <w:rFonts w:hint="eastAsia"/>
                <w:color w:val="000000"/>
              </w:rPr>
              <w:t>9</w:t>
            </w:r>
          </w:p>
        </w:tc>
      </w:tr>
      <w:tr w:rsidR="00435A31" w:rsidRPr="007C18B7" w14:paraId="5834E365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D65B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G1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417F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 (10%)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6E491E1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06139E9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</w:tcPr>
          <w:p w14:paraId="39B7B8AF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4D8C5AD8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4810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G2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662C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7 (35%)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06991EF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3B462F9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4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</w:tcPr>
          <w:p w14:paraId="0E9D8F3A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78F65BB6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5E1D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G3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5D8F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6 (30%)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47D21A4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6246203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</w:tcPr>
          <w:p w14:paraId="374F5180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17B578EC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9488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G4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729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5 (25%)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16B58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E40638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3</w:t>
            </w:r>
          </w:p>
        </w:tc>
        <w:tc>
          <w:tcPr>
            <w:tcW w:w="1626" w:type="dxa"/>
            <w:vMerge/>
            <w:tcBorders>
              <w:left w:val="nil"/>
              <w:bottom w:val="nil"/>
              <w:right w:val="nil"/>
            </w:tcBorders>
          </w:tcPr>
          <w:p w14:paraId="7737188B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16DE4FEF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CA2E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TNM stage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2D927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05C18776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6C76689F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vMerge w:val="restart"/>
            <w:tcBorders>
              <w:top w:val="nil"/>
              <w:left w:val="nil"/>
              <w:right w:val="nil"/>
            </w:tcBorders>
          </w:tcPr>
          <w:p w14:paraId="159882C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0.576</w:t>
            </w:r>
          </w:p>
        </w:tc>
      </w:tr>
      <w:tr w:rsidR="00435A31" w:rsidRPr="007C18B7" w14:paraId="3897FBA9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D416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III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3653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 xml:space="preserve">4 </w:t>
            </w:r>
            <w:r w:rsidRPr="007C18B7">
              <w:rPr>
                <w:color w:val="000000"/>
              </w:rPr>
              <w:t>(30%)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1B3DA89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778C37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</w:tcPr>
          <w:p w14:paraId="5EF00260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678E3A2E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E539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IV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AAA5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  <w:r w:rsidRPr="007C18B7">
              <w:rPr>
                <w:rFonts w:hint="eastAsia"/>
                <w:color w:val="000000"/>
              </w:rPr>
              <w:t xml:space="preserve">6 </w:t>
            </w:r>
            <w:r w:rsidRPr="007C18B7">
              <w:rPr>
                <w:color w:val="000000"/>
              </w:rPr>
              <w:t>(70%)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7065B28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087FE17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9</w:t>
            </w:r>
          </w:p>
        </w:tc>
        <w:tc>
          <w:tcPr>
            <w:tcW w:w="1626" w:type="dxa"/>
            <w:vMerge/>
            <w:tcBorders>
              <w:left w:val="nil"/>
              <w:bottom w:val="nil"/>
              <w:right w:val="nil"/>
            </w:tcBorders>
          </w:tcPr>
          <w:p w14:paraId="2CF90053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39F8AB5A" w14:textId="77777777">
        <w:trPr>
          <w:trHeight w:val="448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AE23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Differentiated degree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5E45F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323702C7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03726649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626" w:type="dxa"/>
            <w:vMerge w:val="restart"/>
            <w:tcBorders>
              <w:top w:val="nil"/>
              <w:left w:val="nil"/>
              <w:right w:val="nil"/>
            </w:tcBorders>
          </w:tcPr>
          <w:p w14:paraId="56CAB7C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0.648</w:t>
            </w:r>
          </w:p>
        </w:tc>
      </w:tr>
      <w:tr w:rsidR="00435A31" w:rsidRPr="007C18B7" w14:paraId="6FB57B66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26AA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Low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30D3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3 (15%)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2F2E004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1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12CE21E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</w:tcPr>
          <w:p w14:paraId="08F6660B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0A091C27" w14:textId="77777777">
        <w:trPr>
          <w:trHeight w:val="256"/>
        </w:trPr>
        <w:tc>
          <w:tcPr>
            <w:tcW w:w="18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4BFC3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Moderate</w:t>
            </w:r>
          </w:p>
        </w:tc>
        <w:tc>
          <w:tcPr>
            <w:tcW w:w="1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1826C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12 (60%)</w:t>
            </w:r>
          </w:p>
        </w:tc>
        <w:tc>
          <w:tcPr>
            <w:tcW w:w="1626" w:type="dxa"/>
            <w:tcBorders>
              <w:top w:val="nil"/>
              <w:left w:val="nil"/>
              <w:right w:val="nil"/>
            </w:tcBorders>
          </w:tcPr>
          <w:p w14:paraId="1F951EE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right w:val="nil"/>
            </w:tcBorders>
          </w:tcPr>
          <w:p w14:paraId="36CF3FA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5</w:t>
            </w:r>
          </w:p>
        </w:tc>
        <w:tc>
          <w:tcPr>
            <w:tcW w:w="1626" w:type="dxa"/>
            <w:vMerge/>
            <w:tcBorders>
              <w:left w:val="nil"/>
              <w:right w:val="nil"/>
            </w:tcBorders>
          </w:tcPr>
          <w:p w14:paraId="47C92123" w14:textId="77777777" w:rsidR="00435A31" w:rsidRPr="007C18B7" w:rsidRDefault="00435A31">
            <w:pPr>
              <w:rPr>
                <w:color w:val="000000"/>
              </w:rPr>
            </w:pPr>
          </w:p>
        </w:tc>
      </w:tr>
      <w:tr w:rsidR="00435A31" w:rsidRPr="007C18B7" w14:paraId="322190B5" w14:textId="77777777">
        <w:trPr>
          <w:trHeight w:val="260"/>
        </w:trPr>
        <w:tc>
          <w:tcPr>
            <w:tcW w:w="18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A89AEE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High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F06B5B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5 (25%)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F77293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975121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3</w:t>
            </w:r>
          </w:p>
        </w:tc>
        <w:tc>
          <w:tcPr>
            <w:tcW w:w="1626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14:paraId="6B44313B" w14:textId="77777777" w:rsidR="00435A31" w:rsidRPr="007C18B7" w:rsidRDefault="00435A31">
            <w:pPr>
              <w:rPr>
                <w:color w:val="000000"/>
              </w:rPr>
            </w:pPr>
          </w:p>
        </w:tc>
      </w:tr>
    </w:tbl>
    <w:p w14:paraId="4CB9355D" w14:textId="77777777" w:rsidR="00435A31" w:rsidRPr="007C18B7" w:rsidRDefault="007C18B7">
      <w:pPr>
        <w:rPr>
          <w:color w:val="000000"/>
        </w:rPr>
      </w:pPr>
      <w:r w:rsidRPr="007C18B7">
        <w:rPr>
          <w:rFonts w:hint="eastAsia"/>
          <w:color w:val="000000"/>
        </w:rPr>
        <w:t xml:space="preserve">Note: </w:t>
      </w:r>
      <w:r w:rsidRPr="007C18B7">
        <w:rPr>
          <w:color w:val="000000"/>
        </w:rPr>
        <w:t xml:space="preserve">P-values calculated using the chi-square test, assessing the significance of differences between EMC1 low </w:t>
      </w:r>
      <w:r w:rsidRPr="007C18B7">
        <w:rPr>
          <w:color w:val="000000"/>
        </w:rPr>
        <w:t>expression and high expression groups for each characteristic. There are no significant differences between the EMC1 low expression and high expression groups for all characteristics (all P-values are greater than 0.05).</w:t>
      </w:r>
    </w:p>
    <w:p w14:paraId="784100CE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 xml:space="preserve">Table </w:t>
      </w:r>
      <w:r w:rsidRPr="007C18B7">
        <w:rPr>
          <w:color w:val="000000"/>
        </w:rPr>
        <w:t>S</w:t>
      </w:r>
      <w:r w:rsidRPr="007C18B7">
        <w:rPr>
          <w:rFonts w:hint="eastAsia"/>
          <w:color w:val="000000"/>
        </w:rPr>
        <w:t>5</w:t>
      </w:r>
    </w:p>
    <w:p w14:paraId="70C8DEBC" w14:textId="77777777" w:rsidR="00435A31" w:rsidRPr="007C18B7" w:rsidRDefault="007C18B7">
      <w:pPr>
        <w:jc w:val="center"/>
        <w:rPr>
          <w:b/>
          <w:bCs/>
          <w:color w:val="000000"/>
        </w:rPr>
      </w:pPr>
      <w:r w:rsidRPr="007C18B7">
        <w:rPr>
          <w:b/>
          <w:bCs/>
          <w:color w:val="000000"/>
        </w:rPr>
        <w:t>Details of Genes Related to EMC Complex</w:t>
      </w:r>
    </w:p>
    <w:tbl>
      <w:tblPr>
        <w:tblW w:w="84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6"/>
        <w:gridCol w:w="2800"/>
        <w:gridCol w:w="1843"/>
        <w:gridCol w:w="1309"/>
        <w:gridCol w:w="1576"/>
      </w:tblGrid>
      <w:tr w:rsidR="00435A31" w:rsidRPr="007C18B7" w14:paraId="1F8F09E2" w14:textId="77777777">
        <w:trPr>
          <w:trHeight w:val="250"/>
        </w:trPr>
        <w:tc>
          <w:tcPr>
            <w:tcW w:w="8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8E8E8" w:themeFill="background2"/>
            <w:vAlign w:val="center"/>
          </w:tcPr>
          <w:p w14:paraId="6515D4E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Gene symbol</w:t>
            </w:r>
          </w:p>
        </w:tc>
        <w:tc>
          <w:tcPr>
            <w:tcW w:w="2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8E8E8" w:themeFill="background2"/>
            <w:vAlign w:val="center"/>
          </w:tcPr>
          <w:p w14:paraId="1195461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Approved name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8E8E8" w:themeFill="background2"/>
            <w:vAlign w:val="center"/>
          </w:tcPr>
          <w:p w14:paraId="26AF6FB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Previous symbols</w:t>
            </w:r>
          </w:p>
        </w:tc>
        <w:tc>
          <w:tcPr>
            <w:tcW w:w="13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8E8E8" w:themeFill="background2"/>
            <w:vAlign w:val="center"/>
          </w:tcPr>
          <w:p w14:paraId="335EC87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Aliases</w:t>
            </w:r>
          </w:p>
        </w:tc>
        <w:tc>
          <w:tcPr>
            <w:tcW w:w="15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8E8E8" w:themeFill="background2"/>
            <w:vAlign w:val="center"/>
          </w:tcPr>
          <w:p w14:paraId="563DE53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Chromosome</w:t>
            </w:r>
          </w:p>
        </w:tc>
      </w:tr>
      <w:tr w:rsidR="00435A31" w:rsidRPr="007C18B7" w14:paraId="7D0222F4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ADE9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A4F9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C8D6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KIAA0090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8922F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D0E1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1p36.13</w:t>
            </w:r>
          </w:p>
        </w:tc>
      </w:tr>
      <w:tr w:rsidR="00435A31" w:rsidRPr="007C18B7" w14:paraId="4E363F49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3D6F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EMC2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B748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38B3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KIAA0103,TTC35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F6005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3606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8q23.1</w:t>
            </w:r>
          </w:p>
        </w:tc>
      </w:tr>
      <w:tr w:rsidR="00435A31" w:rsidRPr="007C18B7" w14:paraId="0E4E30E3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6B4A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EMC3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C478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1B58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TMEM111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CE237" w14:textId="77777777" w:rsidR="00435A31" w:rsidRPr="007C18B7" w:rsidRDefault="00435A31">
            <w:pPr>
              <w:rPr>
                <w:color w:val="00000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F355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3p25.3</w:t>
            </w:r>
          </w:p>
        </w:tc>
      </w:tr>
      <w:tr w:rsidR="00435A31" w:rsidRPr="007C18B7" w14:paraId="6E2613EC" w14:textId="77777777">
        <w:trPr>
          <w:trHeight w:val="501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625B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lastRenderedPageBreak/>
              <w:t>EMC4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0DE1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56D6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TMEM85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1E53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FLJ90746,MGC24415,PIG17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3A46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15q14</w:t>
            </w:r>
          </w:p>
        </w:tc>
      </w:tr>
      <w:tr w:rsidR="00435A31" w:rsidRPr="007C18B7" w14:paraId="110F0FD1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73A2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MMGT1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E8F8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membrane magnesium transporter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62CE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TMEM32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6612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EMC5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9117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Xq26.3</w:t>
            </w:r>
          </w:p>
        </w:tc>
      </w:tr>
      <w:tr w:rsidR="00435A31" w:rsidRPr="007C18B7" w14:paraId="479200F4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E90C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40F0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28F3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TMEM93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DF8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MGC2963,RAB5IFL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776B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17p13.2</w:t>
            </w:r>
          </w:p>
        </w:tc>
      </w:tr>
      <w:tr w:rsidR="00435A31" w:rsidRPr="007C18B7" w14:paraId="2EF2EB5A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B6C8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E5ED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 xml:space="preserve">ER membrane </w:t>
            </w:r>
            <w:r w:rsidRPr="007C18B7">
              <w:rPr>
                <w:color w:val="000000"/>
              </w:rPr>
              <w:t>protein complex subunit 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A218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C15orf24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3DD7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C11orf3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4711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15q14</w:t>
            </w:r>
          </w:p>
        </w:tc>
      </w:tr>
      <w:tr w:rsidR="00435A31" w:rsidRPr="007C18B7" w14:paraId="1C9B3E9A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BA28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5FB4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62A3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C16orf4,NOC4,C16orf2,COX4NB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E3BC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FAM158B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7F2D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16q24.1</w:t>
            </w:r>
          </w:p>
        </w:tc>
      </w:tr>
      <w:tr w:rsidR="00435A31" w:rsidRPr="007C18B7" w14:paraId="7EA87CA3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D6B6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DC62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ER membrane protein complex subunit 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886F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C14orf122,FAM158A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D6FD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CGI-112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77B7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14q12</w:t>
            </w:r>
          </w:p>
        </w:tc>
      </w:tr>
      <w:tr w:rsidR="00435A31" w:rsidRPr="007C18B7" w14:paraId="0626314D" w14:textId="77777777">
        <w:trPr>
          <w:trHeight w:val="250"/>
        </w:trPr>
        <w:tc>
          <w:tcPr>
            <w:tcW w:w="8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C2758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EMC10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23565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 xml:space="preserve">ER membrane protein complex </w:t>
            </w:r>
            <w:r w:rsidRPr="007C18B7">
              <w:rPr>
                <w:color w:val="000000"/>
              </w:rPr>
              <w:t>subunit 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9B43E7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C19orf63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2CC520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INM02,HSS1,HSM1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740D1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19q13.33</w:t>
            </w:r>
          </w:p>
        </w:tc>
      </w:tr>
    </w:tbl>
    <w:p w14:paraId="023E0E93" w14:textId="77777777" w:rsidR="00435A31" w:rsidRPr="007C18B7" w:rsidRDefault="007C18B7">
      <w:pPr>
        <w:rPr>
          <w:color w:val="000000"/>
        </w:rPr>
      </w:pPr>
      <w:r w:rsidRPr="007C18B7">
        <w:rPr>
          <w:color w:val="000000"/>
        </w:rPr>
        <w:t>Note: This table provides detailed information on the genes associated with the EMC complex, including their approved names, previous symbols, aliases, and chromosomal locations.</w:t>
      </w:r>
    </w:p>
    <w:p w14:paraId="21C1C857" w14:textId="77777777" w:rsidR="00435A31" w:rsidRPr="007C18B7" w:rsidRDefault="007C18B7">
      <w:pPr>
        <w:pStyle w:val="Heading2"/>
        <w:rPr>
          <w:color w:val="000000"/>
        </w:rPr>
      </w:pPr>
      <w:r w:rsidRPr="007C18B7">
        <w:rPr>
          <w:rFonts w:hint="eastAsia"/>
          <w:color w:val="000000"/>
        </w:rPr>
        <w:t xml:space="preserve">Table </w:t>
      </w:r>
      <w:r w:rsidRPr="007C18B7">
        <w:rPr>
          <w:color w:val="000000"/>
        </w:rPr>
        <w:t>S</w:t>
      </w:r>
      <w:r w:rsidRPr="007C18B7">
        <w:rPr>
          <w:rFonts w:hint="eastAsia"/>
          <w:color w:val="000000"/>
        </w:rPr>
        <w:t>6</w:t>
      </w:r>
    </w:p>
    <w:p w14:paraId="222F6828" w14:textId="77777777" w:rsidR="00435A31" w:rsidRPr="007C18B7" w:rsidRDefault="007C18B7">
      <w:pPr>
        <w:jc w:val="center"/>
        <w:rPr>
          <w:b/>
          <w:bCs/>
          <w:color w:val="000000"/>
        </w:rPr>
      </w:pPr>
      <w:r w:rsidRPr="007C18B7">
        <w:rPr>
          <w:b/>
          <w:bCs/>
          <w:color w:val="000000"/>
        </w:rPr>
        <w:t xml:space="preserve">Top 50 </w:t>
      </w:r>
      <w:r w:rsidRPr="007C18B7">
        <w:rPr>
          <w:b/>
          <w:bCs/>
          <w:color w:val="000000"/>
        </w:rPr>
        <w:t>Differentially Expressed Genes in Malignant Cell Subgroup C1</w:t>
      </w:r>
    </w:p>
    <w:tbl>
      <w:tblPr>
        <w:tblW w:w="8898" w:type="dxa"/>
        <w:tblInd w:w="108" w:type="dxa"/>
        <w:tblLook w:val="04A0" w:firstRow="1" w:lastRow="0" w:firstColumn="1" w:lastColumn="0" w:noHBand="0" w:noVBand="1"/>
      </w:tblPr>
      <w:tblGrid>
        <w:gridCol w:w="1313"/>
        <w:gridCol w:w="1000"/>
        <w:gridCol w:w="1780"/>
        <w:gridCol w:w="1380"/>
        <w:gridCol w:w="1000"/>
        <w:gridCol w:w="1045"/>
        <w:gridCol w:w="1380"/>
      </w:tblGrid>
      <w:tr w:rsidR="00435A31" w:rsidRPr="007C18B7" w14:paraId="051D3BBD" w14:textId="77777777">
        <w:trPr>
          <w:trHeight w:val="282"/>
        </w:trPr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0FBB9A0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rFonts w:hint="eastAsia"/>
                <w:color w:val="000000"/>
              </w:rPr>
              <w:t>G</w:t>
            </w:r>
            <w:r w:rsidRPr="007C18B7">
              <w:rPr>
                <w:color w:val="000000"/>
              </w:rPr>
              <w:t>ene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2B0FD92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p_val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1A0B71C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avg_log2FC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4417F43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pct.1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6600F2E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pct.2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4D72F9E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p_val_adj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8E8E8" w:themeFill="background2"/>
            <w:noWrap/>
            <w:vAlign w:val="center"/>
          </w:tcPr>
          <w:p w14:paraId="4EEA146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cluster</w:t>
            </w:r>
          </w:p>
        </w:tc>
      </w:tr>
      <w:tr w:rsidR="00435A31" w:rsidRPr="007C18B7" w14:paraId="007E7AAE" w14:textId="77777777">
        <w:trPr>
          <w:trHeight w:val="282"/>
        </w:trPr>
        <w:tc>
          <w:tcPr>
            <w:tcW w:w="13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97B5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APOA2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E26A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DB14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2.219256149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6DE1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3D8E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0.194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4CBC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AF53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AB358F3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5191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ALB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F48F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EFC0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2.171745057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7043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9107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A5DD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E86B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497267A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831C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APOA1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A6E6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AD18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2.126910284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49C3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95C4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593B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FB1D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3B9487D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C033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FABP1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345B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6724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2.121865792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B87E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9A5E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E417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36FE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CB23931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EAD2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50DB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C75A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2.119066159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9924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CAF9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9F85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A224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549DB164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8CB2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AHSG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602B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2E9D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2.09606041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1C24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6403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A101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900B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BE0F937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B30A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VTN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6630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15C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2.051045404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7E7F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9D73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29B4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B7FC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0B6A75D3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56E3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AFP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35AB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C648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2.036846333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8F8B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A596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38A0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1D87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3B05E27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6C74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TF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83F1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9541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2.0323747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AA33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4075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A5B6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1BDF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BC79B32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8E05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AMBP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2A80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58A4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2.020974698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7D7C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E00C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0.213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FB19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C167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5286661D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9823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AGT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5428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515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2.004672117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B730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9FB5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BF9D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D9B9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47DDC20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85AB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RBP4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CD72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5CCC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2.004519534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CD1B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55B6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F572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0605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056675CA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299A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TTR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CA5C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1B46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2.001838605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2310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FA51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C80F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CBDB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729E7AEA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1803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NTS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1139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9CF5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1.984627953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31E2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7D1A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38CB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A7BD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34DB42FB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E549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0598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6A79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1.974586249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8441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9FAD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0.303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87F3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63A6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35E0270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56E8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lastRenderedPageBreak/>
              <w:t>APOB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EE91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2123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1.948025807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0CA0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33B6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B5FA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2CB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F1A69F3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049D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EB8E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8DF1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1.928740433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37FC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8C60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2269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ED76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06C1BA92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F7FD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AKR1C4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76E6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2904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1.911514931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6A6A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31AF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F7E6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21AF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51C4838B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F2D1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APOC1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25C3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9A4E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1.88824775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7AE0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BE4F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0.458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A8CF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F18B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8F214C2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73B8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GAGE2A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336D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C4BC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1.870882123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49BA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4986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7AAD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1EB0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2828444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3063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AKR1C1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1EDC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BD2E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1.865187323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7633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68A7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0.38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A4A9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B95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97BC3FC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904F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GPC3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1210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D999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1.844738327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ABDD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144C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0.237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893A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6710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F0D9237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A603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APOC3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A8E6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6C10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1.841012746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792F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EDA4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1AD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EC5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3FE19C16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F071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ANGPTL8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F152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A79C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1.823987195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F1C5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E126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0.187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52ED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1FE9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F607469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DC3A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FGB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8627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760C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1.811314423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8867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A4FD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63DE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0B8D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1F3C084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CB9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NPW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54BF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093C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1.81050406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230F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CDDA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F2CE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B45D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EA2D706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D7F9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586F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6D4B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1.792848197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C6D5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B873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FE07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2FCA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FE54D8E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FEAE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S100A9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3851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4E59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1.770182707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9D5A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77B0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0.238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6CCD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E7C5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B76FD31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D17A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FGL1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13E0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6778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1.770098475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3503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99C0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3CC6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4672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40A7BBD6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C247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PRAP1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F667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A7B0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1.767883471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FBF4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AA01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0.248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BCE1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E5CB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88F1A52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DD50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BCHE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2A15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590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1.754362842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6B98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7740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B65D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FE55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55486066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1873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E2BF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A7A4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1.752257973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1C8D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1C2C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9553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7A09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ECCBF88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714F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FGG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B9DB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D935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1.738304542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9B2F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28E9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4CB7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E45E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0E5FE7F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C8DC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ASGR1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7450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F4F6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1.732841268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59E3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3C3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139E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78A6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9D4C9AA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0F68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ORM1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E48D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D825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1.730211481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D8DA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0484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0.187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1113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DA9B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75D13F1D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9661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LBP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E1FF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D865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1.714016617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6E31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2A10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861C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D1AF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E7BF189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F284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C2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8350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751A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1.684821164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3E36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7FD1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0.231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58CA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119E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560D1054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DF23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SERPINF1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1A22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EC1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1.684759613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FCE6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D41C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F6E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E1D0C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0C61A6CC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83E7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A1BG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1D7F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6EC0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1.654201511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AC04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06DC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FD49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B7D4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546A618E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894C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FGA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0B11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6C9E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1.65324932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C50C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39C1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6ED5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D545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6BB435BA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D626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ORM2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4BD6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38D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1.61025072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9D2E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D057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0.186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8C4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BB53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7F408929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E219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ANGPTL3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BBC5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4C2F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1.61009129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7B55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505D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0.188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E52F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18E6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704A3761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AED3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FXYD2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C4D6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20EC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1.608238568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DE88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D21C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0.209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6DB9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2FE1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78067335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B769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SEPP1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0ECC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9309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1.587494576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8F81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1E31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0.545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1E2A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1708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3572D6ED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EB0B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RARRES2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F1F7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8270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1.587422391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CF90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9523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0.495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3B9F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1CBC3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105C98FC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C08D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HPX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B98D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3323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1.577875431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9639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E269E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0.193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C4CE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FC53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766949C0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5A72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SPP1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A786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AF81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1.572912921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B716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B46D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0.215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9F48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6EF5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341E66CE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F46D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TMEM176A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D2B6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7CA7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1.569868301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F1738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A669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0.38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F348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F8DC4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70FCE68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5AB51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PLG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E12AE9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380F67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1.562666586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B3A57A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0.985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E028F6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0.186</w:t>
            </w:r>
          </w:p>
        </w:tc>
        <w:tc>
          <w:tcPr>
            <w:tcW w:w="10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9057E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8A3B3F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  <w:tr w:rsidR="00435A31" w:rsidRPr="007C18B7" w14:paraId="212E7EC1" w14:textId="77777777">
        <w:trPr>
          <w:trHeight w:val="282"/>
        </w:trPr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46E428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GPX3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4FBDBBD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D29A432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1.534902828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18CF765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0.978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7FBA061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0.24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44760B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C7149F0" w14:textId="77777777" w:rsidR="00435A31" w:rsidRPr="007C18B7" w:rsidRDefault="007C18B7">
            <w:pPr>
              <w:rPr>
                <w:color w:val="000000"/>
              </w:rPr>
            </w:pPr>
            <w:r w:rsidRPr="007C18B7">
              <w:rPr>
                <w:color w:val="000000"/>
              </w:rPr>
              <w:t>Malignant C1</w:t>
            </w:r>
          </w:p>
        </w:tc>
      </w:tr>
    </w:tbl>
    <w:p w14:paraId="0FC1660B" w14:textId="77777777" w:rsidR="00435A31" w:rsidRPr="007C18B7" w:rsidRDefault="007C18B7">
      <w:pPr>
        <w:rPr>
          <w:color w:val="000000"/>
        </w:rPr>
      </w:pPr>
      <w:r w:rsidRPr="007C18B7">
        <w:rPr>
          <w:color w:val="000000"/>
        </w:rPr>
        <w:t xml:space="preserve">Note: This table lists the top 50 differentially expressed genes in malignant cell subgroup C1, including their p-values, average log2 fold changes (avg_log2FC), percentage of cells in which the </w:t>
      </w:r>
      <w:r w:rsidRPr="007C18B7">
        <w:rPr>
          <w:color w:val="000000"/>
        </w:rPr>
        <w:lastRenderedPageBreak/>
        <w:t xml:space="preserve">gene is detected in each subgroup (pct.1 and pct.2), adjusted p-values (p_val_adj), and the identified cluster. The information provided helps to elucidate the molecular characteristics and potential functional roles of these genes within the malignant </w:t>
      </w:r>
      <w:r w:rsidRPr="007C18B7">
        <w:rPr>
          <w:rFonts w:hint="eastAsia"/>
          <w:color w:val="000000"/>
        </w:rPr>
        <w:t>C1</w:t>
      </w:r>
      <w:r w:rsidRPr="007C18B7">
        <w:rPr>
          <w:color w:val="000000"/>
        </w:rPr>
        <w:t xml:space="preserve"> population.</w:t>
      </w:r>
    </w:p>
    <w:sectPr w:rsidR="00435A31" w:rsidRPr="007C18B7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47E31" w14:textId="77777777" w:rsidR="00435A31" w:rsidRDefault="007C18B7">
      <w:pPr>
        <w:spacing w:line="240" w:lineRule="auto"/>
      </w:pPr>
      <w:r>
        <w:separator/>
      </w:r>
    </w:p>
  </w:endnote>
  <w:endnote w:type="continuationSeparator" w:id="0">
    <w:p w14:paraId="36CF0E9B" w14:textId="77777777" w:rsidR="00435A31" w:rsidRDefault="007C18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7128" w14:textId="3C6FE394" w:rsidR="007C18B7" w:rsidRDefault="007C18B7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B7A7C82" wp14:editId="27789D3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91795"/>
              <wp:effectExtent l="0" t="0" r="9525" b="0"/>
              <wp:wrapNone/>
              <wp:docPr id="102411571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E306F4" w14:textId="578E79E8" w:rsidR="007C18B7" w:rsidRPr="007C18B7" w:rsidRDefault="007C18B7" w:rsidP="007C18B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C18B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A7C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30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3E306F4" w14:textId="578E79E8" w:rsidR="007C18B7" w:rsidRPr="007C18B7" w:rsidRDefault="007C18B7" w:rsidP="007C18B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C18B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D50C6" w14:textId="63153444" w:rsidR="007C18B7" w:rsidRDefault="007C18B7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F82EEC4" wp14:editId="26E71DDE">
              <wp:simplePos x="1145969" y="986839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91795"/>
              <wp:effectExtent l="0" t="0" r="9525" b="0"/>
              <wp:wrapNone/>
              <wp:docPr id="45161944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8E6CED" w14:textId="5AF58149" w:rsidR="007C18B7" w:rsidRPr="007C18B7" w:rsidRDefault="007C18B7" w:rsidP="007C18B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C18B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2EE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088E6CED" w14:textId="5AF58149" w:rsidR="007C18B7" w:rsidRPr="007C18B7" w:rsidRDefault="007C18B7" w:rsidP="007C18B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C18B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3D738" w14:textId="1CBE6013" w:rsidR="007C18B7" w:rsidRDefault="007C18B7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7886AD" wp14:editId="070518B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91795"/>
              <wp:effectExtent l="0" t="0" r="9525" b="0"/>
              <wp:wrapNone/>
              <wp:docPr id="214002117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C818AA" w14:textId="0F6726E0" w:rsidR="007C18B7" w:rsidRPr="007C18B7" w:rsidRDefault="007C18B7" w:rsidP="007C18B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C18B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886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30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58C818AA" w14:textId="0F6726E0" w:rsidR="007C18B7" w:rsidRPr="007C18B7" w:rsidRDefault="007C18B7" w:rsidP="007C18B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C18B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F6FDB" w14:textId="77777777" w:rsidR="00435A31" w:rsidRDefault="007C18B7">
      <w:r>
        <w:separator/>
      </w:r>
    </w:p>
  </w:footnote>
  <w:footnote w:type="continuationSeparator" w:id="0">
    <w:p w14:paraId="22360B9C" w14:textId="77777777" w:rsidR="00435A31" w:rsidRDefault="007C18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doNotTrackFormatting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UyMjBhZDI2NTk1N2JjMGYzMjBmZDkyNDA5OWUyODUifQ=="/>
  </w:docVars>
  <w:rsids>
    <w:rsidRoot w:val="008A26C9"/>
    <w:rsid w:val="0002692A"/>
    <w:rsid w:val="00030C26"/>
    <w:rsid w:val="000A6A4D"/>
    <w:rsid w:val="000E77F2"/>
    <w:rsid w:val="0011606C"/>
    <w:rsid w:val="0016017C"/>
    <w:rsid w:val="001A496C"/>
    <w:rsid w:val="001C4C0B"/>
    <w:rsid w:val="001C60EA"/>
    <w:rsid w:val="001C7A5C"/>
    <w:rsid w:val="001D0330"/>
    <w:rsid w:val="001D4AC9"/>
    <w:rsid w:val="001D7D26"/>
    <w:rsid w:val="001F0803"/>
    <w:rsid w:val="001F531F"/>
    <w:rsid w:val="002631B1"/>
    <w:rsid w:val="0026326B"/>
    <w:rsid w:val="00276A07"/>
    <w:rsid w:val="002A7659"/>
    <w:rsid w:val="002D0C8D"/>
    <w:rsid w:val="002F1905"/>
    <w:rsid w:val="00351A3E"/>
    <w:rsid w:val="00362211"/>
    <w:rsid w:val="00390F1E"/>
    <w:rsid w:val="003C4302"/>
    <w:rsid w:val="003E1FD5"/>
    <w:rsid w:val="00404E5C"/>
    <w:rsid w:val="00435A31"/>
    <w:rsid w:val="00463EF1"/>
    <w:rsid w:val="004807EC"/>
    <w:rsid w:val="00490469"/>
    <w:rsid w:val="00494810"/>
    <w:rsid w:val="0049586B"/>
    <w:rsid w:val="00495CD8"/>
    <w:rsid w:val="004E520D"/>
    <w:rsid w:val="005043F8"/>
    <w:rsid w:val="00520F09"/>
    <w:rsid w:val="00530C28"/>
    <w:rsid w:val="00563C85"/>
    <w:rsid w:val="0058564D"/>
    <w:rsid w:val="005D5281"/>
    <w:rsid w:val="005D586B"/>
    <w:rsid w:val="00636B19"/>
    <w:rsid w:val="006713B1"/>
    <w:rsid w:val="00700210"/>
    <w:rsid w:val="00710573"/>
    <w:rsid w:val="00711CE7"/>
    <w:rsid w:val="00720DD0"/>
    <w:rsid w:val="007649FF"/>
    <w:rsid w:val="00794E17"/>
    <w:rsid w:val="007A492C"/>
    <w:rsid w:val="007C18B7"/>
    <w:rsid w:val="007D0D14"/>
    <w:rsid w:val="007D16A0"/>
    <w:rsid w:val="007E226E"/>
    <w:rsid w:val="007F72BF"/>
    <w:rsid w:val="007F7673"/>
    <w:rsid w:val="00835FF6"/>
    <w:rsid w:val="00841C18"/>
    <w:rsid w:val="00863BC3"/>
    <w:rsid w:val="00874AF2"/>
    <w:rsid w:val="008A26C9"/>
    <w:rsid w:val="008B265B"/>
    <w:rsid w:val="008F100C"/>
    <w:rsid w:val="00910F76"/>
    <w:rsid w:val="00923D13"/>
    <w:rsid w:val="00982776"/>
    <w:rsid w:val="00983AF6"/>
    <w:rsid w:val="00994921"/>
    <w:rsid w:val="00994E35"/>
    <w:rsid w:val="009D1E1D"/>
    <w:rsid w:val="00A2040A"/>
    <w:rsid w:val="00A3188A"/>
    <w:rsid w:val="00A356DE"/>
    <w:rsid w:val="00A5698B"/>
    <w:rsid w:val="00A74F43"/>
    <w:rsid w:val="00A8716B"/>
    <w:rsid w:val="00A95064"/>
    <w:rsid w:val="00AE641D"/>
    <w:rsid w:val="00B072C7"/>
    <w:rsid w:val="00B45BCE"/>
    <w:rsid w:val="00B630D7"/>
    <w:rsid w:val="00B84898"/>
    <w:rsid w:val="00B93C41"/>
    <w:rsid w:val="00BA44CF"/>
    <w:rsid w:val="00BC2521"/>
    <w:rsid w:val="00BE4D19"/>
    <w:rsid w:val="00C17D41"/>
    <w:rsid w:val="00D22B0A"/>
    <w:rsid w:val="00D60401"/>
    <w:rsid w:val="00D72191"/>
    <w:rsid w:val="00DC223F"/>
    <w:rsid w:val="00DD7A81"/>
    <w:rsid w:val="00DE2DD4"/>
    <w:rsid w:val="00DF02FA"/>
    <w:rsid w:val="00DF55D9"/>
    <w:rsid w:val="00E47922"/>
    <w:rsid w:val="00E62937"/>
    <w:rsid w:val="00E64CA0"/>
    <w:rsid w:val="00E95F4C"/>
    <w:rsid w:val="00ED6439"/>
    <w:rsid w:val="00F47261"/>
    <w:rsid w:val="00FA5B98"/>
    <w:rsid w:val="00FB05DA"/>
    <w:rsid w:val="00FB694D"/>
    <w:rsid w:val="00FD0423"/>
    <w:rsid w:val="00FD1B2E"/>
    <w:rsid w:val="00FD631A"/>
    <w:rsid w:val="00FD7E9D"/>
    <w:rsid w:val="00FF0FAC"/>
    <w:rsid w:val="0BFA149F"/>
    <w:rsid w:val="16DE5134"/>
    <w:rsid w:val="2C091DDA"/>
    <w:rsid w:val="41A95B39"/>
    <w:rsid w:val="48896897"/>
    <w:rsid w:val="6D857B23"/>
    <w:rsid w:val="7FA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F56C"/>
  <w15:docId w15:val="{53C2A9FC-16B0-444B-BB3C-D455BF16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spacing w:line="360" w:lineRule="auto"/>
      <w:jc w:val="both"/>
    </w:pPr>
    <w:rPr>
      <w:rFonts w:eastAsia="DengXian"/>
      <w:kern w:val="2"/>
      <w:sz w:val="21"/>
      <w:szCs w:val="21"/>
      <w:lang w:val="en-US"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24"/>
      <w:szCs w:val="44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pPr>
      <w:keepNext/>
      <w:keepLines/>
      <w:spacing w:before="260" w:after="260" w:line="416" w:lineRule="auto"/>
      <w:jc w:val="left"/>
      <w:outlineLvl w:val="1"/>
    </w:pPr>
    <w:rPr>
      <w:rFonts w:eastAsia="DengXian Light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pPr>
      <w:keepNext/>
      <w:keepLines/>
      <w:spacing w:before="260" w:after="260" w:line="416" w:lineRule="auto"/>
      <w:outlineLvl w:val="2"/>
    </w:pPr>
    <w:rPr>
      <w:rFonts w:eastAsia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autoRedefine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autoRedefine/>
    <w:uiPriority w:val="20"/>
    <w:qFormat/>
    <w:rPr>
      <w:i/>
      <w:iCs/>
    </w:rPr>
  </w:style>
  <w:style w:type="character" w:styleId="Hyperlink">
    <w:name w:val="Hyperlink"/>
    <w:basedOn w:val="DefaultParagraphFont"/>
    <w:autoRedefine/>
    <w:uiPriority w:val="99"/>
    <w:unhideWhenUsed/>
    <w:qFormat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autoRedefine/>
    <w:uiPriority w:val="9"/>
    <w:qFormat/>
    <w:rPr>
      <w:rFonts w:eastAsia="DengXian Light"/>
      <w:b/>
      <w:bCs/>
      <w:kern w:val="2"/>
      <w:sz w:val="24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autoRedefine/>
    <w:uiPriority w:val="9"/>
    <w:qFormat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autoRedefine/>
    <w:uiPriority w:val="9"/>
    <w:qFormat/>
    <w:rPr>
      <w:rFonts w:ascii="Times New Roman" w:eastAsia="Times New Roman" w:hAnsi="Times New Roman" w:cs="Times New Roman"/>
      <w:b/>
      <w:bCs/>
      <w:kern w:val="44"/>
      <w:sz w:val="24"/>
      <w:szCs w:val="44"/>
      <w:lang w:eastAsia="en-US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rFonts w:ascii="DengXian" w:eastAsia="DengXian" w:hAnsi="DengXi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rFonts w:ascii="DengXian" w:eastAsia="DengXian" w:hAnsi="DengXian" w:cs="Times New Roman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5085A-4E04-45CE-BEB8-CAA61430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1602</Words>
  <Characters>9135</Characters>
  <Application>Microsoft Office Word</Application>
  <DocSecurity>0</DocSecurity>
  <Lines>76</Lines>
  <Paragraphs>21</Paragraphs>
  <ScaleCrop>false</ScaleCrop>
  <Company/>
  <LinksUpToDate>false</LinksUpToDate>
  <CharactersWithSpaces>10716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吃包子 小李子</dc:creator>
  <cp:lastModifiedBy>Nicholson, Tamara</cp:lastModifiedBy>
  <cp:revision>2</cp:revision>
  <dcterms:created xsi:type="dcterms:W3CDTF">2024-07-30T02:32:00Z</dcterms:created>
  <dcterms:modified xsi:type="dcterms:W3CDTF">2024-07-30T02:32:00Z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07D1654B9B3F4D2FBD18EF89396249F6_12</vt:lpwstr>
  </property>
  <property fmtid="{D5CDD505-2E9C-101B-9397-08002B2CF9AE}" pid="4" name="ClassificationContentMarkingFooterShapeIds">
    <vt:lpwstr>7f8e21b4,3d0ac3fe,1aeb2a74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2024-07-30T02:32:03Z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9eeca1fb-9f4f-415f-879f-25ea65c4d95f</vt:lpwstr>
  </property>
  <property fmtid="{D5CDD505-2E9C-101B-9397-08002B2CF9AE}" pid="13" name="MSIP_Label_2bbab825-a111-45e4-86a1-18cee0005896_ContentBits">
    <vt:lpwstr>2</vt:lpwstr>
  </property>
</Properties>
</file>