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24E25" w14:textId="45B635FC" w:rsidR="00874019" w:rsidRPr="00F746BD" w:rsidRDefault="00874019" w:rsidP="00874019">
      <w:pPr>
        <w:spacing w:line="480" w:lineRule="auto"/>
        <w:rPr>
          <w:rFonts w:ascii="Times New Roman" w:hAnsi="Times New Roman" w:cs="Times New Roman" w:hint="eastAsia"/>
          <w:b/>
          <w:bCs/>
          <w:color w:val="000000"/>
          <w:lang w:val="en-US"/>
        </w:rPr>
      </w:pPr>
      <w:r w:rsidRPr="00AE26B7">
        <w:rPr>
          <w:rFonts w:ascii="Times New Roman" w:hAnsi="Times New Roman" w:cs="Times New Roman"/>
          <w:b/>
          <w:bCs/>
          <w:color w:val="000000"/>
          <w:lang w:val="en-US"/>
        </w:rPr>
        <w:t>Supplementary</w:t>
      </w:r>
      <w:r w:rsidR="00F746BD">
        <w:rPr>
          <w:rFonts w:ascii="Times New Roman" w:hAnsi="Times New Roman" w:cs="Times New Roman" w:hint="eastAsia"/>
          <w:b/>
          <w:bCs/>
          <w:color w:val="000000"/>
          <w:lang w:val="en-US"/>
        </w:rPr>
        <w:t xml:space="preserve"> </w:t>
      </w:r>
      <w:r w:rsidR="00F746BD" w:rsidRPr="00F746BD">
        <w:rPr>
          <w:rFonts w:ascii="Times New Roman" w:hAnsi="Times New Roman" w:cs="Times New Roman" w:hint="eastAsia"/>
          <w:b/>
          <w:bCs/>
          <w:color w:val="000000"/>
          <w:lang w:val="en-US"/>
        </w:rPr>
        <w:t>Material</w:t>
      </w:r>
      <w:r w:rsidR="00F746BD">
        <w:rPr>
          <w:rFonts w:ascii="Times New Roman" w:hAnsi="Times New Roman" w:cs="Times New Roman" w:hint="eastAsia"/>
          <w:b/>
          <w:bCs/>
          <w:color w:val="000000"/>
          <w:lang w:val="en-US"/>
        </w:rPr>
        <w:t xml:space="preserve"> 1: Methods and steps of single-cell RNA </w:t>
      </w:r>
      <w:r w:rsidR="00F746BD">
        <w:rPr>
          <w:rFonts w:ascii="Times New Roman" w:hAnsi="Times New Roman" w:cs="Times New Roman"/>
          <w:b/>
          <w:bCs/>
          <w:color w:val="000000"/>
          <w:lang w:val="en-US"/>
        </w:rPr>
        <w:t>sequencing</w:t>
      </w:r>
    </w:p>
    <w:p w14:paraId="612CD02F" w14:textId="77777777" w:rsidR="00874019" w:rsidRPr="00AE26B7" w:rsidRDefault="00874019" w:rsidP="00874019">
      <w:pPr>
        <w:spacing w:line="480" w:lineRule="auto"/>
        <w:rPr>
          <w:rFonts w:ascii="Times New Roman" w:hAnsi="Times New Roman" w:cs="Times New Roman"/>
          <w:b/>
          <w:bCs/>
          <w:color w:val="000000"/>
          <w:lang w:val="en-US"/>
        </w:rPr>
      </w:pPr>
      <w:r w:rsidRPr="00AE26B7">
        <w:rPr>
          <w:rFonts w:ascii="Times New Roman" w:hAnsi="Times New Roman" w:cs="Times New Roman" w:hint="eastAsia"/>
          <w:b/>
          <w:bCs/>
          <w:color w:val="000000"/>
          <w:lang w:val="en-US"/>
        </w:rPr>
        <w:t>Single-cell RNA statistical analysis</w:t>
      </w:r>
    </w:p>
    <w:p w14:paraId="0F3B86C0" w14:textId="77777777" w:rsidR="00874019" w:rsidRPr="00AE26B7" w:rsidRDefault="00874019" w:rsidP="00874019">
      <w:pPr>
        <w:spacing w:line="480" w:lineRule="auto"/>
        <w:rPr>
          <w:rFonts w:ascii="Times New Roman" w:hAnsi="Times New Roman" w:cs="Times New Roman"/>
          <w:color w:val="000000"/>
          <w:lang w:val="en-US"/>
        </w:rPr>
      </w:pPr>
      <w:r w:rsidRPr="00AE26B7">
        <w:rPr>
          <w:rFonts w:ascii="Times New Roman" w:hAnsi="Times New Roman" w:cs="Times New Roman" w:hint="eastAsia"/>
          <w:color w:val="000000"/>
          <w:lang w:val="en-US"/>
        </w:rPr>
        <w:t>The cells contained 200-7000 expressed genes, and when the mitochondrial UMI rate was less than 10%, the cells were filtered, and mitochondrial genes were removed from the expression table. The Seurat package (version: 4 https://satijalab.org/seurat/) was used for cell normalization and regression based on the expression table according to the UMI counts of each sample and percent of mitochondria rate to obtain the scaled data. PCA was constructed based on the scaled data with the top 2000 highly variable genes, and the top 50 principal components were used for tSNE construction and UMAP construction.</w:t>
      </w:r>
    </w:p>
    <w:p w14:paraId="79AD27E6" w14:textId="77777777" w:rsidR="00874019" w:rsidRPr="00AE26B7" w:rsidRDefault="00874019" w:rsidP="00874019">
      <w:pPr>
        <w:spacing w:line="480" w:lineRule="auto"/>
        <w:rPr>
          <w:rFonts w:ascii="Times New Roman" w:hAnsi="Times New Roman" w:cs="Times New Roman"/>
          <w:color w:val="000000"/>
          <w:lang w:val="en-US"/>
        </w:rPr>
      </w:pPr>
      <w:r w:rsidRPr="00AE26B7">
        <w:rPr>
          <w:rFonts w:ascii="Times New Roman" w:hAnsi="Times New Roman" w:cs="Times New Roman" w:hint="eastAsia"/>
          <w:color w:val="000000"/>
          <w:lang w:val="en-US"/>
        </w:rPr>
        <w:t>Utilizing the graph-based clustering method (resolution =1), we acquired the unsupervised cell cluster result based on the top 50 principal components of the PCA, and we calculated the marker genes by the FindAllMarkers function with the Wilcoxon rank sum test algorithm under the following criteria: 1. lnFC &gt; 0.25; 2. p value&lt;0.05; 3. min.pct&gt;0.1. To identify the cell type in detail, clusters of the same cell type were selected for retSNE analysis, graph-based clustering and marker analysis.</w:t>
      </w:r>
    </w:p>
    <w:p w14:paraId="02E08C95" w14:textId="77777777" w:rsidR="00874019" w:rsidRPr="00AE26B7" w:rsidRDefault="00874019" w:rsidP="00874019">
      <w:pPr>
        <w:spacing w:line="480" w:lineRule="auto"/>
        <w:rPr>
          <w:rFonts w:ascii="Times New Roman" w:hAnsi="Times New Roman" w:cs="Times New Roman"/>
          <w:color w:val="000000"/>
          <w:lang w:val="en-US"/>
        </w:rPr>
      </w:pPr>
    </w:p>
    <w:p w14:paraId="7B7DE480" w14:textId="77777777" w:rsidR="00874019" w:rsidRPr="00AE26B7" w:rsidRDefault="00874019" w:rsidP="00874019">
      <w:pPr>
        <w:spacing w:line="480" w:lineRule="auto"/>
        <w:rPr>
          <w:rFonts w:ascii="Times New Roman" w:hAnsi="Times New Roman" w:cs="Times New Roman"/>
          <w:b/>
          <w:bCs/>
          <w:color w:val="000000"/>
          <w:lang w:val="en-US"/>
        </w:rPr>
      </w:pPr>
      <w:r w:rsidRPr="00AE26B7">
        <w:rPr>
          <w:rFonts w:ascii="Times New Roman" w:hAnsi="Times New Roman" w:cs="Times New Roman" w:hint="eastAsia"/>
          <w:b/>
          <w:bCs/>
          <w:color w:val="000000"/>
          <w:lang w:val="en-US"/>
        </w:rPr>
        <w:t>GO analysis and KEGG enrichment</w:t>
      </w:r>
    </w:p>
    <w:p w14:paraId="27B4016F" w14:textId="77777777" w:rsidR="00874019" w:rsidRPr="00AE26B7" w:rsidRDefault="00874019" w:rsidP="00874019">
      <w:pPr>
        <w:spacing w:line="480" w:lineRule="auto"/>
        <w:rPr>
          <w:rFonts w:ascii="Times New Roman" w:hAnsi="Times New Roman" w:cs="Times New Roman"/>
          <w:color w:val="000000"/>
          <w:lang w:val="en-US"/>
        </w:rPr>
      </w:pPr>
      <w:r w:rsidRPr="00AE26B7">
        <w:rPr>
          <w:rFonts w:ascii="Times New Roman" w:hAnsi="Times New Roman" w:cs="Times New Roman" w:hint="eastAsia"/>
          <w:color w:val="000000"/>
          <w:lang w:val="en-US"/>
        </w:rPr>
        <w:t>Gene Ontology (GO) enrichment analysis of marker genes was implemented by the clusterProfiler R package, in which gene length bias was corrected. GO terms with corrected P values less than 0.05 were considered significantly enriched for marker genes.</w:t>
      </w:r>
    </w:p>
    <w:p w14:paraId="3FA7BE57" w14:textId="77777777" w:rsidR="00874019" w:rsidRPr="00AE26B7" w:rsidRDefault="00874019" w:rsidP="00874019">
      <w:pPr>
        <w:spacing w:line="480" w:lineRule="auto"/>
        <w:rPr>
          <w:rFonts w:ascii="Times New Roman" w:hAnsi="Times New Roman" w:cs="Times New Roman"/>
          <w:color w:val="000000"/>
          <w:lang w:val="en-US"/>
        </w:rPr>
      </w:pPr>
      <w:r w:rsidRPr="00AE26B7">
        <w:rPr>
          <w:rFonts w:ascii="Times New Roman" w:hAnsi="Times New Roman" w:cs="Times New Roman" w:hint="eastAsia"/>
          <w:color w:val="000000"/>
          <w:lang w:val="en-US"/>
        </w:rPr>
        <w:t xml:space="preserve">KEGG is a database resource for understanding high-level functions and utilities of biological systems, such as cells, organisms and ecosystems, from molecular-level information, especially </w:t>
      </w:r>
      <w:r w:rsidRPr="00AE26B7">
        <w:rPr>
          <w:rFonts w:ascii="Times New Roman" w:hAnsi="Times New Roman" w:cs="Times New Roman" w:hint="eastAsia"/>
          <w:color w:val="000000"/>
          <w:lang w:val="en-US"/>
        </w:rPr>
        <w:lastRenderedPageBreak/>
        <w:t>large-scale molecular datasets generated by genome sequencing and other high-throughput experimental technologies (http://www.genome.jp/kegg/). We used the clusterProfiler R package to test the statistical enrichment of marker genes in KEGG pathways.</w:t>
      </w:r>
    </w:p>
    <w:p w14:paraId="213DE03B" w14:textId="77777777" w:rsidR="00874019" w:rsidRPr="00AE26B7" w:rsidRDefault="00874019" w:rsidP="00874019">
      <w:pPr>
        <w:spacing w:line="480" w:lineRule="auto"/>
        <w:rPr>
          <w:rFonts w:ascii="Times New Roman" w:hAnsi="Times New Roman" w:cs="Times New Roman"/>
          <w:color w:val="000000"/>
          <w:lang w:val="en-US"/>
        </w:rPr>
      </w:pPr>
    </w:p>
    <w:p w14:paraId="5DCFFBFE" w14:textId="77777777" w:rsidR="00874019" w:rsidRPr="00AE26B7" w:rsidRDefault="00874019" w:rsidP="00874019">
      <w:pPr>
        <w:spacing w:line="480" w:lineRule="auto"/>
        <w:rPr>
          <w:rFonts w:ascii="Times New Roman" w:hAnsi="Times New Roman" w:cs="Times New Roman"/>
          <w:b/>
          <w:bCs/>
          <w:color w:val="000000"/>
          <w:lang w:val="en-US"/>
        </w:rPr>
      </w:pPr>
      <w:r w:rsidRPr="00AE26B7">
        <w:rPr>
          <w:rFonts w:ascii="Times New Roman" w:hAnsi="Times New Roman" w:cs="Times New Roman" w:hint="eastAsia"/>
          <w:b/>
          <w:bCs/>
          <w:color w:val="000000"/>
          <w:lang w:val="en-US"/>
        </w:rPr>
        <w:t>Pseudotime trajectory analysis</w:t>
      </w:r>
    </w:p>
    <w:p w14:paraId="0F0320D5" w14:textId="77777777" w:rsidR="00874019" w:rsidRPr="00AE26B7" w:rsidRDefault="00874019" w:rsidP="00874019">
      <w:pPr>
        <w:spacing w:line="480" w:lineRule="auto"/>
        <w:rPr>
          <w:rFonts w:ascii="Times New Roman" w:hAnsi="Times New Roman" w:cs="Times New Roman"/>
          <w:color w:val="000000"/>
          <w:lang w:val="en-US"/>
        </w:rPr>
      </w:pPr>
      <w:r w:rsidRPr="00AE26B7">
        <w:rPr>
          <w:rFonts w:ascii="Times New Roman" w:hAnsi="Times New Roman" w:cs="Times New Roman" w:hint="eastAsia"/>
          <w:color w:val="000000"/>
          <w:lang w:val="en-US"/>
        </w:rPr>
        <w:t>Pseudotime analysis refers to the prediction of the developmental or differentiation trajectory of cells by calculating the gradient relationship of gene expression levels between cells. This is done to construct a virtual timeline where all cells are positioned based on their predicted order of appearance. Pseudotime analysis is commonly applied to samples from developmental processes or time-series samples following drug treatments. Pseudotime analysis aids in identifying key genes that play crucial roles over time or at developmental or differentiation nodes.</w:t>
      </w:r>
    </w:p>
    <w:p w14:paraId="060F51E4" w14:textId="77777777" w:rsidR="00874019" w:rsidRPr="00AE26B7" w:rsidRDefault="00874019" w:rsidP="00874019">
      <w:pPr>
        <w:spacing w:line="480" w:lineRule="auto"/>
        <w:rPr>
          <w:rFonts w:ascii="Times New Roman" w:hAnsi="Times New Roman" w:cs="Times New Roman"/>
          <w:color w:val="000000"/>
          <w:lang w:val="en-US"/>
        </w:rPr>
      </w:pPr>
      <w:r w:rsidRPr="00AE26B7">
        <w:rPr>
          <w:rFonts w:ascii="Times New Roman" w:hAnsi="Times New Roman" w:cs="Times New Roman" w:hint="eastAsia"/>
          <w:color w:val="000000"/>
          <w:lang w:val="en-US"/>
        </w:rPr>
        <w:t>We utilized Monocle2 for pseudotime analysis. Monocle2 employs the technique of reversed graph embedding to learn the main structure of cell trajectories and subsequently sorts cells along these trajectories. This approach allows for an accurate interpretation of complex biological processes.</w:t>
      </w:r>
    </w:p>
    <w:p w14:paraId="14C54862" w14:textId="77777777" w:rsidR="00874019" w:rsidRPr="00AE26B7" w:rsidRDefault="00874019" w:rsidP="00874019">
      <w:pPr>
        <w:spacing w:line="480" w:lineRule="auto"/>
        <w:rPr>
          <w:rFonts w:ascii="Times New Roman" w:hAnsi="Times New Roman" w:cs="Times New Roman"/>
          <w:color w:val="000000"/>
          <w:lang w:val="en-US"/>
        </w:rPr>
      </w:pPr>
    </w:p>
    <w:p w14:paraId="6F76A60D" w14:textId="77777777" w:rsidR="00874019" w:rsidRPr="00AE26B7" w:rsidRDefault="00874019" w:rsidP="00874019">
      <w:pPr>
        <w:spacing w:line="480" w:lineRule="auto"/>
        <w:rPr>
          <w:rFonts w:ascii="Times New Roman" w:hAnsi="Times New Roman" w:cs="Times New Roman"/>
          <w:b/>
          <w:bCs/>
          <w:color w:val="000000"/>
          <w:lang w:val="en-US"/>
        </w:rPr>
      </w:pPr>
      <w:r w:rsidRPr="00AE26B7">
        <w:rPr>
          <w:rFonts w:ascii="Times New Roman" w:hAnsi="Times New Roman" w:cs="Times New Roman" w:hint="eastAsia"/>
          <w:b/>
          <w:bCs/>
          <w:color w:val="000000"/>
          <w:lang w:val="en-US"/>
        </w:rPr>
        <w:t>Cell communication CellPhoneDB</w:t>
      </w:r>
    </w:p>
    <w:p w14:paraId="35CD2162" w14:textId="77777777" w:rsidR="00874019" w:rsidRPr="00AE26B7" w:rsidRDefault="00874019" w:rsidP="00874019">
      <w:pPr>
        <w:spacing w:line="480" w:lineRule="auto"/>
        <w:rPr>
          <w:rFonts w:ascii="Times New Roman" w:hAnsi="Times New Roman" w:cs="Times New Roman"/>
          <w:color w:val="000000"/>
          <w:lang w:val="en-US"/>
        </w:rPr>
      </w:pPr>
      <w:r w:rsidRPr="00AE26B7">
        <w:rPr>
          <w:rFonts w:ascii="Times New Roman" w:hAnsi="Times New Roman" w:cs="Times New Roman" w:hint="eastAsia"/>
          <w:color w:val="000000"/>
          <w:lang w:val="en-US"/>
        </w:rPr>
        <w:t>Cell communication refers to the ability of cells to receive, process, and transmit signals from both their environment and themselves. Cell communication is a fundamental attribute of all cells in every organism, including bacteria, plants, and animals. Cell communication is crucial for coordinating various biological processes, such as development, differentiation, and inflammation. Errors in cell communication can lead to the occurrence of diseases, including diabetes, thyroid disorders (hypothyroidism and hyperthyroidism), multiple sclerosis, cancer, and schizophrenia.</w:t>
      </w:r>
    </w:p>
    <w:p w14:paraId="19866C5E" w14:textId="77777777" w:rsidR="00874019" w:rsidRPr="00AE26B7" w:rsidRDefault="00874019" w:rsidP="00874019">
      <w:pPr>
        <w:spacing w:line="480" w:lineRule="auto"/>
        <w:rPr>
          <w:rFonts w:ascii="Times New Roman" w:hAnsi="Times New Roman" w:cs="Times New Roman"/>
          <w:color w:val="000000"/>
          <w:lang w:val="en-US"/>
        </w:rPr>
      </w:pPr>
      <w:r w:rsidRPr="00AE26B7">
        <w:rPr>
          <w:rFonts w:ascii="Times New Roman" w:hAnsi="Times New Roman" w:cs="Times New Roman" w:hint="eastAsia"/>
          <w:color w:val="000000"/>
          <w:lang w:val="en-US"/>
        </w:rPr>
        <w:lastRenderedPageBreak/>
        <w:t>With the development of single-cell RNA sequencing (scRNA-seq) technology, it has become possible to measure the expression of signals in different cell types. This enables the systematic decoding of intercellular communication networks and, ultimately, an understanding of the functions of tissues in their balanced state and how they change in disease.</w:t>
      </w:r>
    </w:p>
    <w:p w14:paraId="54F81BBA" w14:textId="77777777" w:rsidR="00874019" w:rsidRDefault="00874019" w:rsidP="00874019">
      <w:pPr>
        <w:spacing w:line="480" w:lineRule="auto"/>
        <w:rPr>
          <w:rFonts w:ascii="Times New Roman" w:hAnsi="Times New Roman" w:cs="Times New Roman"/>
          <w:color w:val="000000"/>
          <w:lang w:val="en-US"/>
        </w:rPr>
      </w:pPr>
      <w:r w:rsidRPr="00AE26B7">
        <w:rPr>
          <w:rFonts w:ascii="Times New Roman" w:hAnsi="Times New Roman" w:cs="Times New Roman" w:hint="eastAsia"/>
          <w:color w:val="000000"/>
          <w:lang w:val="en-US"/>
        </w:rPr>
        <w:t>CellPhoneDB has constructed a signalling database based on UniProt, Ensemble, PDB, IUPHAR, and other resources. CellPhoneDB uses the expression levels of these signals to predict interactions between different cells, thereby inferring the communication relationships between cells.</w:t>
      </w:r>
    </w:p>
    <w:p w14:paraId="4E85E3F7" w14:textId="77777777" w:rsidR="00611E79" w:rsidRPr="00874019" w:rsidRDefault="00611E79">
      <w:pPr>
        <w:rPr>
          <w:rFonts w:hint="eastAsia"/>
          <w:lang w:val="en-US"/>
        </w:rPr>
      </w:pPr>
    </w:p>
    <w:sectPr w:rsidR="00611E79" w:rsidRPr="00874019" w:rsidSect="00874019">
      <w:footerReference w:type="even" r:id="rId6"/>
      <w:footerReference w:type="default" r:id="rId7"/>
      <w:footerReference w:type="first" r:id="rId8"/>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C012B" w14:textId="77777777" w:rsidR="00B61A95" w:rsidRDefault="00B61A95" w:rsidP="00874019">
      <w:pPr>
        <w:rPr>
          <w:rFonts w:hint="eastAsia"/>
        </w:rPr>
      </w:pPr>
      <w:r>
        <w:separator/>
      </w:r>
    </w:p>
  </w:endnote>
  <w:endnote w:type="continuationSeparator" w:id="0">
    <w:p w14:paraId="6EC93CD7" w14:textId="77777777" w:rsidR="00B61A95" w:rsidRDefault="00B61A95" w:rsidP="0087401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0E1CC" w14:textId="77777777" w:rsidR="00850350" w:rsidRDefault="00000000">
    <w:pPr>
      <w:pStyle w:val="a5"/>
      <w:rPr>
        <w:rFonts w:hint="eastAsia"/>
      </w:rPr>
    </w:pPr>
    <w:r>
      <w:rPr>
        <w:noProof/>
        <w14:ligatures w14:val="none"/>
      </w:rPr>
      <mc:AlternateContent>
        <mc:Choice Requires="wps">
          <w:drawing>
            <wp:anchor distT="0" distB="0" distL="0" distR="0" simplePos="0" relativeHeight="251660288" behindDoc="0" locked="0" layoutInCell="1" allowOverlap="1" wp14:anchorId="100358AE" wp14:editId="6B6DC0C8">
              <wp:simplePos x="635" y="635"/>
              <wp:positionH relativeFrom="page">
                <wp:align>left</wp:align>
              </wp:positionH>
              <wp:positionV relativeFrom="page">
                <wp:align>bottom</wp:align>
              </wp:positionV>
              <wp:extent cx="2085975" cy="324485"/>
              <wp:effectExtent l="0" t="0" r="9525" b="0"/>
              <wp:wrapNone/>
              <wp:docPr id="131031649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06C742D" w14:textId="77777777" w:rsidR="00850350" w:rsidRPr="00AE26B7" w:rsidRDefault="00000000" w:rsidP="00AE26B7">
                          <w:pPr>
                            <w:rPr>
                              <w:rFonts w:ascii="Rockwell" w:eastAsia="Rockwell" w:hAnsi="Rockwell" w:cs="Rockwell"/>
                              <w:noProof/>
                              <w:color w:val="0078D7"/>
                              <w:sz w:val="18"/>
                              <w:szCs w:val="18"/>
                            </w:rPr>
                          </w:pPr>
                          <w:r w:rsidRPr="00AE26B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0358A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textbox style="mso-fit-shape-to-text:t" inset="20pt,0,0,15pt">
                <w:txbxContent>
                  <w:p w14:paraId="706C742D" w14:textId="77777777" w:rsidR="00000000" w:rsidRPr="00AE26B7" w:rsidRDefault="00000000" w:rsidP="00AE26B7">
                    <w:pPr>
                      <w:rPr>
                        <w:rFonts w:ascii="Rockwell" w:eastAsia="Rockwell" w:hAnsi="Rockwell" w:cs="Rockwell"/>
                        <w:noProof/>
                        <w:color w:val="0078D7"/>
                        <w:sz w:val="18"/>
                        <w:szCs w:val="18"/>
                      </w:rPr>
                    </w:pPr>
                    <w:r w:rsidRPr="00AE26B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933BF" w14:textId="77777777" w:rsidR="00850350" w:rsidRDefault="00000000">
    <w:pPr>
      <w:pStyle w:val="a5"/>
      <w:jc w:val="center"/>
      <w:rPr>
        <w:rFonts w:hint="eastAsia"/>
      </w:rPr>
    </w:pPr>
    <w:r>
      <w:rPr>
        <w:noProof/>
        <w14:ligatures w14:val="none"/>
      </w:rPr>
      <mc:AlternateContent>
        <mc:Choice Requires="wps">
          <w:drawing>
            <wp:anchor distT="0" distB="0" distL="0" distR="0" simplePos="0" relativeHeight="251661312" behindDoc="0" locked="0" layoutInCell="1" allowOverlap="1" wp14:anchorId="6C89B3FC" wp14:editId="79CACA26">
              <wp:simplePos x="1147313" y="9756475"/>
              <wp:positionH relativeFrom="page">
                <wp:align>left</wp:align>
              </wp:positionH>
              <wp:positionV relativeFrom="page">
                <wp:align>bottom</wp:align>
              </wp:positionV>
              <wp:extent cx="2085975" cy="324485"/>
              <wp:effectExtent l="0" t="0" r="9525" b="0"/>
              <wp:wrapNone/>
              <wp:docPr id="44871339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DA70283" w14:textId="77777777" w:rsidR="00850350" w:rsidRPr="00AE26B7" w:rsidRDefault="00000000" w:rsidP="00AE26B7">
                          <w:pPr>
                            <w:rPr>
                              <w:rFonts w:ascii="Rockwell" w:eastAsia="Rockwell" w:hAnsi="Rockwell" w:cs="Rockwell"/>
                              <w:noProof/>
                              <w:color w:val="0078D7"/>
                              <w:sz w:val="18"/>
                              <w:szCs w:val="18"/>
                            </w:rPr>
                          </w:pPr>
                          <w:r w:rsidRPr="00AE26B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89B3FC"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textbox style="mso-fit-shape-to-text:t" inset="20pt,0,0,15pt">
                <w:txbxContent>
                  <w:p w14:paraId="3DA70283" w14:textId="77777777" w:rsidR="00000000" w:rsidRPr="00AE26B7" w:rsidRDefault="00000000" w:rsidP="00AE26B7">
                    <w:pPr>
                      <w:rPr>
                        <w:rFonts w:ascii="Rockwell" w:eastAsia="Rockwell" w:hAnsi="Rockwell" w:cs="Rockwell"/>
                        <w:noProof/>
                        <w:color w:val="0078D7"/>
                        <w:sz w:val="18"/>
                        <w:szCs w:val="18"/>
                      </w:rPr>
                    </w:pPr>
                    <w:r w:rsidRPr="00AE26B7">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
        <w:docPartObj>
          <w:docPartGallery w:val="AutoText"/>
        </w:docPartObj>
      </w:sdtPr>
      <w:sdtContent>
        <w:r>
          <w:fldChar w:fldCharType="begin"/>
        </w:r>
        <w:r>
          <w:instrText>PAGE   \* MERGEFORMAT</w:instrText>
        </w:r>
        <w:r>
          <w:fldChar w:fldCharType="separate"/>
        </w:r>
        <w:r>
          <w:rPr>
            <w:lang w:val="zh-CN"/>
          </w:rPr>
          <w:t>2</w:t>
        </w:r>
        <w:r>
          <w:fldChar w:fldCharType="end"/>
        </w:r>
      </w:sdtContent>
    </w:sdt>
  </w:p>
  <w:p w14:paraId="2182E421" w14:textId="77777777" w:rsidR="00850350" w:rsidRDefault="00850350">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6F6B" w14:textId="77777777" w:rsidR="00850350" w:rsidRDefault="00000000">
    <w:pPr>
      <w:pStyle w:val="a5"/>
      <w:rPr>
        <w:rFonts w:hint="eastAsia"/>
      </w:rPr>
    </w:pPr>
    <w:r>
      <w:rPr>
        <w:noProof/>
        <w14:ligatures w14:val="none"/>
      </w:rPr>
      <mc:AlternateContent>
        <mc:Choice Requires="wps">
          <w:drawing>
            <wp:anchor distT="0" distB="0" distL="0" distR="0" simplePos="0" relativeHeight="251659264" behindDoc="0" locked="0" layoutInCell="1" allowOverlap="1" wp14:anchorId="73B9FA87" wp14:editId="40CD0E72">
              <wp:simplePos x="635" y="635"/>
              <wp:positionH relativeFrom="page">
                <wp:align>left</wp:align>
              </wp:positionH>
              <wp:positionV relativeFrom="page">
                <wp:align>bottom</wp:align>
              </wp:positionV>
              <wp:extent cx="2085975" cy="324485"/>
              <wp:effectExtent l="0" t="0" r="9525" b="0"/>
              <wp:wrapNone/>
              <wp:docPr id="25175055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8B8864C" w14:textId="77777777" w:rsidR="00850350" w:rsidRPr="00AE26B7" w:rsidRDefault="00000000" w:rsidP="00AE26B7">
                          <w:pPr>
                            <w:rPr>
                              <w:rFonts w:ascii="Rockwell" w:eastAsia="Rockwell" w:hAnsi="Rockwell" w:cs="Rockwell"/>
                              <w:noProof/>
                              <w:color w:val="0078D7"/>
                              <w:sz w:val="18"/>
                              <w:szCs w:val="18"/>
                            </w:rPr>
                          </w:pPr>
                          <w:r w:rsidRPr="00AE26B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B9FA87"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textbox style="mso-fit-shape-to-text:t" inset="20pt,0,0,15pt">
                <w:txbxContent>
                  <w:p w14:paraId="78B8864C" w14:textId="77777777" w:rsidR="00000000" w:rsidRPr="00AE26B7" w:rsidRDefault="00000000" w:rsidP="00AE26B7">
                    <w:pPr>
                      <w:rPr>
                        <w:rFonts w:ascii="Rockwell" w:eastAsia="Rockwell" w:hAnsi="Rockwell" w:cs="Rockwell"/>
                        <w:noProof/>
                        <w:color w:val="0078D7"/>
                        <w:sz w:val="18"/>
                        <w:szCs w:val="18"/>
                      </w:rPr>
                    </w:pPr>
                    <w:r w:rsidRPr="00AE26B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74F68" w14:textId="77777777" w:rsidR="00B61A95" w:rsidRDefault="00B61A95" w:rsidP="00874019">
      <w:pPr>
        <w:rPr>
          <w:rFonts w:hint="eastAsia"/>
        </w:rPr>
      </w:pPr>
      <w:r>
        <w:separator/>
      </w:r>
    </w:p>
  </w:footnote>
  <w:footnote w:type="continuationSeparator" w:id="0">
    <w:p w14:paraId="12620087" w14:textId="77777777" w:rsidR="00B61A95" w:rsidRDefault="00B61A95" w:rsidP="0087401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79"/>
    <w:rsid w:val="0022466E"/>
    <w:rsid w:val="00611E79"/>
    <w:rsid w:val="00662DF4"/>
    <w:rsid w:val="00850350"/>
    <w:rsid w:val="00874019"/>
    <w:rsid w:val="00B61A95"/>
    <w:rsid w:val="00F74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26DAB"/>
  <w15:chartTrackingRefBased/>
  <w15:docId w15:val="{10462A20-6DF4-49F3-85B2-6268D7F0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019"/>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019"/>
    <w:pPr>
      <w:tabs>
        <w:tab w:val="center" w:pos="4153"/>
        <w:tab w:val="right" w:pos="8306"/>
      </w:tabs>
      <w:snapToGrid w:val="0"/>
      <w:jc w:val="center"/>
    </w:pPr>
    <w:rPr>
      <w:sz w:val="18"/>
      <w:szCs w:val="18"/>
      <w:lang w:val="en-US"/>
    </w:rPr>
  </w:style>
  <w:style w:type="character" w:customStyle="1" w:styleId="a4">
    <w:name w:val="页眉 字符"/>
    <w:basedOn w:val="a0"/>
    <w:link w:val="a3"/>
    <w:uiPriority w:val="99"/>
    <w:rsid w:val="00874019"/>
    <w:rPr>
      <w:sz w:val="18"/>
      <w:szCs w:val="18"/>
    </w:rPr>
  </w:style>
  <w:style w:type="paragraph" w:styleId="a5">
    <w:name w:val="footer"/>
    <w:basedOn w:val="a"/>
    <w:link w:val="a6"/>
    <w:uiPriority w:val="99"/>
    <w:unhideWhenUsed/>
    <w:rsid w:val="00874019"/>
    <w:pPr>
      <w:tabs>
        <w:tab w:val="center" w:pos="4153"/>
        <w:tab w:val="right" w:pos="8306"/>
      </w:tabs>
      <w:snapToGrid w:val="0"/>
      <w:jc w:val="left"/>
    </w:pPr>
    <w:rPr>
      <w:sz w:val="18"/>
      <w:szCs w:val="18"/>
      <w:lang w:val="en-US"/>
    </w:rPr>
  </w:style>
  <w:style w:type="character" w:customStyle="1" w:styleId="a6">
    <w:name w:val="页脚 字符"/>
    <w:basedOn w:val="a0"/>
    <w:link w:val="a5"/>
    <w:uiPriority w:val="99"/>
    <w:rsid w:val="00874019"/>
    <w:rPr>
      <w:sz w:val="18"/>
      <w:szCs w:val="18"/>
    </w:rPr>
  </w:style>
  <w:style w:type="paragraph" w:styleId="a7">
    <w:name w:val="annotation text"/>
    <w:basedOn w:val="a"/>
    <w:link w:val="a8"/>
    <w:uiPriority w:val="99"/>
    <w:unhideWhenUsed/>
    <w:rsid w:val="00874019"/>
    <w:pPr>
      <w:jc w:val="left"/>
    </w:pPr>
    <w:rPr>
      <w:rFonts w:ascii="Tahoma" w:hAnsi="Tahoma" w:cs="Tahoma"/>
      <w:sz w:val="16"/>
      <w:szCs w:val="20"/>
      <w:lang w:val="en-US"/>
    </w:rPr>
  </w:style>
  <w:style w:type="character" w:customStyle="1" w:styleId="a8">
    <w:name w:val="批注文字 字符"/>
    <w:basedOn w:val="a0"/>
    <w:link w:val="a7"/>
    <w:uiPriority w:val="99"/>
    <w:rsid w:val="00874019"/>
    <w:rPr>
      <w:rFonts w:ascii="Tahoma" w:hAnsi="Tahoma" w:cs="Tahoma"/>
      <w:sz w:val="16"/>
      <w:szCs w:val="20"/>
    </w:rPr>
  </w:style>
  <w:style w:type="character" w:styleId="a9">
    <w:name w:val="annotation reference"/>
    <w:basedOn w:val="a0"/>
    <w:rsid w:val="00874019"/>
    <w:rPr>
      <w:sz w:val="16"/>
      <w:szCs w:val="16"/>
    </w:rPr>
  </w:style>
  <w:style w:type="character" w:styleId="aa">
    <w:name w:val="line number"/>
    <w:basedOn w:val="a0"/>
    <w:uiPriority w:val="99"/>
    <w:semiHidden/>
    <w:unhideWhenUsed/>
    <w:rsid w:val="00874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Shi</dc:creator>
  <cp:keywords/>
  <dc:description/>
  <cp:lastModifiedBy>Rhys Shi</cp:lastModifiedBy>
  <cp:revision>3</cp:revision>
  <dcterms:created xsi:type="dcterms:W3CDTF">2024-11-11T06:24:00Z</dcterms:created>
  <dcterms:modified xsi:type="dcterms:W3CDTF">2024-11-11T06:28:00Z</dcterms:modified>
</cp:coreProperties>
</file>