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6CE35"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78A18391" w14:textId="2BBF9A67" w:rsidR="004A32C8" w:rsidRPr="003F652A" w:rsidRDefault="00354D16" w:rsidP="005B567D">
      <w:pPr>
        <w:pStyle w:val="TableTitle"/>
      </w:pPr>
      <w:r w:rsidRPr="00FF4A65">
        <w:rPr>
          <w:b/>
          <w:bCs/>
          <w:szCs w:val="24"/>
        </w:rPr>
        <w:t>Agreement between clinical and histopathological diagnoses of oral and maxillofacial lesions and influencing factors: a cross-sectional study</w:t>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984"/>
        <w:gridCol w:w="2410"/>
      </w:tblGrid>
      <w:tr w:rsidR="00191A23" w:rsidRPr="0022554A" w14:paraId="2A0786BC" w14:textId="77777777" w:rsidTr="009D1FB5">
        <w:tc>
          <w:tcPr>
            <w:tcW w:w="1951" w:type="dxa"/>
          </w:tcPr>
          <w:p w14:paraId="67415A58"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133C7CC"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4A84B12E"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984" w:type="dxa"/>
          </w:tcPr>
          <w:p w14:paraId="5F8E03E8" w14:textId="77777777" w:rsidR="00191A23" w:rsidRPr="00AF47E9" w:rsidRDefault="00191A23" w:rsidP="00976EE1">
            <w:pPr>
              <w:pStyle w:val="TableHeader"/>
              <w:tabs>
                <w:tab w:val="left" w:pos="5400"/>
              </w:tabs>
              <w:jc w:val="center"/>
              <w:rPr>
                <w:bCs/>
                <w:color w:val="000000" w:themeColor="text1"/>
                <w:sz w:val="20"/>
              </w:rPr>
            </w:pPr>
            <w:r w:rsidRPr="00AF47E9">
              <w:rPr>
                <w:bCs/>
                <w:color w:val="000000" w:themeColor="text1"/>
                <w:sz w:val="20"/>
              </w:rPr>
              <w:t xml:space="preserve">Page </w:t>
            </w:r>
            <w:r w:rsidRPr="00AF47E9">
              <w:rPr>
                <w:bCs/>
                <w:color w:val="000000" w:themeColor="text1"/>
                <w:sz w:val="20"/>
              </w:rPr>
              <w:br/>
              <w:t>No.</w:t>
            </w:r>
          </w:p>
        </w:tc>
        <w:tc>
          <w:tcPr>
            <w:tcW w:w="2410" w:type="dxa"/>
          </w:tcPr>
          <w:p w14:paraId="6638BF15"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456CC0ED" w14:textId="77777777" w:rsidTr="009D1FB5">
        <w:tc>
          <w:tcPr>
            <w:tcW w:w="1951" w:type="dxa"/>
            <w:vMerge w:val="restart"/>
          </w:tcPr>
          <w:p w14:paraId="7DC8A8AB" w14:textId="77E26B69"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15FBA82D" w14:textId="77777777" w:rsidR="00191A23" w:rsidRPr="0022554A" w:rsidRDefault="00191A23" w:rsidP="0022554A">
            <w:pPr>
              <w:tabs>
                <w:tab w:val="left" w:pos="5400"/>
              </w:tabs>
              <w:jc w:val="center"/>
              <w:rPr>
                <w:sz w:val="20"/>
              </w:rPr>
            </w:pPr>
            <w:r w:rsidRPr="0022554A">
              <w:rPr>
                <w:sz w:val="20"/>
              </w:rPr>
              <w:t>1</w:t>
            </w:r>
          </w:p>
        </w:tc>
        <w:tc>
          <w:tcPr>
            <w:tcW w:w="8031" w:type="dxa"/>
          </w:tcPr>
          <w:p w14:paraId="726F8A2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984" w:type="dxa"/>
          </w:tcPr>
          <w:p w14:paraId="3C140922" w14:textId="0D457FFB" w:rsidR="00191A23" w:rsidRPr="00AF47E9" w:rsidRDefault="00AF47E9" w:rsidP="0022554A">
            <w:pPr>
              <w:tabs>
                <w:tab w:val="left" w:pos="5400"/>
              </w:tabs>
              <w:rPr>
                <w:color w:val="000000" w:themeColor="text1"/>
                <w:sz w:val="20"/>
              </w:rPr>
            </w:pPr>
            <w:r w:rsidRPr="00AF47E9">
              <w:rPr>
                <w:color w:val="000000" w:themeColor="text1"/>
                <w:sz w:val="20"/>
              </w:rPr>
              <w:t>1</w:t>
            </w:r>
          </w:p>
        </w:tc>
        <w:tc>
          <w:tcPr>
            <w:tcW w:w="2410" w:type="dxa"/>
          </w:tcPr>
          <w:p w14:paraId="67AF26B4" w14:textId="7F613049" w:rsidR="00191A23" w:rsidRPr="00AF47E9" w:rsidRDefault="00AF47E9" w:rsidP="0022554A">
            <w:pPr>
              <w:tabs>
                <w:tab w:val="left" w:pos="5400"/>
              </w:tabs>
              <w:rPr>
                <w:sz w:val="20"/>
              </w:rPr>
            </w:pPr>
            <w:r w:rsidRPr="00AF47E9">
              <w:rPr>
                <w:sz w:val="20"/>
                <w:lang w:val="en-US"/>
              </w:rPr>
              <w:t>Agreement between clinical and histopathological diagnoses of oral and maxillofacial lesions and influencing factors: a cross-sectional study</w:t>
            </w:r>
          </w:p>
        </w:tc>
      </w:tr>
      <w:tr w:rsidR="00191A23" w:rsidRPr="0022554A" w14:paraId="5D5F3857" w14:textId="77777777" w:rsidTr="009D1FB5">
        <w:tc>
          <w:tcPr>
            <w:tcW w:w="1951" w:type="dxa"/>
            <w:vMerge/>
          </w:tcPr>
          <w:p w14:paraId="78320F66"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3385AAF3" w14:textId="77777777" w:rsidR="00191A23" w:rsidRPr="0022554A" w:rsidRDefault="00191A23" w:rsidP="0022554A">
            <w:pPr>
              <w:tabs>
                <w:tab w:val="left" w:pos="5400"/>
              </w:tabs>
              <w:jc w:val="center"/>
              <w:rPr>
                <w:sz w:val="20"/>
              </w:rPr>
            </w:pPr>
          </w:p>
        </w:tc>
        <w:tc>
          <w:tcPr>
            <w:tcW w:w="8031" w:type="dxa"/>
          </w:tcPr>
          <w:p w14:paraId="29FBFF86"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984" w:type="dxa"/>
          </w:tcPr>
          <w:p w14:paraId="438689F3" w14:textId="7D74BC92" w:rsidR="00191A23" w:rsidRPr="00AF47E9" w:rsidRDefault="00AF47E9" w:rsidP="0022554A">
            <w:pPr>
              <w:tabs>
                <w:tab w:val="left" w:pos="5400"/>
              </w:tabs>
              <w:rPr>
                <w:color w:val="000000" w:themeColor="text1"/>
                <w:sz w:val="20"/>
              </w:rPr>
            </w:pPr>
            <w:r>
              <w:rPr>
                <w:color w:val="000000" w:themeColor="text1"/>
                <w:sz w:val="20"/>
              </w:rPr>
              <w:t>1-2</w:t>
            </w:r>
          </w:p>
        </w:tc>
        <w:tc>
          <w:tcPr>
            <w:tcW w:w="2410" w:type="dxa"/>
          </w:tcPr>
          <w:p w14:paraId="1087F06C" w14:textId="77777777" w:rsidR="00AF47E9" w:rsidRPr="00AF47E9" w:rsidRDefault="00AF47E9" w:rsidP="00AF47E9">
            <w:pPr>
              <w:tabs>
                <w:tab w:val="left" w:pos="5400"/>
              </w:tabs>
              <w:rPr>
                <w:bCs/>
                <w:sz w:val="20"/>
                <w:rtl/>
              </w:rPr>
            </w:pPr>
            <w:r w:rsidRPr="00AF47E9">
              <w:rPr>
                <w:b/>
                <w:sz w:val="20"/>
                <w:lang w:val="en-US"/>
              </w:rPr>
              <w:t>Purpose:</w:t>
            </w:r>
            <w:r w:rsidRPr="00AF47E9">
              <w:rPr>
                <w:sz w:val="20"/>
                <w:lang w:val="en-US"/>
              </w:rPr>
              <w:t xml:space="preserve"> Diagnosing oral and maxillofacial lesions is a multi-step, multidisciplinary process. If a clinical diagnosis is achievable, then a histopathological diagnosis is indicated to support and confirm the diagnosis. Biopsy with histopathological examination are therefore an essential part of the diagnosis and/or treatment plan.</w:t>
            </w:r>
            <w:r w:rsidRPr="00AF47E9">
              <w:rPr>
                <w:sz w:val="20"/>
                <w:rtl/>
              </w:rPr>
              <w:t xml:space="preserve"> </w:t>
            </w:r>
            <w:r w:rsidRPr="00AF47E9">
              <w:rPr>
                <w:sz w:val="20"/>
                <w:lang w:val="en-US"/>
              </w:rPr>
              <w:t>The purpose of this study was to investigate the agreement between the clinical and histopathological diagnoses of oral and maxillofacial lesions.</w:t>
            </w:r>
          </w:p>
          <w:p w14:paraId="4A1F0825" w14:textId="77777777" w:rsidR="00AF47E9" w:rsidRPr="00AF47E9" w:rsidRDefault="00AF47E9" w:rsidP="00AF47E9">
            <w:pPr>
              <w:tabs>
                <w:tab w:val="left" w:pos="5400"/>
              </w:tabs>
              <w:rPr>
                <w:sz w:val="20"/>
                <w:lang w:val="en-US"/>
              </w:rPr>
            </w:pPr>
            <w:r w:rsidRPr="00AF47E9">
              <w:rPr>
                <w:b/>
                <w:bCs/>
                <w:sz w:val="20"/>
                <w:lang w:val="en-US"/>
              </w:rPr>
              <w:lastRenderedPageBreak/>
              <w:t>Patients</w:t>
            </w:r>
            <w:r w:rsidRPr="00AF47E9">
              <w:rPr>
                <w:b/>
                <w:sz w:val="20"/>
                <w:lang w:val="en-US"/>
              </w:rPr>
              <w:t xml:space="preserve"> and methods:</w:t>
            </w:r>
            <w:r w:rsidRPr="00AF47E9">
              <w:rPr>
                <w:bCs/>
                <w:sz w:val="20"/>
                <w:lang w:val="en-US"/>
              </w:rPr>
              <w:t xml:space="preserve"> This was an observational, cross-sectional study of all patients who had been referred to the Oral Pathology Central Laboratory at the Faculty of Dentistry and University Dental Hospital at King Abdulaziz University in Jeddah, Saudi Arabia, between 2018 and 2022 for diagnosis of </w:t>
            </w:r>
            <w:r w:rsidRPr="00AF47E9">
              <w:rPr>
                <w:sz w:val="20"/>
                <w:lang w:val="en-US"/>
              </w:rPr>
              <w:t>oral and maxillofacial lesions</w:t>
            </w:r>
            <w:r w:rsidRPr="00AF47E9">
              <w:rPr>
                <w:bCs/>
                <w:sz w:val="20"/>
                <w:lang w:val="en-US"/>
              </w:rPr>
              <w:t>.</w:t>
            </w:r>
            <w:r w:rsidRPr="00AF47E9">
              <w:rPr>
                <w:bCs/>
                <w:sz w:val="20"/>
                <w:rtl/>
                <w:lang w:bidi="ar-AE"/>
              </w:rPr>
              <w:t xml:space="preserve"> </w:t>
            </w:r>
            <w:r w:rsidRPr="00AF47E9">
              <w:rPr>
                <w:bCs/>
                <w:sz w:val="20"/>
                <w:lang w:val="en-US"/>
              </w:rPr>
              <w:t>Data extracted include information about the referring dental provider such as the clinical experience of the practitioner (number of years), specialty, certification, and education. Agreement between the clinical and histopathological diagnoses was evaluated, and logistic regression was used to assess provider characteristics associated with the accuracy of diagnosis.</w:t>
            </w:r>
          </w:p>
          <w:p w14:paraId="23885407" w14:textId="77777777" w:rsidR="00AF47E9" w:rsidRPr="00AF47E9" w:rsidRDefault="00AF47E9" w:rsidP="00AF47E9">
            <w:pPr>
              <w:tabs>
                <w:tab w:val="left" w:pos="5400"/>
              </w:tabs>
              <w:rPr>
                <w:sz w:val="20"/>
                <w:rtl/>
                <w:lang w:bidi="ar-AE"/>
              </w:rPr>
            </w:pPr>
            <w:r w:rsidRPr="00AF47E9">
              <w:rPr>
                <w:b/>
                <w:bCs/>
                <w:sz w:val="20"/>
                <w:lang w:val="en-US"/>
              </w:rPr>
              <w:lastRenderedPageBreak/>
              <w:t>Results:</w:t>
            </w:r>
            <w:r w:rsidRPr="00AF47E9">
              <w:rPr>
                <w:sz w:val="20"/>
                <w:lang w:val="en-US"/>
              </w:rPr>
              <w:t xml:space="preserve"> The clinical and pathological diagnoses were concordant in </w:t>
            </w:r>
            <w:r w:rsidRPr="00AF47E9">
              <w:rPr>
                <w:bCs/>
                <w:sz w:val="20"/>
                <w:lang w:val="en-US"/>
              </w:rPr>
              <w:t>44.6</w:t>
            </w:r>
            <w:r w:rsidRPr="00AF47E9">
              <w:rPr>
                <w:sz w:val="20"/>
                <w:lang w:val="en-US"/>
              </w:rPr>
              <w:t xml:space="preserve">% (n = </w:t>
            </w:r>
            <w:r w:rsidRPr="00AF47E9">
              <w:rPr>
                <w:bCs/>
                <w:sz w:val="20"/>
                <w:lang w:val="en-US"/>
              </w:rPr>
              <w:t>378) of cases,</w:t>
            </w:r>
            <w:r w:rsidRPr="00AF47E9">
              <w:rPr>
                <w:sz w:val="20"/>
                <w:lang w:val="en-US"/>
              </w:rPr>
              <w:t xml:space="preserve"> and concordance was highest for odontogenic tumors (</w:t>
            </w:r>
            <w:r w:rsidRPr="00AF47E9">
              <w:rPr>
                <w:bCs/>
                <w:sz w:val="20"/>
                <w:lang w:val="en-US"/>
              </w:rPr>
              <w:t>72.7%, n=24</w:t>
            </w:r>
            <w:r w:rsidRPr="00AF47E9">
              <w:rPr>
                <w:sz w:val="20"/>
                <w:lang w:val="en-US"/>
              </w:rPr>
              <w:t xml:space="preserve">), significantly higher than for inflammatory lesions (37.3%, n = 111). </w:t>
            </w:r>
            <w:r w:rsidRPr="00AF47E9">
              <w:rPr>
                <w:bCs/>
                <w:sz w:val="20"/>
                <w:lang w:val="en-US"/>
              </w:rPr>
              <w:t xml:space="preserve">Clinical </w:t>
            </w:r>
            <w:r w:rsidRPr="00AF47E9">
              <w:rPr>
                <w:sz w:val="20"/>
                <w:lang w:val="en-US"/>
              </w:rPr>
              <w:t>diagnoses made by oral surgeons were 1.6-times more likely to be the same as the pathological diagnosis compared with those made by other specialties when controlling for education, certification, and years of experience.</w:t>
            </w:r>
          </w:p>
          <w:p w14:paraId="1B671A0D" w14:textId="4CE8521F" w:rsidR="00191A23" w:rsidRPr="0022554A" w:rsidRDefault="00AF47E9" w:rsidP="00AF47E9">
            <w:pPr>
              <w:tabs>
                <w:tab w:val="left" w:pos="5400"/>
              </w:tabs>
              <w:rPr>
                <w:sz w:val="20"/>
              </w:rPr>
            </w:pPr>
            <w:r w:rsidRPr="00AF47E9">
              <w:rPr>
                <w:b/>
                <w:sz w:val="20"/>
                <w:lang w:val="en-US"/>
              </w:rPr>
              <w:t>Conclusion:</w:t>
            </w:r>
            <w:r w:rsidRPr="00AF47E9">
              <w:rPr>
                <w:sz w:val="20"/>
                <w:lang w:val="en-US"/>
              </w:rPr>
              <w:t xml:space="preserve"> These data are a reminder that a clinical diagnosis alone is not sufficient to secure the final diagnosis and to plan treatment. Histopathological examination remains essential for the majority of oral and maxillofacial lesions</w:t>
            </w:r>
            <w:r>
              <w:rPr>
                <w:sz w:val="20"/>
                <w:lang w:val="en-US"/>
              </w:rPr>
              <w:t>.</w:t>
            </w:r>
          </w:p>
        </w:tc>
      </w:tr>
      <w:tr w:rsidR="00191A23" w:rsidRPr="0022554A" w14:paraId="50DBF395" w14:textId="77777777" w:rsidTr="009D1FB5">
        <w:tc>
          <w:tcPr>
            <w:tcW w:w="12582" w:type="dxa"/>
            <w:gridSpan w:val="4"/>
          </w:tcPr>
          <w:p w14:paraId="290156B8" w14:textId="77777777" w:rsidR="00191A23" w:rsidRPr="00AF47E9" w:rsidRDefault="00191A23" w:rsidP="0022554A">
            <w:pPr>
              <w:pStyle w:val="TableSubHead"/>
              <w:tabs>
                <w:tab w:val="left" w:pos="5400"/>
              </w:tabs>
              <w:rPr>
                <w:color w:val="000000" w:themeColor="text1"/>
                <w:sz w:val="20"/>
              </w:rPr>
            </w:pPr>
            <w:bookmarkStart w:id="13" w:name="bold7"/>
            <w:bookmarkStart w:id="14" w:name="italic8"/>
            <w:bookmarkEnd w:id="11"/>
            <w:bookmarkEnd w:id="12"/>
            <w:r w:rsidRPr="00AF47E9">
              <w:rPr>
                <w:color w:val="000000" w:themeColor="text1"/>
                <w:sz w:val="20"/>
              </w:rPr>
              <w:lastRenderedPageBreak/>
              <w:t>Introduction</w:t>
            </w:r>
          </w:p>
        </w:tc>
        <w:bookmarkEnd w:id="13"/>
        <w:bookmarkEnd w:id="14"/>
        <w:tc>
          <w:tcPr>
            <w:tcW w:w="2410" w:type="dxa"/>
          </w:tcPr>
          <w:p w14:paraId="3368A703" w14:textId="77777777" w:rsidR="00191A23" w:rsidRPr="0022554A" w:rsidRDefault="00191A23" w:rsidP="0022554A">
            <w:pPr>
              <w:pStyle w:val="TableSubHead"/>
              <w:tabs>
                <w:tab w:val="left" w:pos="5400"/>
              </w:tabs>
              <w:rPr>
                <w:sz w:val="20"/>
              </w:rPr>
            </w:pPr>
          </w:p>
        </w:tc>
      </w:tr>
      <w:tr w:rsidR="00191A23" w:rsidRPr="0022554A" w14:paraId="5EB21587" w14:textId="77777777" w:rsidTr="009D1FB5">
        <w:tc>
          <w:tcPr>
            <w:tcW w:w="1951" w:type="dxa"/>
          </w:tcPr>
          <w:p w14:paraId="211C7EA3" w14:textId="53F57D42"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5D32EF15" w14:textId="77777777" w:rsidR="00191A23" w:rsidRPr="0022554A" w:rsidRDefault="00191A23" w:rsidP="0022554A">
            <w:pPr>
              <w:tabs>
                <w:tab w:val="left" w:pos="5400"/>
              </w:tabs>
              <w:jc w:val="center"/>
              <w:rPr>
                <w:sz w:val="20"/>
              </w:rPr>
            </w:pPr>
            <w:r w:rsidRPr="0022554A">
              <w:rPr>
                <w:sz w:val="20"/>
              </w:rPr>
              <w:t>2</w:t>
            </w:r>
          </w:p>
        </w:tc>
        <w:tc>
          <w:tcPr>
            <w:tcW w:w="8031" w:type="dxa"/>
          </w:tcPr>
          <w:p w14:paraId="060AD77E"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984" w:type="dxa"/>
          </w:tcPr>
          <w:p w14:paraId="68F9AE99" w14:textId="19F03A3B" w:rsidR="00191A23" w:rsidRPr="00AF47E9" w:rsidRDefault="00AF47E9" w:rsidP="0022554A">
            <w:pPr>
              <w:tabs>
                <w:tab w:val="left" w:pos="5400"/>
              </w:tabs>
              <w:rPr>
                <w:color w:val="000000" w:themeColor="text1"/>
                <w:sz w:val="20"/>
              </w:rPr>
            </w:pPr>
            <w:r>
              <w:rPr>
                <w:color w:val="000000" w:themeColor="text1"/>
                <w:sz w:val="20"/>
              </w:rPr>
              <w:t>3-4</w:t>
            </w:r>
          </w:p>
        </w:tc>
        <w:tc>
          <w:tcPr>
            <w:tcW w:w="2410" w:type="dxa"/>
          </w:tcPr>
          <w:p w14:paraId="4DAC1BC4" w14:textId="385D3C7E" w:rsidR="00191A23" w:rsidRPr="0022554A" w:rsidRDefault="00AF47E9" w:rsidP="0022554A">
            <w:pPr>
              <w:tabs>
                <w:tab w:val="left" w:pos="5400"/>
              </w:tabs>
              <w:rPr>
                <w:sz w:val="20"/>
              </w:rPr>
            </w:pPr>
            <w:r>
              <w:rPr>
                <w:sz w:val="20"/>
              </w:rPr>
              <w:t>See introduction.</w:t>
            </w:r>
          </w:p>
        </w:tc>
      </w:tr>
      <w:tr w:rsidR="00191A23" w:rsidRPr="0022554A" w14:paraId="11592D54" w14:textId="77777777" w:rsidTr="009D1FB5">
        <w:tc>
          <w:tcPr>
            <w:tcW w:w="1951" w:type="dxa"/>
          </w:tcPr>
          <w:p w14:paraId="70F0C863"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604470D4" w14:textId="77777777" w:rsidR="00191A23" w:rsidRPr="0022554A" w:rsidRDefault="00191A23" w:rsidP="0022554A">
            <w:pPr>
              <w:tabs>
                <w:tab w:val="left" w:pos="5400"/>
              </w:tabs>
              <w:jc w:val="center"/>
              <w:rPr>
                <w:sz w:val="20"/>
              </w:rPr>
            </w:pPr>
            <w:r w:rsidRPr="0022554A">
              <w:rPr>
                <w:sz w:val="20"/>
              </w:rPr>
              <w:t>3</w:t>
            </w:r>
          </w:p>
        </w:tc>
        <w:tc>
          <w:tcPr>
            <w:tcW w:w="8031" w:type="dxa"/>
          </w:tcPr>
          <w:p w14:paraId="3CA96063"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984" w:type="dxa"/>
          </w:tcPr>
          <w:p w14:paraId="48E39AF8" w14:textId="0BA9FB14" w:rsidR="00191A23" w:rsidRPr="00AF47E9" w:rsidRDefault="00AF47E9" w:rsidP="0022554A">
            <w:pPr>
              <w:tabs>
                <w:tab w:val="left" w:pos="5400"/>
              </w:tabs>
              <w:rPr>
                <w:color w:val="000000" w:themeColor="text1"/>
                <w:sz w:val="20"/>
              </w:rPr>
            </w:pPr>
            <w:r>
              <w:rPr>
                <w:color w:val="000000" w:themeColor="text1"/>
                <w:sz w:val="20"/>
              </w:rPr>
              <w:t>4</w:t>
            </w:r>
          </w:p>
        </w:tc>
        <w:tc>
          <w:tcPr>
            <w:tcW w:w="2410" w:type="dxa"/>
          </w:tcPr>
          <w:p w14:paraId="5EBCF03D" w14:textId="46180DE1" w:rsidR="00191A23" w:rsidRPr="0022554A" w:rsidRDefault="00AF47E9" w:rsidP="0022554A">
            <w:pPr>
              <w:tabs>
                <w:tab w:val="left" w:pos="5400"/>
              </w:tabs>
              <w:rPr>
                <w:sz w:val="20"/>
              </w:rPr>
            </w:pPr>
            <w:r w:rsidRPr="00AF47E9">
              <w:rPr>
                <w:sz w:val="20"/>
                <w:lang w:val="en-US"/>
              </w:rPr>
              <w:t xml:space="preserve">Our null hypothesis was that the final (histopathological) diagnosis is </w:t>
            </w:r>
            <w:r w:rsidR="00D46399" w:rsidRPr="00D46399">
              <w:rPr>
                <w:color w:val="FF0000"/>
                <w:sz w:val="20"/>
                <w:lang w:val="en-US"/>
              </w:rPr>
              <w:t>not</w:t>
            </w:r>
            <w:r w:rsidRPr="00D46399">
              <w:rPr>
                <w:color w:val="FF0000"/>
                <w:sz w:val="20"/>
                <w:lang w:val="en-US"/>
              </w:rPr>
              <w:t xml:space="preserve"> </w:t>
            </w:r>
            <w:r w:rsidRPr="00AF47E9">
              <w:rPr>
                <w:sz w:val="20"/>
                <w:lang w:val="en-US"/>
              </w:rPr>
              <w:t>concordant with the primary (clinical) diagnosis.</w:t>
            </w:r>
          </w:p>
        </w:tc>
      </w:tr>
      <w:tr w:rsidR="00191A23" w:rsidRPr="0022554A" w14:paraId="252C4FC7" w14:textId="77777777" w:rsidTr="009D1FB5">
        <w:tc>
          <w:tcPr>
            <w:tcW w:w="12582" w:type="dxa"/>
            <w:gridSpan w:val="4"/>
          </w:tcPr>
          <w:p w14:paraId="252CA8D6" w14:textId="77777777" w:rsidR="00191A23" w:rsidRPr="00AF47E9" w:rsidRDefault="00191A23" w:rsidP="0022554A">
            <w:pPr>
              <w:pStyle w:val="TableSubHead"/>
              <w:tabs>
                <w:tab w:val="left" w:pos="5400"/>
              </w:tabs>
              <w:rPr>
                <w:color w:val="000000" w:themeColor="text1"/>
                <w:sz w:val="20"/>
              </w:rPr>
            </w:pPr>
            <w:bookmarkStart w:id="21" w:name="bold11"/>
            <w:bookmarkStart w:id="22" w:name="italic12"/>
            <w:bookmarkEnd w:id="19"/>
            <w:bookmarkEnd w:id="20"/>
            <w:r w:rsidRPr="00AF47E9">
              <w:rPr>
                <w:color w:val="000000" w:themeColor="text1"/>
                <w:sz w:val="20"/>
              </w:rPr>
              <w:t>Methods</w:t>
            </w:r>
          </w:p>
        </w:tc>
        <w:bookmarkEnd w:id="21"/>
        <w:bookmarkEnd w:id="22"/>
        <w:tc>
          <w:tcPr>
            <w:tcW w:w="2410" w:type="dxa"/>
          </w:tcPr>
          <w:p w14:paraId="3D55F1DC" w14:textId="77777777" w:rsidR="00191A23" w:rsidRPr="0022554A" w:rsidRDefault="00191A23" w:rsidP="0022554A">
            <w:pPr>
              <w:pStyle w:val="TableSubHead"/>
              <w:tabs>
                <w:tab w:val="left" w:pos="5400"/>
              </w:tabs>
              <w:rPr>
                <w:sz w:val="20"/>
              </w:rPr>
            </w:pPr>
          </w:p>
        </w:tc>
      </w:tr>
      <w:tr w:rsidR="00191A23" w:rsidRPr="0022554A" w14:paraId="513F9A65" w14:textId="77777777" w:rsidTr="009D1FB5">
        <w:tc>
          <w:tcPr>
            <w:tcW w:w="1951" w:type="dxa"/>
          </w:tcPr>
          <w:p w14:paraId="2FFD4A61"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231B30D9" w14:textId="77777777" w:rsidR="00191A23" w:rsidRPr="0022554A" w:rsidRDefault="00191A23" w:rsidP="0022554A">
            <w:pPr>
              <w:tabs>
                <w:tab w:val="left" w:pos="5400"/>
              </w:tabs>
              <w:jc w:val="center"/>
              <w:rPr>
                <w:sz w:val="20"/>
              </w:rPr>
            </w:pPr>
            <w:r w:rsidRPr="0022554A">
              <w:rPr>
                <w:sz w:val="20"/>
              </w:rPr>
              <w:t>4</w:t>
            </w:r>
          </w:p>
        </w:tc>
        <w:tc>
          <w:tcPr>
            <w:tcW w:w="8031" w:type="dxa"/>
          </w:tcPr>
          <w:p w14:paraId="652DC4DA"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984" w:type="dxa"/>
          </w:tcPr>
          <w:p w14:paraId="27E5DF1A" w14:textId="045815F2" w:rsidR="00191A23" w:rsidRPr="00AF47E9" w:rsidRDefault="00AF47E9" w:rsidP="0022554A">
            <w:pPr>
              <w:tabs>
                <w:tab w:val="left" w:pos="5400"/>
              </w:tabs>
              <w:rPr>
                <w:color w:val="000000" w:themeColor="text1"/>
                <w:sz w:val="20"/>
              </w:rPr>
            </w:pPr>
            <w:r>
              <w:rPr>
                <w:color w:val="000000" w:themeColor="text1"/>
                <w:sz w:val="20"/>
              </w:rPr>
              <w:t>4</w:t>
            </w:r>
          </w:p>
        </w:tc>
        <w:tc>
          <w:tcPr>
            <w:tcW w:w="2410" w:type="dxa"/>
          </w:tcPr>
          <w:p w14:paraId="38AC9E3F" w14:textId="36A2EB22" w:rsidR="00191A23" w:rsidRPr="0022554A" w:rsidRDefault="00AF47E9" w:rsidP="0022554A">
            <w:pPr>
              <w:tabs>
                <w:tab w:val="left" w:pos="5400"/>
              </w:tabs>
              <w:rPr>
                <w:sz w:val="20"/>
              </w:rPr>
            </w:pPr>
            <w:r w:rsidRPr="00AF47E9">
              <w:rPr>
                <w:bCs/>
                <w:sz w:val="20"/>
                <w:lang w:val="en-US"/>
              </w:rPr>
              <w:t xml:space="preserve">This was a descriptive, retrospective study of all patients referred to the Oral Pathology Central Laboratory at the KAUFD and UDH in Jeddah, Saudi Arabia, between 2018 and 2022 for biopsy of an </w:t>
            </w:r>
            <w:r w:rsidRPr="00AF47E9">
              <w:rPr>
                <w:sz w:val="20"/>
                <w:lang w:val="en-US"/>
              </w:rPr>
              <w:t>oral and maxillofacial lesion</w:t>
            </w:r>
            <w:r w:rsidRPr="00AF47E9">
              <w:rPr>
                <w:b/>
                <w:bCs/>
                <w:sz w:val="20"/>
                <w:lang w:val="en-US"/>
              </w:rPr>
              <w:t xml:space="preserve"> </w:t>
            </w:r>
            <w:r w:rsidRPr="00AF47E9">
              <w:rPr>
                <w:sz w:val="20"/>
                <w:lang w:val="en-US"/>
              </w:rPr>
              <w:t>and who subsequently received a histopathological report (n = 858)</w:t>
            </w:r>
          </w:p>
        </w:tc>
      </w:tr>
      <w:tr w:rsidR="00191A23" w:rsidRPr="0022554A" w14:paraId="1D1CBC62" w14:textId="77777777" w:rsidTr="009D1FB5">
        <w:tc>
          <w:tcPr>
            <w:tcW w:w="1951" w:type="dxa"/>
          </w:tcPr>
          <w:p w14:paraId="101307C9"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451E5D7F" w14:textId="77777777" w:rsidR="00191A23" w:rsidRPr="0022554A" w:rsidRDefault="00191A23" w:rsidP="0022554A">
            <w:pPr>
              <w:tabs>
                <w:tab w:val="left" w:pos="5400"/>
              </w:tabs>
              <w:jc w:val="center"/>
              <w:rPr>
                <w:sz w:val="20"/>
              </w:rPr>
            </w:pPr>
            <w:r w:rsidRPr="0022554A">
              <w:rPr>
                <w:sz w:val="20"/>
              </w:rPr>
              <w:t>5</w:t>
            </w:r>
          </w:p>
        </w:tc>
        <w:tc>
          <w:tcPr>
            <w:tcW w:w="8031" w:type="dxa"/>
          </w:tcPr>
          <w:p w14:paraId="38F5A2CF"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984" w:type="dxa"/>
          </w:tcPr>
          <w:p w14:paraId="4273B897" w14:textId="36A6C87E" w:rsidR="00191A23" w:rsidRPr="00AF47E9" w:rsidRDefault="00AF47E9" w:rsidP="0022554A">
            <w:pPr>
              <w:tabs>
                <w:tab w:val="left" w:pos="5400"/>
              </w:tabs>
              <w:rPr>
                <w:color w:val="000000" w:themeColor="text1"/>
                <w:sz w:val="20"/>
              </w:rPr>
            </w:pPr>
            <w:r>
              <w:rPr>
                <w:color w:val="000000" w:themeColor="text1"/>
                <w:sz w:val="20"/>
              </w:rPr>
              <w:t>4-5</w:t>
            </w:r>
          </w:p>
        </w:tc>
        <w:tc>
          <w:tcPr>
            <w:tcW w:w="2410" w:type="dxa"/>
          </w:tcPr>
          <w:p w14:paraId="1C9C8874" w14:textId="77777777" w:rsidR="00AF47E9" w:rsidRPr="00AF47E9" w:rsidRDefault="00AF47E9" w:rsidP="00AF47E9">
            <w:pPr>
              <w:tabs>
                <w:tab w:val="left" w:pos="5400"/>
              </w:tabs>
              <w:rPr>
                <w:sz w:val="20"/>
                <w:lang w:val="en-US"/>
              </w:rPr>
            </w:pPr>
            <w:r w:rsidRPr="00AF47E9">
              <w:rPr>
                <w:bCs/>
                <w:sz w:val="20"/>
                <w:lang w:val="en-US"/>
              </w:rPr>
              <w:t xml:space="preserve">This was a descriptive, retrospective study of all patients referred to the Oral Pathology Central Laboratory at the KAUFD and UDH in Jeddah, Saudi Arabia, between 2018 and 2022 for biopsy of an </w:t>
            </w:r>
            <w:r w:rsidRPr="00AF47E9">
              <w:rPr>
                <w:sz w:val="20"/>
                <w:lang w:val="en-US"/>
              </w:rPr>
              <w:t>oral and maxillofacial lesion</w:t>
            </w:r>
            <w:r w:rsidRPr="00AF47E9">
              <w:rPr>
                <w:b/>
                <w:bCs/>
                <w:sz w:val="20"/>
                <w:lang w:val="en-US"/>
              </w:rPr>
              <w:t xml:space="preserve"> </w:t>
            </w:r>
            <w:r w:rsidRPr="00AF47E9">
              <w:rPr>
                <w:sz w:val="20"/>
                <w:lang w:val="en-US"/>
              </w:rPr>
              <w:lastRenderedPageBreak/>
              <w:t>and who subsequently received a histopathological report (n = 858). There were no age restrictions. Inclusion criteria were a complete clinical file; definitive diagnosis based on histopathological examination of a tissue biopsy; whether a single biopsy or multiple biopsies were taken; and an oral and maxillofacial lesion confined to the oral cavity that involved one or more of the following: bone, connective tissue, glandular tissue, or mucosa. Exclusion criteria were histopathology reports originating at another laboratory or institution and lesions located outside the oral and maxillofacial area.</w:t>
            </w:r>
          </w:p>
          <w:p w14:paraId="3C2B83B0" w14:textId="77777777" w:rsidR="00AF47E9" w:rsidRPr="00AF47E9" w:rsidRDefault="00AF47E9" w:rsidP="00AF47E9">
            <w:pPr>
              <w:tabs>
                <w:tab w:val="left" w:pos="5400"/>
              </w:tabs>
              <w:rPr>
                <w:sz w:val="20"/>
                <w:lang w:val="en-US"/>
              </w:rPr>
            </w:pPr>
            <w:r w:rsidRPr="00AF47E9">
              <w:rPr>
                <w:sz w:val="20"/>
                <w:lang w:val="en-US"/>
              </w:rPr>
              <w:t xml:space="preserve">Diagnostic classifications were adapted from Barnes [16] and Bezroukov [17]. Cases with inconclusive pathologic diagnoses were classified as </w:t>
            </w:r>
            <w:r w:rsidRPr="00AF47E9">
              <w:rPr>
                <w:sz w:val="20"/>
                <w:lang w:val="en-US"/>
              </w:rPr>
              <w:lastRenderedPageBreak/>
              <w:t>miscellaneous, inconclusive, or nonspecific diagnoses. All records were retrieved from the KAUFD electronic health record system and the Oral Pathology Central Laboratory, as this laboratory</w:t>
            </w:r>
            <w:r w:rsidRPr="00AF47E9" w:rsidDel="00A85968">
              <w:rPr>
                <w:sz w:val="20"/>
                <w:lang w:val="en-US"/>
              </w:rPr>
              <w:t xml:space="preserve"> </w:t>
            </w:r>
            <w:r w:rsidRPr="00AF47E9">
              <w:rPr>
                <w:sz w:val="20"/>
                <w:lang w:val="en-US"/>
              </w:rPr>
              <w:t xml:space="preserve">was established in 2018 under the UDH and all records are documented in an electronic system. Biopsies were examined in the oral pathology central laboratory, which also accepts referrals from specialists and consultants who work in clinics outside KAUFD and UDH. </w:t>
            </w:r>
          </w:p>
          <w:p w14:paraId="6C7D4714" w14:textId="6C67BD98" w:rsidR="00191A23" w:rsidRPr="0022554A" w:rsidRDefault="00AF47E9" w:rsidP="00AF47E9">
            <w:pPr>
              <w:tabs>
                <w:tab w:val="left" w:pos="5400"/>
              </w:tabs>
              <w:rPr>
                <w:sz w:val="20"/>
              </w:rPr>
            </w:pPr>
            <w:r w:rsidRPr="00AF47E9">
              <w:rPr>
                <w:sz w:val="20"/>
                <w:lang w:val="en-US"/>
              </w:rPr>
              <w:t xml:space="preserve">The retrieved information included patient characteristics (age and gender); location of the lesion; the nature of the lesion (benign or malignant); surface characteristics of peripheral lesions; the intraosseous or soft tissue origin of the lesion; and </w:t>
            </w:r>
            <w:r w:rsidRPr="00AF47E9">
              <w:rPr>
                <w:sz w:val="20"/>
                <w:lang w:val="en-US"/>
              </w:rPr>
              <w:lastRenderedPageBreak/>
              <w:t xml:space="preserve">the clinical and histopathological diagnoses. For each patient, care provider information, i.e., the number of years of clinical experience and professional rank, were recorded. Professional ranks were categorized into </w:t>
            </w:r>
            <w:bookmarkStart w:id="27" w:name="_Hlk162790557"/>
            <w:r w:rsidRPr="00AF47E9">
              <w:rPr>
                <w:sz w:val="20"/>
                <w:lang w:val="en-US"/>
              </w:rPr>
              <w:t>undergraduate students, postgraduate students (MSc or PhD students), Saudi Board residents, GDPs, and</w:t>
            </w:r>
            <w:r w:rsidRPr="00AF47E9">
              <w:rPr>
                <w:sz w:val="20"/>
                <w:rtl/>
              </w:rPr>
              <w:t xml:space="preserve"> </w:t>
            </w:r>
            <w:r w:rsidRPr="00AF47E9">
              <w:rPr>
                <w:sz w:val="20"/>
                <w:lang w:val="en-US"/>
              </w:rPr>
              <w:t>specialists or consultant</w:t>
            </w:r>
            <w:bookmarkEnd w:id="27"/>
            <w:r w:rsidRPr="00AF47E9">
              <w:rPr>
                <w:sz w:val="20"/>
                <w:lang w:val="en-US"/>
              </w:rPr>
              <w:t>s. The two authors, consultants in oral medicine and oral pathology, reviewed all oral pathology reports and evaluated the agreement between the clinical and histopathological diagnoses for each patient. Cases of disagreement were discussed until a consensus was reached</w:t>
            </w:r>
          </w:p>
        </w:tc>
      </w:tr>
      <w:bookmarkEnd w:id="25"/>
      <w:bookmarkEnd w:id="26"/>
      <w:tr w:rsidR="00191A23" w:rsidRPr="0022554A" w14:paraId="6B56CAA3" w14:textId="77777777" w:rsidTr="009D1FB5">
        <w:tc>
          <w:tcPr>
            <w:tcW w:w="1951" w:type="dxa"/>
          </w:tcPr>
          <w:p w14:paraId="7273C7A7" w14:textId="77777777" w:rsidR="00191A23" w:rsidRPr="0022554A" w:rsidRDefault="00191A23" w:rsidP="0022554A">
            <w:pPr>
              <w:tabs>
                <w:tab w:val="left" w:pos="5400"/>
              </w:tabs>
              <w:rPr>
                <w:bCs/>
                <w:sz w:val="20"/>
              </w:rPr>
            </w:pPr>
            <w:r w:rsidRPr="0022554A">
              <w:rPr>
                <w:bCs/>
                <w:sz w:val="20"/>
              </w:rPr>
              <w:lastRenderedPageBreak/>
              <w:t>Participants</w:t>
            </w:r>
          </w:p>
        </w:tc>
        <w:tc>
          <w:tcPr>
            <w:tcW w:w="616" w:type="dxa"/>
          </w:tcPr>
          <w:p w14:paraId="5EBF3984" w14:textId="77777777" w:rsidR="00191A23" w:rsidRPr="0022554A" w:rsidRDefault="00191A23" w:rsidP="0022554A">
            <w:pPr>
              <w:tabs>
                <w:tab w:val="left" w:pos="5400"/>
              </w:tabs>
              <w:jc w:val="center"/>
              <w:rPr>
                <w:sz w:val="20"/>
              </w:rPr>
            </w:pPr>
            <w:r w:rsidRPr="0022554A">
              <w:rPr>
                <w:sz w:val="20"/>
              </w:rPr>
              <w:t>6</w:t>
            </w:r>
          </w:p>
        </w:tc>
        <w:tc>
          <w:tcPr>
            <w:tcW w:w="8031" w:type="dxa"/>
          </w:tcPr>
          <w:p w14:paraId="6A7FC93D" w14:textId="40FDF089" w:rsidR="00191A23" w:rsidRPr="0022554A" w:rsidRDefault="00191A23" w:rsidP="00AD10B5">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3580ED7" w14:textId="69019008" w:rsidR="00191A23" w:rsidRPr="0022554A" w:rsidRDefault="00191A23" w:rsidP="0022554A">
            <w:pPr>
              <w:tabs>
                <w:tab w:val="left" w:pos="5400"/>
              </w:tabs>
              <w:rPr>
                <w:sz w:val="20"/>
              </w:rPr>
            </w:pPr>
          </w:p>
        </w:tc>
        <w:tc>
          <w:tcPr>
            <w:tcW w:w="1984" w:type="dxa"/>
          </w:tcPr>
          <w:p w14:paraId="243E143E" w14:textId="49E016C5" w:rsidR="00191A23" w:rsidRPr="00AF47E9" w:rsidRDefault="00AF47E9" w:rsidP="0022554A">
            <w:pPr>
              <w:tabs>
                <w:tab w:val="left" w:pos="5400"/>
              </w:tabs>
              <w:rPr>
                <w:color w:val="000000" w:themeColor="text1"/>
                <w:sz w:val="20"/>
              </w:rPr>
            </w:pPr>
            <w:r>
              <w:rPr>
                <w:color w:val="000000" w:themeColor="text1"/>
                <w:sz w:val="20"/>
              </w:rPr>
              <w:t>4-5</w:t>
            </w:r>
          </w:p>
        </w:tc>
        <w:tc>
          <w:tcPr>
            <w:tcW w:w="2410" w:type="dxa"/>
          </w:tcPr>
          <w:p w14:paraId="7C9B4298" w14:textId="235CAE34" w:rsidR="00191A23" w:rsidRPr="0022554A" w:rsidRDefault="00AF47E9" w:rsidP="0022554A">
            <w:pPr>
              <w:tabs>
                <w:tab w:val="left" w:pos="5400"/>
              </w:tabs>
              <w:rPr>
                <w:sz w:val="20"/>
              </w:rPr>
            </w:pPr>
            <w:r>
              <w:rPr>
                <w:sz w:val="20"/>
              </w:rPr>
              <w:t>See above</w:t>
            </w:r>
          </w:p>
        </w:tc>
      </w:tr>
      <w:tr w:rsidR="00191A23" w:rsidRPr="0022554A" w14:paraId="750139F4" w14:textId="77777777" w:rsidTr="009D1FB5">
        <w:tc>
          <w:tcPr>
            <w:tcW w:w="1951" w:type="dxa"/>
          </w:tcPr>
          <w:p w14:paraId="03964F77" w14:textId="77777777" w:rsidR="00191A23" w:rsidRPr="0022554A" w:rsidRDefault="00191A23" w:rsidP="0022554A">
            <w:pPr>
              <w:tabs>
                <w:tab w:val="left" w:pos="5400"/>
              </w:tabs>
              <w:rPr>
                <w:bCs/>
                <w:sz w:val="20"/>
              </w:rPr>
            </w:pPr>
            <w:bookmarkStart w:id="28" w:name="bold16" w:colFirst="0" w:colLast="0"/>
            <w:bookmarkStart w:id="29" w:name="italic17" w:colFirst="0" w:colLast="0"/>
            <w:r w:rsidRPr="0022554A">
              <w:rPr>
                <w:bCs/>
                <w:sz w:val="20"/>
              </w:rPr>
              <w:lastRenderedPageBreak/>
              <w:t>Variables</w:t>
            </w:r>
          </w:p>
        </w:tc>
        <w:tc>
          <w:tcPr>
            <w:tcW w:w="616" w:type="dxa"/>
          </w:tcPr>
          <w:p w14:paraId="38733D6E" w14:textId="77777777" w:rsidR="00191A23" w:rsidRPr="0022554A" w:rsidRDefault="00191A23" w:rsidP="0022554A">
            <w:pPr>
              <w:tabs>
                <w:tab w:val="left" w:pos="5400"/>
              </w:tabs>
              <w:jc w:val="center"/>
              <w:rPr>
                <w:sz w:val="20"/>
              </w:rPr>
            </w:pPr>
            <w:r w:rsidRPr="0022554A">
              <w:rPr>
                <w:sz w:val="20"/>
              </w:rPr>
              <w:t>7</w:t>
            </w:r>
          </w:p>
        </w:tc>
        <w:tc>
          <w:tcPr>
            <w:tcW w:w="8031" w:type="dxa"/>
          </w:tcPr>
          <w:p w14:paraId="38087D74"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984" w:type="dxa"/>
          </w:tcPr>
          <w:p w14:paraId="38C19279" w14:textId="7D3D6AFF" w:rsidR="00191A23" w:rsidRPr="00AF47E9" w:rsidRDefault="00AF47E9" w:rsidP="0022554A">
            <w:pPr>
              <w:tabs>
                <w:tab w:val="left" w:pos="5400"/>
              </w:tabs>
              <w:rPr>
                <w:color w:val="000000" w:themeColor="text1"/>
                <w:sz w:val="20"/>
              </w:rPr>
            </w:pPr>
            <w:r>
              <w:rPr>
                <w:color w:val="000000" w:themeColor="text1"/>
                <w:sz w:val="20"/>
              </w:rPr>
              <w:t>4-5</w:t>
            </w:r>
          </w:p>
        </w:tc>
        <w:tc>
          <w:tcPr>
            <w:tcW w:w="2410" w:type="dxa"/>
          </w:tcPr>
          <w:p w14:paraId="751D02CC" w14:textId="36EAB5D2" w:rsidR="00191A23" w:rsidRPr="0022554A" w:rsidRDefault="00AF47E9" w:rsidP="0022554A">
            <w:pPr>
              <w:tabs>
                <w:tab w:val="left" w:pos="5400"/>
              </w:tabs>
              <w:rPr>
                <w:sz w:val="20"/>
              </w:rPr>
            </w:pPr>
            <w:r>
              <w:rPr>
                <w:sz w:val="20"/>
              </w:rPr>
              <w:t>See above</w:t>
            </w:r>
          </w:p>
        </w:tc>
      </w:tr>
      <w:tr w:rsidR="00191A23" w:rsidRPr="0022554A" w14:paraId="5918D358" w14:textId="77777777" w:rsidTr="009D1FB5">
        <w:trPr>
          <w:trHeight w:val="294"/>
        </w:trPr>
        <w:tc>
          <w:tcPr>
            <w:tcW w:w="1951" w:type="dxa"/>
          </w:tcPr>
          <w:p w14:paraId="4B192A92" w14:textId="31595116" w:rsidR="00191A23" w:rsidRPr="0022554A" w:rsidRDefault="00191A23" w:rsidP="0022554A">
            <w:pPr>
              <w:tabs>
                <w:tab w:val="left" w:pos="5400"/>
              </w:tabs>
              <w:rPr>
                <w:bCs/>
                <w:sz w:val="20"/>
              </w:rPr>
            </w:pPr>
            <w:bookmarkStart w:id="30" w:name="bold17"/>
            <w:bookmarkStart w:id="31" w:name="italic18"/>
            <w:bookmarkEnd w:id="28"/>
            <w:bookmarkEnd w:id="29"/>
            <w:r w:rsidRPr="0022554A">
              <w:rPr>
                <w:bCs/>
                <w:sz w:val="20"/>
              </w:rPr>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tcW w:w="616" w:type="dxa"/>
          </w:tcPr>
          <w:p w14:paraId="1F82F04B" w14:textId="77777777" w:rsidR="00191A23" w:rsidRPr="0022554A" w:rsidRDefault="00191A23" w:rsidP="0022554A">
            <w:pPr>
              <w:tabs>
                <w:tab w:val="left" w:pos="5400"/>
              </w:tabs>
              <w:jc w:val="center"/>
              <w:rPr>
                <w:sz w:val="20"/>
              </w:rPr>
            </w:pPr>
            <w:r w:rsidRPr="0022554A">
              <w:rPr>
                <w:sz w:val="20"/>
              </w:rPr>
              <w:t>8</w:t>
            </w:r>
            <w:bookmarkStart w:id="34" w:name="bold19"/>
            <w:r w:rsidRPr="0022554A">
              <w:rPr>
                <w:bCs/>
                <w:sz w:val="20"/>
              </w:rPr>
              <w:t>*</w:t>
            </w:r>
            <w:bookmarkEnd w:id="34"/>
          </w:p>
        </w:tc>
        <w:tc>
          <w:tcPr>
            <w:tcW w:w="8031" w:type="dxa"/>
          </w:tcPr>
          <w:p w14:paraId="7D492B22"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984" w:type="dxa"/>
          </w:tcPr>
          <w:p w14:paraId="7B08B8E6" w14:textId="3CD93E7B" w:rsidR="00191A23" w:rsidRPr="00AF47E9" w:rsidRDefault="00AF47E9" w:rsidP="0022554A">
            <w:pPr>
              <w:tabs>
                <w:tab w:val="left" w:pos="5400"/>
              </w:tabs>
              <w:rPr>
                <w:i/>
                <w:color w:val="000000" w:themeColor="text1"/>
                <w:sz w:val="20"/>
              </w:rPr>
            </w:pPr>
            <w:r>
              <w:rPr>
                <w:color w:val="000000" w:themeColor="text1"/>
                <w:sz w:val="20"/>
              </w:rPr>
              <w:t>4-5</w:t>
            </w:r>
          </w:p>
        </w:tc>
        <w:tc>
          <w:tcPr>
            <w:tcW w:w="2410" w:type="dxa"/>
          </w:tcPr>
          <w:p w14:paraId="18AA5202" w14:textId="753ED317" w:rsidR="00191A23" w:rsidRPr="0022554A" w:rsidRDefault="00AF47E9" w:rsidP="0022554A">
            <w:pPr>
              <w:tabs>
                <w:tab w:val="left" w:pos="5400"/>
              </w:tabs>
              <w:rPr>
                <w:i/>
                <w:sz w:val="20"/>
              </w:rPr>
            </w:pPr>
            <w:r>
              <w:rPr>
                <w:sz w:val="20"/>
              </w:rPr>
              <w:t>See above</w:t>
            </w:r>
          </w:p>
        </w:tc>
      </w:tr>
      <w:tr w:rsidR="00191A23" w:rsidRPr="0022554A" w14:paraId="28709A2B" w14:textId="77777777" w:rsidTr="009D1FB5">
        <w:tc>
          <w:tcPr>
            <w:tcW w:w="1951" w:type="dxa"/>
          </w:tcPr>
          <w:p w14:paraId="2870AEC9" w14:textId="77777777" w:rsidR="00191A23" w:rsidRPr="0022554A" w:rsidRDefault="00191A23" w:rsidP="0022554A">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tcW w:w="616" w:type="dxa"/>
          </w:tcPr>
          <w:p w14:paraId="05EE2A5E" w14:textId="77777777" w:rsidR="00191A23" w:rsidRPr="0022554A" w:rsidRDefault="00191A23" w:rsidP="0022554A">
            <w:pPr>
              <w:tabs>
                <w:tab w:val="left" w:pos="5400"/>
              </w:tabs>
              <w:jc w:val="center"/>
              <w:rPr>
                <w:sz w:val="20"/>
              </w:rPr>
            </w:pPr>
            <w:r w:rsidRPr="0022554A">
              <w:rPr>
                <w:sz w:val="20"/>
              </w:rPr>
              <w:t>9</w:t>
            </w:r>
          </w:p>
        </w:tc>
        <w:tc>
          <w:tcPr>
            <w:tcW w:w="8031" w:type="dxa"/>
          </w:tcPr>
          <w:p w14:paraId="1CDC075B"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984" w:type="dxa"/>
          </w:tcPr>
          <w:p w14:paraId="4012F22B" w14:textId="3D5EDD7E" w:rsidR="00191A23" w:rsidRPr="00AF47E9" w:rsidRDefault="00AF47E9" w:rsidP="0022554A">
            <w:pPr>
              <w:tabs>
                <w:tab w:val="left" w:pos="5400"/>
              </w:tabs>
              <w:rPr>
                <w:color w:val="000000" w:themeColor="text1"/>
                <w:sz w:val="20"/>
              </w:rPr>
            </w:pPr>
            <w:r>
              <w:rPr>
                <w:color w:val="000000" w:themeColor="text1"/>
                <w:sz w:val="20"/>
              </w:rPr>
              <w:t>NA</w:t>
            </w:r>
          </w:p>
        </w:tc>
        <w:tc>
          <w:tcPr>
            <w:tcW w:w="2410" w:type="dxa"/>
          </w:tcPr>
          <w:p w14:paraId="31E139BB" w14:textId="440C8F7F" w:rsidR="00191A23" w:rsidRPr="0022554A" w:rsidRDefault="00AF47E9" w:rsidP="0022554A">
            <w:pPr>
              <w:tabs>
                <w:tab w:val="left" w:pos="5400"/>
              </w:tabs>
              <w:rPr>
                <w:color w:val="000000"/>
                <w:sz w:val="20"/>
              </w:rPr>
            </w:pPr>
            <w:r>
              <w:rPr>
                <w:color w:val="000000"/>
                <w:sz w:val="20"/>
              </w:rPr>
              <w:t>NA</w:t>
            </w:r>
          </w:p>
        </w:tc>
      </w:tr>
      <w:tr w:rsidR="00191A23" w:rsidRPr="0022554A" w14:paraId="06D77724" w14:textId="77777777" w:rsidTr="009D1FB5">
        <w:tc>
          <w:tcPr>
            <w:tcW w:w="1951" w:type="dxa"/>
          </w:tcPr>
          <w:p w14:paraId="02D7384B" w14:textId="77777777" w:rsidR="00191A23" w:rsidRPr="0022554A" w:rsidRDefault="00191A23" w:rsidP="0022554A">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tcW w:w="616" w:type="dxa"/>
          </w:tcPr>
          <w:p w14:paraId="15975277" w14:textId="77777777" w:rsidR="00191A23" w:rsidRPr="0022554A" w:rsidRDefault="00191A23" w:rsidP="0022554A">
            <w:pPr>
              <w:tabs>
                <w:tab w:val="left" w:pos="5400"/>
              </w:tabs>
              <w:jc w:val="center"/>
              <w:rPr>
                <w:sz w:val="20"/>
              </w:rPr>
            </w:pPr>
            <w:r w:rsidRPr="0022554A">
              <w:rPr>
                <w:sz w:val="20"/>
              </w:rPr>
              <w:t>10</w:t>
            </w:r>
          </w:p>
        </w:tc>
        <w:tc>
          <w:tcPr>
            <w:tcW w:w="8031" w:type="dxa"/>
          </w:tcPr>
          <w:p w14:paraId="69436211" w14:textId="77777777" w:rsidR="00191A23" w:rsidRPr="0022554A" w:rsidRDefault="00191A23" w:rsidP="0022554A">
            <w:pPr>
              <w:tabs>
                <w:tab w:val="left" w:pos="5400"/>
              </w:tabs>
              <w:rPr>
                <w:sz w:val="20"/>
              </w:rPr>
            </w:pPr>
            <w:r w:rsidRPr="0022554A">
              <w:rPr>
                <w:sz w:val="20"/>
              </w:rPr>
              <w:t>Explain how the study size was arrived at</w:t>
            </w:r>
          </w:p>
        </w:tc>
        <w:tc>
          <w:tcPr>
            <w:tcW w:w="1984" w:type="dxa"/>
          </w:tcPr>
          <w:p w14:paraId="591617EA" w14:textId="14F593FF" w:rsidR="00191A23" w:rsidRPr="00AF47E9" w:rsidRDefault="00AF47E9" w:rsidP="0022554A">
            <w:pPr>
              <w:tabs>
                <w:tab w:val="left" w:pos="5400"/>
              </w:tabs>
              <w:rPr>
                <w:color w:val="000000" w:themeColor="text1"/>
                <w:sz w:val="20"/>
              </w:rPr>
            </w:pPr>
            <w:r>
              <w:rPr>
                <w:color w:val="000000" w:themeColor="text1"/>
                <w:sz w:val="20"/>
              </w:rPr>
              <w:t>4</w:t>
            </w:r>
          </w:p>
        </w:tc>
        <w:tc>
          <w:tcPr>
            <w:tcW w:w="2410" w:type="dxa"/>
          </w:tcPr>
          <w:p w14:paraId="3FA061DF" w14:textId="613255AF" w:rsidR="00191A23" w:rsidRPr="0022554A" w:rsidRDefault="00AF47E9" w:rsidP="0022554A">
            <w:pPr>
              <w:tabs>
                <w:tab w:val="left" w:pos="5400"/>
              </w:tabs>
              <w:rPr>
                <w:sz w:val="20"/>
              </w:rPr>
            </w:pPr>
            <w:r>
              <w:rPr>
                <w:sz w:val="20"/>
              </w:rPr>
              <w:t>See above</w:t>
            </w:r>
          </w:p>
        </w:tc>
      </w:tr>
    </w:tbl>
    <w:p w14:paraId="13024C5D" w14:textId="77777777" w:rsidR="00191A23" w:rsidRDefault="00191A23">
      <w:bookmarkStart w:id="39" w:name="bold22"/>
      <w:bookmarkStart w:id="40" w:name="italic22"/>
      <w:bookmarkEnd w:id="37"/>
      <w:bookmarkEnd w:id="38"/>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53EE8249" w14:textId="77777777" w:rsidTr="00517788">
        <w:tc>
          <w:tcPr>
            <w:tcW w:w="1521" w:type="dxa"/>
          </w:tcPr>
          <w:p w14:paraId="5A384CAC" w14:textId="77777777" w:rsidR="00191A23" w:rsidRPr="0022554A" w:rsidRDefault="00191A23" w:rsidP="00191A23">
            <w:pPr>
              <w:tabs>
                <w:tab w:val="left" w:pos="5400"/>
              </w:tabs>
              <w:rPr>
                <w:bCs/>
                <w:sz w:val="20"/>
              </w:rPr>
            </w:pPr>
            <w:r w:rsidRPr="0022554A">
              <w:rPr>
                <w:bCs/>
                <w:sz w:val="20"/>
              </w:rPr>
              <w:lastRenderedPageBreak/>
              <w:t>Quantitative</w:t>
            </w:r>
            <w:bookmarkStart w:id="41" w:name="bold23"/>
            <w:bookmarkStart w:id="42" w:name="italic23"/>
            <w:bookmarkEnd w:id="39"/>
            <w:bookmarkEnd w:id="40"/>
            <w:r w:rsidRPr="0022554A">
              <w:rPr>
                <w:bCs/>
                <w:sz w:val="20"/>
              </w:rPr>
              <w:t xml:space="preserve"> variables</w:t>
            </w:r>
            <w:bookmarkEnd w:id="41"/>
            <w:bookmarkEnd w:id="42"/>
          </w:p>
        </w:tc>
        <w:tc>
          <w:tcPr>
            <w:tcW w:w="749" w:type="dxa"/>
          </w:tcPr>
          <w:p w14:paraId="3CE247DD" w14:textId="77777777" w:rsidR="00191A23" w:rsidRPr="0022554A" w:rsidRDefault="00191A23" w:rsidP="00191A23">
            <w:pPr>
              <w:tabs>
                <w:tab w:val="left" w:pos="5400"/>
              </w:tabs>
              <w:jc w:val="center"/>
              <w:rPr>
                <w:sz w:val="20"/>
              </w:rPr>
            </w:pPr>
            <w:r w:rsidRPr="0022554A">
              <w:rPr>
                <w:sz w:val="20"/>
              </w:rPr>
              <w:t>11</w:t>
            </w:r>
          </w:p>
        </w:tc>
        <w:tc>
          <w:tcPr>
            <w:tcW w:w="8328" w:type="dxa"/>
          </w:tcPr>
          <w:p w14:paraId="4FEBB9E8"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2147E435" w14:textId="2C8F1109" w:rsidR="00191A23" w:rsidRPr="0022554A" w:rsidRDefault="00AF47E9" w:rsidP="00191A23">
            <w:pPr>
              <w:tabs>
                <w:tab w:val="left" w:pos="5400"/>
              </w:tabs>
              <w:rPr>
                <w:sz w:val="20"/>
              </w:rPr>
            </w:pPr>
            <w:r>
              <w:rPr>
                <w:sz w:val="20"/>
              </w:rPr>
              <w:t>5</w:t>
            </w:r>
          </w:p>
        </w:tc>
        <w:tc>
          <w:tcPr>
            <w:tcW w:w="3118" w:type="dxa"/>
          </w:tcPr>
          <w:p w14:paraId="5E0A8072" w14:textId="16F87F3A" w:rsidR="00191A23" w:rsidRPr="0022554A" w:rsidRDefault="00AF47E9" w:rsidP="00191A23">
            <w:pPr>
              <w:tabs>
                <w:tab w:val="left" w:pos="5400"/>
              </w:tabs>
              <w:rPr>
                <w:sz w:val="20"/>
              </w:rPr>
            </w:pPr>
            <w:r w:rsidRPr="00AF47E9">
              <w:rPr>
                <w:sz w:val="20"/>
                <w:lang w:val="en-US"/>
              </w:rPr>
              <w:t xml:space="preserve">Data were analyzed using the SPSS v20 (IBM SPSS Statistics, Armonk, NY). Descriptive statistics were used to described the characteristics of the study variables in the form of frequencies and percentages for categorical variables and means and standard deviations (SD) for continuous variables. Chi-squared tests were used to assess relationships between categorical variables. Logistic regression was used to assess which provider characteristics were associated with correct diagnoses. Statistical </w:t>
            </w:r>
            <w:bookmarkStart w:id="43" w:name="_gjdgxs"/>
            <w:bookmarkEnd w:id="43"/>
            <w:r w:rsidRPr="00AF47E9">
              <w:rPr>
                <w:sz w:val="20"/>
                <w:lang w:val="en-US"/>
              </w:rPr>
              <w:t>significance was set at the 5% level</w:t>
            </w:r>
            <w:r>
              <w:rPr>
                <w:sz w:val="20"/>
                <w:lang w:val="en-US"/>
              </w:rPr>
              <w:t>.</w:t>
            </w:r>
          </w:p>
        </w:tc>
      </w:tr>
      <w:tr w:rsidR="00191A23" w:rsidRPr="0022554A" w14:paraId="127878B6" w14:textId="77777777" w:rsidTr="00517788">
        <w:tc>
          <w:tcPr>
            <w:tcW w:w="1521" w:type="dxa"/>
            <w:vMerge w:val="restart"/>
          </w:tcPr>
          <w:p w14:paraId="00090171"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7488F422" w14:textId="77777777" w:rsidR="00191A23" w:rsidRPr="0022554A" w:rsidRDefault="00191A23" w:rsidP="00191A23">
            <w:pPr>
              <w:tabs>
                <w:tab w:val="left" w:pos="5400"/>
              </w:tabs>
              <w:jc w:val="center"/>
              <w:rPr>
                <w:sz w:val="20"/>
              </w:rPr>
            </w:pPr>
            <w:r w:rsidRPr="0022554A">
              <w:rPr>
                <w:sz w:val="20"/>
              </w:rPr>
              <w:t>12</w:t>
            </w:r>
          </w:p>
        </w:tc>
        <w:tc>
          <w:tcPr>
            <w:tcW w:w="8328" w:type="dxa"/>
          </w:tcPr>
          <w:p w14:paraId="450AC360" w14:textId="77777777" w:rsidR="00191A23" w:rsidRPr="00AF47E9" w:rsidRDefault="00191A23" w:rsidP="00191A23">
            <w:pPr>
              <w:tabs>
                <w:tab w:val="left" w:pos="5400"/>
              </w:tabs>
              <w:rPr>
                <w:color w:val="000000" w:themeColor="text1"/>
                <w:sz w:val="20"/>
              </w:rPr>
            </w:pPr>
            <w:r w:rsidRPr="00AF47E9">
              <w:rPr>
                <w:color w:val="000000" w:themeColor="text1"/>
                <w:sz w:val="20"/>
              </w:rPr>
              <w:t>(</w:t>
            </w:r>
            <w:r w:rsidRPr="00AF47E9">
              <w:rPr>
                <w:i/>
                <w:color w:val="000000" w:themeColor="text1"/>
                <w:sz w:val="20"/>
              </w:rPr>
              <w:t>a</w:t>
            </w:r>
            <w:r w:rsidRPr="00AF47E9">
              <w:rPr>
                <w:color w:val="000000" w:themeColor="text1"/>
                <w:sz w:val="20"/>
              </w:rPr>
              <w:t>) Describe all statistical methods, including those used to control for confounding</w:t>
            </w:r>
          </w:p>
        </w:tc>
        <w:tc>
          <w:tcPr>
            <w:tcW w:w="1276" w:type="dxa"/>
          </w:tcPr>
          <w:p w14:paraId="48F60747" w14:textId="62696BD1" w:rsidR="00191A23" w:rsidRPr="00AF47E9" w:rsidRDefault="00AF47E9" w:rsidP="00191A23">
            <w:pPr>
              <w:tabs>
                <w:tab w:val="left" w:pos="5400"/>
              </w:tabs>
              <w:rPr>
                <w:color w:val="000000" w:themeColor="text1"/>
                <w:sz w:val="20"/>
              </w:rPr>
            </w:pPr>
            <w:r w:rsidRPr="00AF47E9">
              <w:rPr>
                <w:color w:val="000000" w:themeColor="text1"/>
                <w:sz w:val="20"/>
              </w:rPr>
              <w:t>5</w:t>
            </w:r>
          </w:p>
        </w:tc>
        <w:tc>
          <w:tcPr>
            <w:tcW w:w="3118" w:type="dxa"/>
          </w:tcPr>
          <w:p w14:paraId="2181FA9F" w14:textId="1E4B4806" w:rsidR="00191A23" w:rsidRPr="0022554A" w:rsidRDefault="00AF47E9" w:rsidP="00191A23">
            <w:pPr>
              <w:tabs>
                <w:tab w:val="left" w:pos="5400"/>
              </w:tabs>
              <w:rPr>
                <w:sz w:val="20"/>
              </w:rPr>
            </w:pPr>
            <w:r>
              <w:rPr>
                <w:sz w:val="20"/>
              </w:rPr>
              <w:t>See above</w:t>
            </w:r>
          </w:p>
        </w:tc>
      </w:tr>
      <w:tr w:rsidR="00191A23" w:rsidRPr="0022554A" w14:paraId="28D1903A" w14:textId="77777777" w:rsidTr="00517788">
        <w:tc>
          <w:tcPr>
            <w:tcW w:w="1521" w:type="dxa"/>
            <w:vMerge/>
          </w:tcPr>
          <w:p w14:paraId="32BB9484"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613D60D8" w14:textId="77777777" w:rsidR="00191A23" w:rsidRPr="0022554A" w:rsidRDefault="00191A23" w:rsidP="00191A23">
            <w:pPr>
              <w:tabs>
                <w:tab w:val="left" w:pos="5400"/>
              </w:tabs>
              <w:jc w:val="center"/>
              <w:rPr>
                <w:sz w:val="20"/>
              </w:rPr>
            </w:pPr>
          </w:p>
        </w:tc>
        <w:tc>
          <w:tcPr>
            <w:tcW w:w="8328" w:type="dxa"/>
          </w:tcPr>
          <w:p w14:paraId="0AB936F5"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7E7E0B79" w14:textId="57CF415E" w:rsidR="00191A23" w:rsidRPr="0022554A" w:rsidRDefault="00AF47E9" w:rsidP="00191A23">
            <w:pPr>
              <w:tabs>
                <w:tab w:val="left" w:pos="5400"/>
              </w:tabs>
              <w:rPr>
                <w:sz w:val="20"/>
              </w:rPr>
            </w:pPr>
            <w:r>
              <w:rPr>
                <w:sz w:val="20"/>
              </w:rPr>
              <w:t>NA</w:t>
            </w:r>
          </w:p>
        </w:tc>
        <w:tc>
          <w:tcPr>
            <w:tcW w:w="3118" w:type="dxa"/>
          </w:tcPr>
          <w:p w14:paraId="448B232F" w14:textId="442ECC79" w:rsidR="00191A23" w:rsidRPr="0022554A" w:rsidRDefault="00AF47E9" w:rsidP="00191A23">
            <w:pPr>
              <w:tabs>
                <w:tab w:val="left" w:pos="5400"/>
              </w:tabs>
              <w:rPr>
                <w:sz w:val="20"/>
              </w:rPr>
            </w:pPr>
            <w:r>
              <w:rPr>
                <w:sz w:val="20"/>
              </w:rPr>
              <w:t>NA</w:t>
            </w:r>
          </w:p>
        </w:tc>
      </w:tr>
      <w:tr w:rsidR="00191A23" w:rsidRPr="0022554A" w14:paraId="6EE64A00" w14:textId="77777777" w:rsidTr="00517788">
        <w:tc>
          <w:tcPr>
            <w:tcW w:w="1521" w:type="dxa"/>
            <w:vMerge/>
          </w:tcPr>
          <w:p w14:paraId="0A96C5DC"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53132A8" w14:textId="77777777" w:rsidR="00191A23" w:rsidRPr="0022554A" w:rsidRDefault="00191A23" w:rsidP="00191A23">
            <w:pPr>
              <w:tabs>
                <w:tab w:val="left" w:pos="5400"/>
              </w:tabs>
              <w:jc w:val="center"/>
              <w:rPr>
                <w:sz w:val="20"/>
              </w:rPr>
            </w:pPr>
          </w:p>
        </w:tc>
        <w:tc>
          <w:tcPr>
            <w:tcW w:w="8328" w:type="dxa"/>
          </w:tcPr>
          <w:p w14:paraId="5B71378A"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16C812D" w14:textId="67F5CE87" w:rsidR="00191A23" w:rsidRPr="0022554A" w:rsidRDefault="00AF47E9" w:rsidP="00191A23">
            <w:pPr>
              <w:tabs>
                <w:tab w:val="left" w:pos="5400"/>
              </w:tabs>
              <w:rPr>
                <w:sz w:val="20"/>
              </w:rPr>
            </w:pPr>
            <w:r>
              <w:rPr>
                <w:sz w:val="20"/>
              </w:rPr>
              <w:t>NA</w:t>
            </w:r>
          </w:p>
        </w:tc>
        <w:tc>
          <w:tcPr>
            <w:tcW w:w="3118" w:type="dxa"/>
          </w:tcPr>
          <w:p w14:paraId="5AA45F3B" w14:textId="2CF192BD" w:rsidR="00191A23" w:rsidRPr="0022554A" w:rsidRDefault="00AF47E9" w:rsidP="00191A23">
            <w:pPr>
              <w:tabs>
                <w:tab w:val="left" w:pos="5400"/>
              </w:tabs>
              <w:rPr>
                <w:sz w:val="20"/>
              </w:rPr>
            </w:pPr>
            <w:r>
              <w:rPr>
                <w:sz w:val="20"/>
              </w:rPr>
              <w:t>NA</w:t>
            </w:r>
          </w:p>
        </w:tc>
      </w:tr>
      <w:tr w:rsidR="00191A23" w:rsidRPr="0022554A" w14:paraId="2BCB5606" w14:textId="77777777" w:rsidTr="00517788">
        <w:tc>
          <w:tcPr>
            <w:tcW w:w="1521" w:type="dxa"/>
            <w:vMerge/>
          </w:tcPr>
          <w:p w14:paraId="13B1CD9A"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7293A21" w14:textId="77777777" w:rsidR="00191A23" w:rsidRPr="0022554A" w:rsidRDefault="00191A23" w:rsidP="00191A23">
            <w:pPr>
              <w:tabs>
                <w:tab w:val="left" w:pos="5400"/>
              </w:tabs>
              <w:jc w:val="center"/>
              <w:rPr>
                <w:sz w:val="20"/>
              </w:rPr>
            </w:pPr>
          </w:p>
        </w:tc>
        <w:tc>
          <w:tcPr>
            <w:tcW w:w="8328" w:type="dxa"/>
          </w:tcPr>
          <w:p w14:paraId="73A7CBC4"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7411EDC"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68498CC0"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8A98FBE" w14:textId="4A971814" w:rsidR="00191A23" w:rsidRPr="0022554A" w:rsidRDefault="00AF47E9" w:rsidP="00191A23">
            <w:pPr>
              <w:tabs>
                <w:tab w:val="left" w:pos="5400"/>
              </w:tabs>
              <w:rPr>
                <w:sz w:val="20"/>
              </w:rPr>
            </w:pPr>
            <w:r>
              <w:rPr>
                <w:sz w:val="20"/>
              </w:rPr>
              <w:t>5</w:t>
            </w:r>
          </w:p>
        </w:tc>
        <w:tc>
          <w:tcPr>
            <w:tcW w:w="3118" w:type="dxa"/>
          </w:tcPr>
          <w:p w14:paraId="4BFC5EBD" w14:textId="3B39A829" w:rsidR="00191A23" w:rsidRPr="0022554A" w:rsidRDefault="00AF47E9" w:rsidP="00191A23">
            <w:pPr>
              <w:tabs>
                <w:tab w:val="left" w:pos="5400"/>
              </w:tabs>
              <w:rPr>
                <w:sz w:val="20"/>
              </w:rPr>
            </w:pPr>
            <w:r>
              <w:rPr>
                <w:sz w:val="20"/>
              </w:rPr>
              <w:t>See above</w:t>
            </w:r>
          </w:p>
        </w:tc>
      </w:tr>
      <w:tr w:rsidR="00191A23" w:rsidRPr="0022554A" w14:paraId="1B055E15" w14:textId="77777777" w:rsidTr="00517788">
        <w:tc>
          <w:tcPr>
            <w:tcW w:w="1521" w:type="dxa"/>
            <w:vMerge/>
          </w:tcPr>
          <w:p w14:paraId="32AFE418"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20CE443D" w14:textId="77777777" w:rsidR="00191A23" w:rsidRPr="0022554A" w:rsidRDefault="00191A23" w:rsidP="00191A23">
            <w:pPr>
              <w:tabs>
                <w:tab w:val="left" w:pos="5400"/>
              </w:tabs>
              <w:jc w:val="center"/>
              <w:rPr>
                <w:sz w:val="20"/>
              </w:rPr>
            </w:pPr>
          </w:p>
        </w:tc>
        <w:tc>
          <w:tcPr>
            <w:tcW w:w="8328" w:type="dxa"/>
          </w:tcPr>
          <w:p w14:paraId="241C91A2"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770BB38A" w14:textId="2A94BD0B" w:rsidR="00191A23" w:rsidRPr="0022554A" w:rsidRDefault="00AF47E9" w:rsidP="00191A23">
            <w:pPr>
              <w:tabs>
                <w:tab w:val="left" w:pos="5400"/>
              </w:tabs>
              <w:rPr>
                <w:sz w:val="20"/>
              </w:rPr>
            </w:pPr>
            <w:r>
              <w:rPr>
                <w:sz w:val="20"/>
              </w:rPr>
              <w:t>NA</w:t>
            </w:r>
          </w:p>
        </w:tc>
        <w:tc>
          <w:tcPr>
            <w:tcW w:w="3118" w:type="dxa"/>
          </w:tcPr>
          <w:p w14:paraId="16F39E1C" w14:textId="52D3E282" w:rsidR="00191A23" w:rsidRPr="0022554A" w:rsidRDefault="00AF47E9" w:rsidP="00191A23">
            <w:pPr>
              <w:tabs>
                <w:tab w:val="left" w:pos="5400"/>
              </w:tabs>
              <w:rPr>
                <w:sz w:val="20"/>
              </w:rPr>
            </w:pPr>
            <w:r>
              <w:rPr>
                <w:sz w:val="20"/>
              </w:rPr>
              <w:t>NA</w:t>
            </w:r>
          </w:p>
        </w:tc>
      </w:tr>
      <w:bookmarkEnd w:id="52"/>
      <w:bookmarkEnd w:id="53"/>
      <w:tr w:rsidR="00191A23" w:rsidRPr="0022554A" w14:paraId="1C5A4151" w14:textId="77777777" w:rsidTr="00191A23">
        <w:tc>
          <w:tcPr>
            <w:tcW w:w="14992" w:type="dxa"/>
            <w:gridSpan w:val="5"/>
          </w:tcPr>
          <w:p w14:paraId="37F7112A"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342E3A3D" w14:textId="77777777" w:rsidTr="00517788">
        <w:tc>
          <w:tcPr>
            <w:tcW w:w="0" w:type="auto"/>
            <w:vMerge w:val="restart"/>
          </w:tcPr>
          <w:p w14:paraId="4D8877B9"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765CFFF"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67E930AB"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77FCF173" w14:textId="25A5657A" w:rsidR="00191A23" w:rsidRDefault="00AF47E9" w:rsidP="00191A23">
            <w:pPr>
              <w:tabs>
                <w:tab w:val="left" w:pos="5400"/>
              </w:tabs>
              <w:rPr>
                <w:sz w:val="20"/>
              </w:rPr>
            </w:pPr>
            <w:r>
              <w:rPr>
                <w:sz w:val="20"/>
              </w:rPr>
              <w:t>5</w:t>
            </w:r>
          </w:p>
        </w:tc>
        <w:tc>
          <w:tcPr>
            <w:tcW w:w="3118" w:type="dxa"/>
          </w:tcPr>
          <w:p w14:paraId="3DC7C71B" w14:textId="4698897E" w:rsidR="00191A23" w:rsidRDefault="00AF47E9" w:rsidP="00191A23">
            <w:pPr>
              <w:tabs>
                <w:tab w:val="left" w:pos="5400"/>
              </w:tabs>
              <w:rPr>
                <w:sz w:val="20"/>
              </w:rPr>
            </w:pPr>
            <w:r w:rsidRPr="00AF47E9">
              <w:rPr>
                <w:sz w:val="20"/>
              </w:rPr>
              <w:t>This descriptive retrospective study included data from 858 patients with oral and maxillofacial lesions seen between 2018 and 2022</w:t>
            </w:r>
            <w:r>
              <w:rPr>
                <w:sz w:val="20"/>
              </w:rPr>
              <w:t>,</w:t>
            </w:r>
          </w:p>
        </w:tc>
      </w:tr>
      <w:tr w:rsidR="00191A23" w:rsidRPr="0022554A" w14:paraId="67C70C6D" w14:textId="77777777" w:rsidTr="00517788">
        <w:tc>
          <w:tcPr>
            <w:tcW w:w="0" w:type="auto"/>
            <w:vMerge/>
          </w:tcPr>
          <w:p w14:paraId="6C7D116C"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15123F38" w14:textId="77777777" w:rsidR="00191A23" w:rsidRPr="0022554A" w:rsidRDefault="00191A23" w:rsidP="00191A23">
            <w:pPr>
              <w:tabs>
                <w:tab w:val="left" w:pos="5400"/>
              </w:tabs>
              <w:jc w:val="center"/>
              <w:rPr>
                <w:sz w:val="20"/>
              </w:rPr>
            </w:pPr>
          </w:p>
        </w:tc>
        <w:tc>
          <w:tcPr>
            <w:tcW w:w="8328" w:type="dxa"/>
          </w:tcPr>
          <w:p w14:paraId="780FF8DE"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17CB5F53" w14:textId="17325C38" w:rsidR="00191A23" w:rsidRDefault="00AF47E9" w:rsidP="00191A23">
            <w:pPr>
              <w:tabs>
                <w:tab w:val="left" w:pos="5400"/>
              </w:tabs>
              <w:rPr>
                <w:sz w:val="20"/>
              </w:rPr>
            </w:pPr>
            <w:r>
              <w:rPr>
                <w:sz w:val="20"/>
              </w:rPr>
              <w:t>NA</w:t>
            </w:r>
          </w:p>
        </w:tc>
        <w:tc>
          <w:tcPr>
            <w:tcW w:w="3118" w:type="dxa"/>
          </w:tcPr>
          <w:p w14:paraId="7014C499" w14:textId="6E4D0D95" w:rsidR="00191A23" w:rsidRDefault="00AF47E9" w:rsidP="00191A23">
            <w:pPr>
              <w:tabs>
                <w:tab w:val="left" w:pos="5400"/>
              </w:tabs>
              <w:rPr>
                <w:sz w:val="20"/>
              </w:rPr>
            </w:pPr>
            <w:r>
              <w:rPr>
                <w:sz w:val="20"/>
              </w:rPr>
              <w:t>NA</w:t>
            </w:r>
          </w:p>
        </w:tc>
      </w:tr>
      <w:tr w:rsidR="00191A23" w:rsidRPr="0022554A" w14:paraId="5DD83EAA" w14:textId="77777777" w:rsidTr="00517788">
        <w:tc>
          <w:tcPr>
            <w:tcW w:w="0" w:type="auto"/>
            <w:vMerge/>
          </w:tcPr>
          <w:p w14:paraId="5A34B2B3"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2B85598" w14:textId="77777777" w:rsidR="00191A23" w:rsidRPr="0022554A" w:rsidRDefault="00191A23" w:rsidP="00191A23">
            <w:pPr>
              <w:tabs>
                <w:tab w:val="left" w:pos="5400"/>
              </w:tabs>
              <w:jc w:val="center"/>
              <w:rPr>
                <w:sz w:val="20"/>
              </w:rPr>
            </w:pPr>
          </w:p>
        </w:tc>
        <w:tc>
          <w:tcPr>
            <w:tcW w:w="8328" w:type="dxa"/>
          </w:tcPr>
          <w:p w14:paraId="64B87684"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13A79F0A" w14:textId="1E482359" w:rsidR="00191A23" w:rsidRDefault="00AF47E9" w:rsidP="00191A23">
            <w:pPr>
              <w:tabs>
                <w:tab w:val="left" w:pos="5400"/>
              </w:tabs>
              <w:rPr>
                <w:sz w:val="20"/>
              </w:rPr>
            </w:pPr>
            <w:r>
              <w:rPr>
                <w:sz w:val="20"/>
              </w:rPr>
              <w:t>NA</w:t>
            </w:r>
          </w:p>
        </w:tc>
        <w:tc>
          <w:tcPr>
            <w:tcW w:w="3118" w:type="dxa"/>
          </w:tcPr>
          <w:p w14:paraId="208D0A7E" w14:textId="640F582D" w:rsidR="00191A23" w:rsidRDefault="00AF47E9" w:rsidP="00191A23">
            <w:pPr>
              <w:tabs>
                <w:tab w:val="left" w:pos="5400"/>
              </w:tabs>
              <w:rPr>
                <w:sz w:val="20"/>
              </w:rPr>
            </w:pPr>
            <w:r>
              <w:rPr>
                <w:sz w:val="20"/>
              </w:rPr>
              <w:t>NA</w:t>
            </w:r>
          </w:p>
        </w:tc>
      </w:tr>
      <w:tr w:rsidR="00191A23" w:rsidRPr="0022554A" w14:paraId="501ABCC9" w14:textId="77777777" w:rsidTr="00517788">
        <w:tc>
          <w:tcPr>
            <w:tcW w:w="0" w:type="auto"/>
            <w:vMerge w:val="restart"/>
          </w:tcPr>
          <w:p w14:paraId="4BE8F71E"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lastRenderedPageBreak/>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35D214D"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66D353EC"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5447737A" w14:textId="7EC5529C" w:rsidR="00191A23" w:rsidRDefault="00AF47E9" w:rsidP="00191A23">
            <w:pPr>
              <w:tabs>
                <w:tab w:val="left" w:pos="5400"/>
              </w:tabs>
              <w:rPr>
                <w:sz w:val="20"/>
              </w:rPr>
            </w:pPr>
            <w:r>
              <w:rPr>
                <w:color w:val="000000" w:themeColor="text1"/>
                <w:sz w:val="20"/>
              </w:rPr>
              <w:t>5</w:t>
            </w:r>
          </w:p>
        </w:tc>
        <w:tc>
          <w:tcPr>
            <w:tcW w:w="3118" w:type="dxa"/>
          </w:tcPr>
          <w:p w14:paraId="5425FAFE" w14:textId="3E3D912B" w:rsidR="00191A23" w:rsidRDefault="00AF47E9" w:rsidP="00191A23">
            <w:pPr>
              <w:tabs>
                <w:tab w:val="left" w:pos="5400"/>
              </w:tabs>
              <w:rPr>
                <w:sz w:val="20"/>
              </w:rPr>
            </w:pPr>
            <w:r w:rsidRPr="00AF47E9">
              <w:rPr>
                <w:sz w:val="20"/>
                <w:lang w:val="en-US"/>
              </w:rPr>
              <w:t>Over half of the referring dentists were consultants (59.2%, n = 508), and the rest were postgraduate students (26.1%, n = 224), board residents (11.3%, n = 97), and undergraduate students (3.4%, n = 29). Referrals were most often from oral surgeons (45.1%, n = 387) followed by endodontists (22.6%, n =194). Over half of referrals (58.9%, n = 505) were from dentists with &gt;5 years of experience.</w:t>
            </w:r>
          </w:p>
        </w:tc>
      </w:tr>
      <w:tr w:rsidR="00191A23" w:rsidRPr="0022554A" w14:paraId="6212B877" w14:textId="77777777" w:rsidTr="00517788">
        <w:tc>
          <w:tcPr>
            <w:tcW w:w="0" w:type="auto"/>
            <w:vMerge/>
          </w:tcPr>
          <w:p w14:paraId="2CC9550B"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42D061A9" w14:textId="77777777" w:rsidR="00191A23" w:rsidRPr="0022554A" w:rsidRDefault="00191A23" w:rsidP="00191A23">
            <w:pPr>
              <w:tabs>
                <w:tab w:val="left" w:pos="5400"/>
              </w:tabs>
              <w:jc w:val="center"/>
              <w:rPr>
                <w:sz w:val="20"/>
              </w:rPr>
            </w:pPr>
          </w:p>
        </w:tc>
        <w:tc>
          <w:tcPr>
            <w:tcW w:w="8328" w:type="dxa"/>
          </w:tcPr>
          <w:p w14:paraId="4F3F61FE"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4D9F1FB2" w14:textId="6FB472F9" w:rsidR="00191A23" w:rsidRPr="00AF47E9" w:rsidRDefault="00AF47E9" w:rsidP="00191A23">
            <w:pPr>
              <w:tabs>
                <w:tab w:val="left" w:pos="5400"/>
              </w:tabs>
              <w:rPr>
                <w:color w:val="000000" w:themeColor="text1"/>
                <w:sz w:val="20"/>
              </w:rPr>
            </w:pPr>
            <w:r>
              <w:rPr>
                <w:color w:val="000000" w:themeColor="text1"/>
                <w:sz w:val="20"/>
              </w:rPr>
              <w:t>NA</w:t>
            </w:r>
          </w:p>
        </w:tc>
        <w:tc>
          <w:tcPr>
            <w:tcW w:w="3118" w:type="dxa"/>
          </w:tcPr>
          <w:p w14:paraId="6C8FC202" w14:textId="6F07F86F" w:rsidR="00191A23" w:rsidRDefault="00AF47E9" w:rsidP="00191A23">
            <w:pPr>
              <w:tabs>
                <w:tab w:val="left" w:pos="5400"/>
              </w:tabs>
              <w:rPr>
                <w:sz w:val="20"/>
              </w:rPr>
            </w:pPr>
            <w:r>
              <w:rPr>
                <w:sz w:val="20"/>
              </w:rPr>
              <w:t>NA</w:t>
            </w:r>
          </w:p>
        </w:tc>
      </w:tr>
      <w:tr w:rsidR="00191A23" w:rsidRPr="0022554A" w14:paraId="532FF25B" w14:textId="77777777" w:rsidTr="00517788">
        <w:trPr>
          <w:trHeight w:val="295"/>
        </w:trPr>
        <w:tc>
          <w:tcPr>
            <w:tcW w:w="0" w:type="auto"/>
            <w:vMerge w:val="restart"/>
          </w:tcPr>
          <w:p w14:paraId="19C00113" w14:textId="77777777" w:rsidR="00191A23" w:rsidRPr="0022554A" w:rsidRDefault="00191A23" w:rsidP="00191A23">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vMerge w:val="restart"/>
          </w:tcPr>
          <w:p w14:paraId="75F5E507" w14:textId="77777777" w:rsidR="00191A23" w:rsidRPr="0022554A" w:rsidRDefault="00191A23" w:rsidP="00191A23">
            <w:pPr>
              <w:tabs>
                <w:tab w:val="left" w:pos="5400"/>
              </w:tabs>
              <w:jc w:val="center"/>
              <w:rPr>
                <w:sz w:val="20"/>
              </w:rPr>
            </w:pPr>
            <w:r w:rsidRPr="0022554A">
              <w:rPr>
                <w:sz w:val="20"/>
              </w:rPr>
              <w:t>15</w:t>
            </w:r>
            <w:bookmarkStart w:id="71" w:name="bold39"/>
            <w:r w:rsidRPr="0022554A">
              <w:rPr>
                <w:bCs/>
                <w:sz w:val="20"/>
              </w:rPr>
              <w:t>*</w:t>
            </w:r>
            <w:bookmarkEnd w:id="71"/>
          </w:p>
        </w:tc>
        <w:tc>
          <w:tcPr>
            <w:tcW w:w="8328" w:type="dxa"/>
          </w:tcPr>
          <w:p w14:paraId="75604768"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09A06961" w14:textId="486F1D34" w:rsidR="00191A23" w:rsidRPr="00AF47E9" w:rsidRDefault="00AD10B5" w:rsidP="00191A23">
            <w:pPr>
              <w:tabs>
                <w:tab w:val="left" w:pos="5400"/>
              </w:tabs>
              <w:rPr>
                <w:iCs/>
                <w:color w:val="000000" w:themeColor="text1"/>
                <w:sz w:val="20"/>
              </w:rPr>
            </w:pPr>
            <w:r w:rsidRPr="00AF47E9">
              <w:rPr>
                <w:iCs/>
                <w:color w:val="000000" w:themeColor="text1"/>
                <w:sz w:val="20"/>
              </w:rPr>
              <w:t>NA</w:t>
            </w:r>
          </w:p>
        </w:tc>
        <w:tc>
          <w:tcPr>
            <w:tcW w:w="3118" w:type="dxa"/>
          </w:tcPr>
          <w:p w14:paraId="69F766CF" w14:textId="6DF510B5" w:rsidR="00191A23" w:rsidRPr="00AF47E9" w:rsidRDefault="00AF47E9" w:rsidP="00191A23">
            <w:pPr>
              <w:tabs>
                <w:tab w:val="left" w:pos="5400"/>
              </w:tabs>
              <w:rPr>
                <w:iCs/>
                <w:sz w:val="20"/>
              </w:rPr>
            </w:pPr>
            <w:r w:rsidRPr="00AF47E9">
              <w:rPr>
                <w:iCs/>
                <w:sz w:val="20"/>
              </w:rPr>
              <w:t>NA</w:t>
            </w:r>
          </w:p>
        </w:tc>
      </w:tr>
      <w:tr w:rsidR="00191A23" w:rsidRPr="0022554A" w14:paraId="7D0C992F" w14:textId="77777777" w:rsidTr="00517788">
        <w:trPr>
          <w:trHeight w:val="294"/>
        </w:trPr>
        <w:tc>
          <w:tcPr>
            <w:tcW w:w="0" w:type="auto"/>
            <w:vMerge/>
          </w:tcPr>
          <w:p w14:paraId="7171811F" w14:textId="77777777" w:rsidR="00191A23" w:rsidRPr="0022554A" w:rsidRDefault="00191A23" w:rsidP="00191A23">
            <w:pPr>
              <w:tabs>
                <w:tab w:val="left" w:pos="5400"/>
              </w:tabs>
              <w:rPr>
                <w:bCs/>
                <w:sz w:val="20"/>
              </w:rPr>
            </w:pPr>
          </w:p>
        </w:tc>
        <w:tc>
          <w:tcPr>
            <w:tcW w:w="0" w:type="auto"/>
            <w:vMerge/>
          </w:tcPr>
          <w:p w14:paraId="2A7369F7" w14:textId="77777777" w:rsidR="00191A23" w:rsidRPr="0022554A" w:rsidRDefault="00191A23" w:rsidP="00191A23">
            <w:pPr>
              <w:tabs>
                <w:tab w:val="left" w:pos="5400"/>
              </w:tabs>
              <w:jc w:val="center"/>
              <w:rPr>
                <w:sz w:val="20"/>
              </w:rPr>
            </w:pPr>
          </w:p>
        </w:tc>
        <w:tc>
          <w:tcPr>
            <w:tcW w:w="8328" w:type="dxa"/>
          </w:tcPr>
          <w:p w14:paraId="28B4EB32"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3FAF9510" w14:textId="48191402" w:rsidR="00191A23" w:rsidRPr="00AF47E9" w:rsidRDefault="00AD10B5" w:rsidP="00191A23">
            <w:pPr>
              <w:tabs>
                <w:tab w:val="left" w:pos="5400"/>
              </w:tabs>
              <w:rPr>
                <w:i/>
                <w:color w:val="000000" w:themeColor="text1"/>
                <w:sz w:val="20"/>
              </w:rPr>
            </w:pPr>
            <w:r w:rsidRPr="00AF47E9">
              <w:rPr>
                <w:iCs/>
                <w:color w:val="000000" w:themeColor="text1"/>
                <w:sz w:val="20"/>
              </w:rPr>
              <w:t>NA</w:t>
            </w:r>
          </w:p>
        </w:tc>
        <w:tc>
          <w:tcPr>
            <w:tcW w:w="3118" w:type="dxa"/>
          </w:tcPr>
          <w:p w14:paraId="4DF64D9F" w14:textId="1D7ED3DD" w:rsidR="00191A23" w:rsidRPr="00AF47E9" w:rsidRDefault="00AF47E9" w:rsidP="00191A23">
            <w:pPr>
              <w:tabs>
                <w:tab w:val="left" w:pos="5400"/>
              </w:tabs>
              <w:rPr>
                <w:iCs/>
                <w:sz w:val="20"/>
              </w:rPr>
            </w:pPr>
            <w:r w:rsidRPr="00AF47E9">
              <w:rPr>
                <w:iCs/>
                <w:sz w:val="20"/>
              </w:rPr>
              <w:t>NA</w:t>
            </w:r>
          </w:p>
        </w:tc>
      </w:tr>
      <w:tr w:rsidR="00191A23" w:rsidRPr="0022554A" w14:paraId="668CE901" w14:textId="77777777" w:rsidTr="00517788">
        <w:trPr>
          <w:trHeight w:val="294"/>
        </w:trPr>
        <w:tc>
          <w:tcPr>
            <w:tcW w:w="0" w:type="auto"/>
            <w:vMerge/>
          </w:tcPr>
          <w:p w14:paraId="675DAAC4" w14:textId="77777777" w:rsidR="00191A23" w:rsidRPr="0022554A" w:rsidRDefault="00191A23" w:rsidP="00191A23">
            <w:pPr>
              <w:tabs>
                <w:tab w:val="left" w:pos="5400"/>
              </w:tabs>
              <w:rPr>
                <w:bCs/>
                <w:sz w:val="20"/>
              </w:rPr>
            </w:pPr>
          </w:p>
        </w:tc>
        <w:tc>
          <w:tcPr>
            <w:tcW w:w="0" w:type="auto"/>
            <w:vMerge/>
          </w:tcPr>
          <w:p w14:paraId="0F6D0370" w14:textId="77777777" w:rsidR="00191A23" w:rsidRPr="0022554A" w:rsidRDefault="00191A23" w:rsidP="00191A23">
            <w:pPr>
              <w:tabs>
                <w:tab w:val="left" w:pos="5400"/>
              </w:tabs>
              <w:jc w:val="center"/>
              <w:rPr>
                <w:sz w:val="20"/>
              </w:rPr>
            </w:pPr>
          </w:p>
        </w:tc>
        <w:tc>
          <w:tcPr>
            <w:tcW w:w="8328" w:type="dxa"/>
          </w:tcPr>
          <w:p w14:paraId="6429982E"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2AC01B44" w14:textId="2B8C2AE1" w:rsidR="00191A23" w:rsidRPr="00AF47E9" w:rsidRDefault="00AF47E9" w:rsidP="00191A23">
            <w:pPr>
              <w:tabs>
                <w:tab w:val="left" w:pos="5400"/>
              </w:tabs>
              <w:rPr>
                <w:iCs/>
                <w:color w:val="000000" w:themeColor="text1"/>
                <w:sz w:val="20"/>
              </w:rPr>
            </w:pPr>
            <w:r>
              <w:rPr>
                <w:iCs/>
                <w:color w:val="000000" w:themeColor="text1"/>
                <w:sz w:val="20"/>
              </w:rPr>
              <w:t>6</w:t>
            </w:r>
          </w:p>
        </w:tc>
        <w:tc>
          <w:tcPr>
            <w:tcW w:w="3118" w:type="dxa"/>
          </w:tcPr>
          <w:p w14:paraId="26E2D187" w14:textId="0F7EB703" w:rsidR="00191A23" w:rsidRPr="00AF47E9" w:rsidRDefault="00AF47E9" w:rsidP="00191A23">
            <w:pPr>
              <w:tabs>
                <w:tab w:val="left" w:pos="5400"/>
              </w:tabs>
              <w:rPr>
                <w:iCs/>
                <w:sz w:val="20"/>
              </w:rPr>
            </w:pPr>
            <w:r w:rsidRPr="00AF47E9">
              <w:rPr>
                <w:iCs/>
                <w:sz w:val="20"/>
              </w:rPr>
              <w:t>See text</w:t>
            </w:r>
          </w:p>
        </w:tc>
      </w:tr>
      <w:tr w:rsidR="00191A23" w:rsidRPr="0022554A" w14:paraId="34A0A40A" w14:textId="77777777" w:rsidTr="00517788">
        <w:tc>
          <w:tcPr>
            <w:tcW w:w="0" w:type="auto"/>
            <w:vMerge w:val="restart"/>
          </w:tcPr>
          <w:p w14:paraId="46D3B7B6" w14:textId="77777777" w:rsidR="00191A23" w:rsidRPr="0022554A" w:rsidRDefault="00191A23" w:rsidP="00191A23">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433B8D9E" w14:textId="77777777" w:rsidR="00191A23" w:rsidRPr="0022554A" w:rsidRDefault="00191A23" w:rsidP="00191A23">
            <w:pPr>
              <w:tabs>
                <w:tab w:val="left" w:pos="5400"/>
              </w:tabs>
              <w:jc w:val="center"/>
              <w:rPr>
                <w:sz w:val="20"/>
              </w:rPr>
            </w:pPr>
            <w:r w:rsidRPr="0022554A">
              <w:rPr>
                <w:sz w:val="20"/>
              </w:rPr>
              <w:t>16</w:t>
            </w:r>
          </w:p>
        </w:tc>
        <w:tc>
          <w:tcPr>
            <w:tcW w:w="8328" w:type="dxa"/>
          </w:tcPr>
          <w:p w14:paraId="5EB4D1B2"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59DD77B3" w14:textId="58617186" w:rsidR="00191A23" w:rsidRPr="00AF47E9" w:rsidRDefault="00AF47E9" w:rsidP="00191A23">
            <w:pPr>
              <w:tabs>
                <w:tab w:val="left" w:pos="5400"/>
              </w:tabs>
              <w:rPr>
                <w:color w:val="000000" w:themeColor="text1"/>
                <w:sz w:val="20"/>
              </w:rPr>
            </w:pPr>
            <w:r>
              <w:rPr>
                <w:color w:val="000000" w:themeColor="text1"/>
                <w:sz w:val="20"/>
              </w:rPr>
              <w:t>6-7</w:t>
            </w:r>
          </w:p>
        </w:tc>
        <w:tc>
          <w:tcPr>
            <w:tcW w:w="3118" w:type="dxa"/>
          </w:tcPr>
          <w:p w14:paraId="2045E64C" w14:textId="667CF48D" w:rsidR="00191A23" w:rsidRPr="0022554A" w:rsidRDefault="00AF47E9" w:rsidP="00191A23">
            <w:pPr>
              <w:tabs>
                <w:tab w:val="left" w:pos="5400"/>
              </w:tabs>
              <w:rPr>
                <w:sz w:val="20"/>
              </w:rPr>
            </w:pPr>
            <w:r w:rsidRPr="00AF47E9">
              <w:rPr>
                <w:iCs/>
                <w:sz w:val="20"/>
              </w:rPr>
              <w:t>See text</w:t>
            </w:r>
          </w:p>
        </w:tc>
      </w:tr>
      <w:tr w:rsidR="00191A23" w:rsidRPr="0022554A" w14:paraId="66F0853B" w14:textId="77777777" w:rsidTr="00517788">
        <w:tc>
          <w:tcPr>
            <w:tcW w:w="0" w:type="auto"/>
            <w:vMerge/>
          </w:tcPr>
          <w:p w14:paraId="11C1D07A" w14:textId="77777777" w:rsidR="00191A23" w:rsidRPr="0022554A" w:rsidRDefault="00191A23" w:rsidP="00191A23">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53679EAD" w14:textId="77777777" w:rsidR="00191A23" w:rsidRPr="0022554A" w:rsidRDefault="00191A23" w:rsidP="00191A23">
            <w:pPr>
              <w:tabs>
                <w:tab w:val="left" w:pos="5400"/>
              </w:tabs>
              <w:jc w:val="center"/>
              <w:rPr>
                <w:sz w:val="20"/>
              </w:rPr>
            </w:pPr>
          </w:p>
        </w:tc>
        <w:tc>
          <w:tcPr>
            <w:tcW w:w="8328" w:type="dxa"/>
          </w:tcPr>
          <w:p w14:paraId="493F4231"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1ADB287F" w14:textId="0E04EB59" w:rsidR="00191A23" w:rsidRPr="00AF47E9" w:rsidRDefault="00AF47E9" w:rsidP="00191A23">
            <w:pPr>
              <w:tabs>
                <w:tab w:val="left" w:pos="5400"/>
              </w:tabs>
              <w:rPr>
                <w:color w:val="000000" w:themeColor="text1"/>
                <w:sz w:val="20"/>
              </w:rPr>
            </w:pPr>
            <w:r>
              <w:rPr>
                <w:color w:val="000000" w:themeColor="text1"/>
                <w:sz w:val="20"/>
              </w:rPr>
              <w:t>6-7</w:t>
            </w:r>
          </w:p>
        </w:tc>
        <w:tc>
          <w:tcPr>
            <w:tcW w:w="3118" w:type="dxa"/>
          </w:tcPr>
          <w:p w14:paraId="64AD49AE" w14:textId="62BEA605" w:rsidR="00191A23" w:rsidRPr="0022554A" w:rsidRDefault="00AF47E9" w:rsidP="00191A23">
            <w:pPr>
              <w:tabs>
                <w:tab w:val="left" w:pos="5400"/>
              </w:tabs>
              <w:rPr>
                <w:sz w:val="20"/>
              </w:rPr>
            </w:pPr>
            <w:r w:rsidRPr="00AF47E9">
              <w:rPr>
                <w:iCs/>
                <w:sz w:val="20"/>
              </w:rPr>
              <w:t>See text</w:t>
            </w:r>
          </w:p>
        </w:tc>
      </w:tr>
      <w:tr w:rsidR="00191A23" w:rsidRPr="0022554A" w14:paraId="4779E30E" w14:textId="77777777" w:rsidTr="00517788">
        <w:tc>
          <w:tcPr>
            <w:tcW w:w="0" w:type="auto"/>
            <w:vMerge/>
          </w:tcPr>
          <w:p w14:paraId="34340D4A" w14:textId="77777777" w:rsidR="00191A23" w:rsidRPr="0022554A" w:rsidRDefault="00191A23" w:rsidP="00191A23">
            <w:pPr>
              <w:tabs>
                <w:tab w:val="left" w:pos="5400"/>
              </w:tabs>
              <w:rPr>
                <w:bCs/>
                <w:sz w:val="20"/>
              </w:rPr>
            </w:pPr>
            <w:bookmarkStart w:id="76" w:name="italic42" w:colFirst="0" w:colLast="0"/>
            <w:bookmarkStart w:id="77" w:name="bold43" w:colFirst="0" w:colLast="0"/>
            <w:bookmarkEnd w:id="74"/>
            <w:bookmarkEnd w:id="75"/>
          </w:p>
        </w:tc>
        <w:tc>
          <w:tcPr>
            <w:tcW w:w="0" w:type="auto"/>
            <w:vMerge/>
          </w:tcPr>
          <w:p w14:paraId="4BEE9617" w14:textId="77777777" w:rsidR="00191A23" w:rsidRPr="0022554A" w:rsidRDefault="00191A23" w:rsidP="00191A23">
            <w:pPr>
              <w:tabs>
                <w:tab w:val="left" w:pos="5400"/>
              </w:tabs>
              <w:jc w:val="center"/>
              <w:rPr>
                <w:sz w:val="20"/>
              </w:rPr>
            </w:pPr>
          </w:p>
        </w:tc>
        <w:tc>
          <w:tcPr>
            <w:tcW w:w="8328" w:type="dxa"/>
          </w:tcPr>
          <w:p w14:paraId="1B00D1C4"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097C04C7" w14:textId="18F4CF99" w:rsidR="00191A23" w:rsidRPr="00AF47E9" w:rsidRDefault="00AF47E9" w:rsidP="00191A23">
            <w:pPr>
              <w:tabs>
                <w:tab w:val="left" w:pos="5400"/>
              </w:tabs>
              <w:rPr>
                <w:color w:val="000000" w:themeColor="text1"/>
                <w:sz w:val="20"/>
              </w:rPr>
            </w:pPr>
            <w:r>
              <w:rPr>
                <w:color w:val="000000" w:themeColor="text1"/>
                <w:sz w:val="20"/>
              </w:rPr>
              <w:t>6-7</w:t>
            </w:r>
          </w:p>
        </w:tc>
        <w:tc>
          <w:tcPr>
            <w:tcW w:w="3118" w:type="dxa"/>
          </w:tcPr>
          <w:p w14:paraId="75CFFF16" w14:textId="46F3F272" w:rsidR="00191A23" w:rsidRPr="0022554A" w:rsidRDefault="00AF47E9" w:rsidP="00191A23">
            <w:pPr>
              <w:tabs>
                <w:tab w:val="left" w:pos="5400"/>
              </w:tabs>
              <w:rPr>
                <w:sz w:val="20"/>
              </w:rPr>
            </w:pPr>
            <w:r w:rsidRPr="00AF47E9">
              <w:rPr>
                <w:iCs/>
                <w:sz w:val="20"/>
              </w:rPr>
              <w:t>See text</w:t>
            </w:r>
          </w:p>
        </w:tc>
      </w:tr>
    </w:tbl>
    <w:p w14:paraId="2A0877DD" w14:textId="77777777" w:rsidR="00191A23" w:rsidRDefault="00191A23">
      <w:bookmarkStart w:id="78" w:name="italic43"/>
      <w:bookmarkStart w:id="79" w:name="bold44"/>
      <w:bookmarkEnd w:id="76"/>
      <w:bookmarkEnd w:id="7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6DEA8D1E" w14:textId="77777777" w:rsidTr="00517788">
        <w:tc>
          <w:tcPr>
            <w:tcW w:w="0" w:type="auto"/>
          </w:tcPr>
          <w:p w14:paraId="21EB22B8" w14:textId="77777777" w:rsidR="00191A23" w:rsidRPr="0022554A" w:rsidRDefault="00191A23" w:rsidP="00191A23">
            <w:pPr>
              <w:tabs>
                <w:tab w:val="left" w:pos="5400"/>
              </w:tabs>
              <w:rPr>
                <w:bCs/>
                <w:sz w:val="20"/>
              </w:rPr>
            </w:pPr>
            <w:r w:rsidRPr="0022554A">
              <w:rPr>
                <w:bCs/>
                <w:sz w:val="20"/>
              </w:rPr>
              <w:lastRenderedPageBreak/>
              <w:t>Other analyses</w:t>
            </w:r>
            <w:bookmarkEnd w:id="78"/>
            <w:bookmarkEnd w:id="79"/>
          </w:p>
        </w:tc>
        <w:tc>
          <w:tcPr>
            <w:tcW w:w="0" w:type="auto"/>
          </w:tcPr>
          <w:p w14:paraId="549FA09E" w14:textId="77777777" w:rsidR="00191A23" w:rsidRPr="0022554A" w:rsidRDefault="00191A23" w:rsidP="00191A23">
            <w:pPr>
              <w:tabs>
                <w:tab w:val="left" w:pos="5400"/>
              </w:tabs>
              <w:jc w:val="center"/>
              <w:rPr>
                <w:sz w:val="20"/>
              </w:rPr>
            </w:pPr>
            <w:r w:rsidRPr="0022554A">
              <w:rPr>
                <w:sz w:val="20"/>
              </w:rPr>
              <w:t>17</w:t>
            </w:r>
          </w:p>
        </w:tc>
        <w:tc>
          <w:tcPr>
            <w:tcW w:w="8687" w:type="dxa"/>
          </w:tcPr>
          <w:p w14:paraId="0AE1BAF2"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10CD9ED3" w14:textId="003A72C6" w:rsidR="00191A23" w:rsidRPr="0022554A" w:rsidRDefault="00AF47E9" w:rsidP="00191A23">
            <w:pPr>
              <w:tabs>
                <w:tab w:val="left" w:pos="5400"/>
              </w:tabs>
              <w:rPr>
                <w:sz w:val="20"/>
              </w:rPr>
            </w:pPr>
            <w:r>
              <w:rPr>
                <w:sz w:val="20"/>
              </w:rPr>
              <w:t>NA</w:t>
            </w:r>
          </w:p>
        </w:tc>
        <w:tc>
          <w:tcPr>
            <w:tcW w:w="3129" w:type="dxa"/>
          </w:tcPr>
          <w:p w14:paraId="3B52AE03" w14:textId="25B9ABAE" w:rsidR="00191A23" w:rsidRPr="0022554A" w:rsidRDefault="00AF47E9" w:rsidP="00191A23">
            <w:pPr>
              <w:tabs>
                <w:tab w:val="left" w:pos="5400"/>
              </w:tabs>
              <w:rPr>
                <w:sz w:val="20"/>
              </w:rPr>
            </w:pPr>
            <w:r>
              <w:rPr>
                <w:sz w:val="20"/>
              </w:rPr>
              <w:t>NA</w:t>
            </w:r>
          </w:p>
        </w:tc>
      </w:tr>
      <w:tr w:rsidR="00976EE1" w:rsidRPr="0022554A" w14:paraId="30995106" w14:textId="77777777" w:rsidTr="00191A23">
        <w:tc>
          <w:tcPr>
            <w:tcW w:w="14992" w:type="dxa"/>
            <w:gridSpan w:val="5"/>
          </w:tcPr>
          <w:p w14:paraId="5A34A48B" w14:textId="77777777" w:rsidR="00976EE1" w:rsidRPr="0022554A" w:rsidRDefault="00976EE1" w:rsidP="00191A23">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191A23" w:rsidRPr="0022554A" w14:paraId="2B4180EB" w14:textId="77777777" w:rsidTr="00517788">
        <w:tc>
          <w:tcPr>
            <w:tcW w:w="0" w:type="auto"/>
          </w:tcPr>
          <w:p w14:paraId="04C61592" w14:textId="77777777" w:rsidR="00191A23" w:rsidRPr="0022554A" w:rsidRDefault="00191A23" w:rsidP="00191A23">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3E3632F8" w14:textId="77777777" w:rsidR="00191A23" w:rsidRPr="0022554A" w:rsidRDefault="00191A23" w:rsidP="00191A23">
            <w:pPr>
              <w:tabs>
                <w:tab w:val="left" w:pos="5400"/>
              </w:tabs>
              <w:jc w:val="center"/>
              <w:rPr>
                <w:sz w:val="20"/>
              </w:rPr>
            </w:pPr>
            <w:r w:rsidRPr="0022554A">
              <w:rPr>
                <w:sz w:val="20"/>
              </w:rPr>
              <w:t>18</w:t>
            </w:r>
          </w:p>
        </w:tc>
        <w:tc>
          <w:tcPr>
            <w:tcW w:w="8687" w:type="dxa"/>
          </w:tcPr>
          <w:p w14:paraId="404E1F06"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1008F53C" w14:textId="1BDFC256" w:rsidR="00191A23" w:rsidRPr="00AF47E9" w:rsidRDefault="00AF47E9" w:rsidP="00191A23">
            <w:pPr>
              <w:tabs>
                <w:tab w:val="left" w:pos="5400"/>
              </w:tabs>
              <w:rPr>
                <w:color w:val="000000" w:themeColor="text1"/>
                <w:sz w:val="20"/>
              </w:rPr>
            </w:pPr>
            <w:r>
              <w:rPr>
                <w:color w:val="000000" w:themeColor="text1"/>
                <w:sz w:val="20"/>
              </w:rPr>
              <w:t>7-10</w:t>
            </w:r>
          </w:p>
        </w:tc>
        <w:tc>
          <w:tcPr>
            <w:tcW w:w="3129" w:type="dxa"/>
          </w:tcPr>
          <w:p w14:paraId="42B4C049" w14:textId="722F21A6" w:rsidR="00191A23" w:rsidRPr="0022554A" w:rsidRDefault="00AF47E9" w:rsidP="00191A23">
            <w:pPr>
              <w:tabs>
                <w:tab w:val="left" w:pos="5400"/>
              </w:tabs>
              <w:rPr>
                <w:sz w:val="20"/>
              </w:rPr>
            </w:pPr>
            <w:r w:rsidRPr="00AF47E9">
              <w:rPr>
                <w:iCs/>
                <w:sz w:val="20"/>
              </w:rPr>
              <w:t>See text</w:t>
            </w:r>
          </w:p>
        </w:tc>
      </w:tr>
      <w:tr w:rsidR="00191A23" w:rsidRPr="0022554A" w14:paraId="1FC68B8D" w14:textId="77777777" w:rsidTr="00517788">
        <w:tc>
          <w:tcPr>
            <w:tcW w:w="0" w:type="auto"/>
          </w:tcPr>
          <w:p w14:paraId="0AFB8D64" w14:textId="77777777" w:rsidR="00191A23" w:rsidRPr="0022554A" w:rsidRDefault="00191A23" w:rsidP="00191A23">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6F6BFCE2" w14:textId="77777777" w:rsidR="00191A23" w:rsidRPr="0022554A" w:rsidRDefault="00191A23" w:rsidP="00191A23">
            <w:pPr>
              <w:tabs>
                <w:tab w:val="left" w:pos="5400"/>
              </w:tabs>
              <w:jc w:val="center"/>
              <w:rPr>
                <w:sz w:val="20"/>
              </w:rPr>
            </w:pPr>
            <w:r w:rsidRPr="0022554A">
              <w:rPr>
                <w:sz w:val="20"/>
              </w:rPr>
              <w:t>19</w:t>
            </w:r>
          </w:p>
        </w:tc>
        <w:tc>
          <w:tcPr>
            <w:tcW w:w="8687" w:type="dxa"/>
          </w:tcPr>
          <w:p w14:paraId="1CD155DA"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25D74777" w14:textId="6F6461B1" w:rsidR="00191A23" w:rsidRPr="00AF47E9" w:rsidRDefault="00AF47E9" w:rsidP="00191A23">
            <w:pPr>
              <w:tabs>
                <w:tab w:val="left" w:pos="5400"/>
              </w:tabs>
              <w:rPr>
                <w:color w:val="000000" w:themeColor="text1"/>
                <w:sz w:val="20"/>
              </w:rPr>
            </w:pPr>
            <w:r>
              <w:rPr>
                <w:color w:val="000000" w:themeColor="text1"/>
                <w:sz w:val="20"/>
              </w:rPr>
              <w:t>9-10</w:t>
            </w:r>
          </w:p>
        </w:tc>
        <w:tc>
          <w:tcPr>
            <w:tcW w:w="3129" w:type="dxa"/>
          </w:tcPr>
          <w:p w14:paraId="4EDD6DB5" w14:textId="152AD74A" w:rsidR="00191A23" w:rsidRPr="0022554A" w:rsidRDefault="00AF47E9" w:rsidP="00191A23">
            <w:pPr>
              <w:tabs>
                <w:tab w:val="left" w:pos="5400"/>
              </w:tabs>
              <w:rPr>
                <w:sz w:val="20"/>
              </w:rPr>
            </w:pPr>
            <w:r w:rsidRPr="00AF47E9">
              <w:rPr>
                <w:iCs/>
                <w:sz w:val="20"/>
              </w:rPr>
              <w:t>See text</w:t>
            </w:r>
          </w:p>
        </w:tc>
      </w:tr>
      <w:tr w:rsidR="00191A23" w:rsidRPr="0022554A" w14:paraId="34AC4A92" w14:textId="77777777" w:rsidTr="00517788">
        <w:tc>
          <w:tcPr>
            <w:tcW w:w="0" w:type="auto"/>
          </w:tcPr>
          <w:p w14:paraId="1EE46F0D" w14:textId="77777777" w:rsidR="00191A23" w:rsidRPr="0022554A" w:rsidRDefault="00191A23" w:rsidP="00191A23">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3C84FC7F" w14:textId="77777777" w:rsidR="00191A23" w:rsidRPr="0022554A" w:rsidRDefault="00191A23" w:rsidP="00191A23">
            <w:pPr>
              <w:tabs>
                <w:tab w:val="left" w:pos="5400"/>
              </w:tabs>
              <w:jc w:val="center"/>
              <w:rPr>
                <w:sz w:val="20"/>
              </w:rPr>
            </w:pPr>
            <w:r w:rsidRPr="0022554A">
              <w:rPr>
                <w:sz w:val="20"/>
              </w:rPr>
              <w:t>20</w:t>
            </w:r>
          </w:p>
        </w:tc>
        <w:tc>
          <w:tcPr>
            <w:tcW w:w="8687" w:type="dxa"/>
          </w:tcPr>
          <w:p w14:paraId="54D76582"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665E101B" w14:textId="1A43AD36" w:rsidR="00191A23" w:rsidRPr="00AF47E9" w:rsidRDefault="00AF47E9" w:rsidP="00191A23">
            <w:pPr>
              <w:tabs>
                <w:tab w:val="left" w:pos="5400"/>
              </w:tabs>
              <w:rPr>
                <w:color w:val="000000" w:themeColor="text1"/>
                <w:sz w:val="20"/>
              </w:rPr>
            </w:pPr>
            <w:r>
              <w:rPr>
                <w:color w:val="000000" w:themeColor="text1"/>
                <w:sz w:val="20"/>
              </w:rPr>
              <w:t>10</w:t>
            </w:r>
          </w:p>
        </w:tc>
        <w:tc>
          <w:tcPr>
            <w:tcW w:w="3129" w:type="dxa"/>
          </w:tcPr>
          <w:p w14:paraId="419CBA85" w14:textId="279200A2" w:rsidR="00191A23" w:rsidRPr="0022554A" w:rsidRDefault="00AF47E9" w:rsidP="00191A23">
            <w:pPr>
              <w:tabs>
                <w:tab w:val="left" w:pos="5400"/>
              </w:tabs>
              <w:rPr>
                <w:sz w:val="20"/>
              </w:rPr>
            </w:pPr>
            <w:r w:rsidRPr="00AF47E9">
              <w:rPr>
                <w:iCs/>
                <w:sz w:val="20"/>
              </w:rPr>
              <w:t>See text</w:t>
            </w:r>
          </w:p>
        </w:tc>
      </w:tr>
      <w:tr w:rsidR="00191A23" w:rsidRPr="0022554A" w14:paraId="0FD43607" w14:textId="77777777" w:rsidTr="00517788">
        <w:tc>
          <w:tcPr>
            <w:tcW w:w="0" w:type="auto"/>
          </w:tcPr>
          <w:p w14:paraId="50B59D1A" w14:textId="77777777" w:rsidR="00191A23" w:rsidRPr="0022554A" w:rsidRDefault="00191A23" w:rsidP="00191A23">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6258D505" w14:textId="77777777" w:rsidR="00191A23" w:rsidRPr="0022554A" w:rsidRDefault="00191A23" w:rsidP="00191A23">
            <w:pPr>
              <w:tabs>
                <w:tab w:val="left" w:pos="5400"/>
              </w:tabs>
              <w:jc w:val="center"/>
              <w:rPr>
                <w:sz w:val="20"/>
              </w:rPr>
            </w:pPr>
            <w:r w:rsidRPr="0022554A">
              <w:rPr>
                <w:sz w:val="20"/>
              </w:rPr>
              <w:t>21</w:t>
            </w:r>
          </w:p>
        </w:tc>
        <w:tc>
          <w:tcPr>
            <w:tcW w:w="8687" w:type="dxa"/>
          </w:tcPr>
          <w:p w14:paraId="04F11436"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2FA1049B" w14:textId="065A659B" w:rsidR="00191A23" w:rsidRPr="00AF47E9" w:rsidRDefault="00AF47E9" w:rsidP="00191A23">
            <w:pPr>
              <w:tabs>
                <w:tab w:val="left" w:pos="5400"/>
              </w:tabs>
              <w:rPr>
                <w:color w:val="000000" w:themeColor="text1"/>
                <w:sz w:val="20"/>
              </w:rPr>
            </w:pPr>
            <w:r>
              <w:rPr>
                <w:color w:val="000000" w:themeColor="text1"/>
                <w:sz w:val="20"/>
              </w:rPr>
              <w:t>9-10</w:t>
            </w:r>
          </w:p>
        </w:tc>
        <w:tc>
          <w:tcPr>
            <w:tcW w:w="3129" w:type="dxa"/>
          </w:tcPr>
          <w:p w14:paraId="4F3A6F7F" w14:textId="272F1D05" w:rsidR="00191A23" w:rsidRPr="0022554A" w:rsidRDefault="00AF47E9" w:rsidP="00191A23">
            <w:pPr>
              <w:tabs>
                <w:tab w:val="left" w:pos="5400"/>
              </w:tabs>
              <w:rPr>
                <w:sz w:val="20"/>
              </w:rPr>
            </w:pPr>
            <w:r w:rsidRPr="00AF47E9">
              <w:rPr>
                <w:iCs/>
                <w:sz w:val="20"/>
              </w:rPr>
              <w:t>See text</w:t>
            </w:r>
          </w:p>
        </w:tc>
      </w:tr>
      <w:tr w:rsidR="00191A23" w:rsidRPr="0022554A" w14:paraId="7EEFF751" w14:textId="77777777" w:rsidTr="00517788">
        <w:tc>
          <w:tcPr>
            <w:tcW w:w="1911" w:type="dxa"/>
            <w:gridSpan w:val="2"/>
          </w:tcPr>
          <w:p w14:paraId="5B296AAE" w14:textId="77777777" w:rsidR="00191A23" w:rsidRPr="0022554A" w:rsidRDefault="00191A23" w:rsidP="00191A23">
            <w:pPr>
              <w:pStyle w:val="TableSubHead"/>
              <w:tabs>
                <w:tab w:val="left" w:pos="5400"/>
              </w:tabs>
              <w:rPr>
                <w:sz w:val="20"/>
              </w:rPr>
            </w:pPr>
            <w:bookmarkStart w:id="90" w:name="italic49"/>
            <w:bookmarkStart w:id="91" w:name="bold50"/>
            <w:bookmarkEnd w:id="88"/>
            <w:bookmarkEnd w:id="89"/>
            <w:r w:rsidRPr="0022554A">
              <w:rPr>
                <w:sz w:val="20"/>
              </w:rPr>
              <w:t>Other information</w:t>
            </w:r>
          </w:p>
        </w:tc>
        <w:bookmarkEnd w:id="90"/>
        <w:bookmarkEnd w:id="91"/>
        <w:tc>
          <w:tcPr>
            <w:tcW w:w="13081" w:type="dxa"/>
            <w:gridSpan w:val="3"/>
          </w:tcPr>
          <w:p w14:paraId="5EEE81A1" w14:textId="77777777" w:rsidR="00191A23" w:rsidRPr="00AF47E9" w:rsidRDefault="00191A23" w:rsidP="00191A23">
            <w:pPr>
              <w:pStyle w:val="TableSubHead"/>
              <w:tabs>
                <w:tab w:val="left" w:pos="5400"/>
              </w:tabs>
              <w:rPr>
                <w:color w:val="000000" w:themeColor="text1"/>
                <w:sz w:val="20"/>
              </w:rPr>
            </w:pPr>
          </w:p>
        </w:tc>
      </w:tr>
      <w:tr w:rsidR="00191A23" w:rsidRPr="0022554A" w14:paraId="1114A8C6" w14:textId="77777777" w:rsidTr="00517788">
        <w:tc>
          <w:tcPr>
            <w:tcW w:w="0" w:type="auto"/>
          </w:tcPr>
          <w:p w14:paraId="56EFEBF7" w14:textId="77777777" w:rsidR="00191A23" w:rsidRPr="0022554A" w:rsidRDefault="00191A23" w:rsidP="00191A23">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Pr>
          <w:p w14:paraId="4D3C4137" w14:textId="77777777" w:rsidR="00191A23" w:rsidRPr="0022554A" w:rsidRDefault="00191A23" w:rsidP="00191A23">
            <w:pPr>
              <w:tabs>
                <w:tab w:val="left" w:pos="5400"/>
              </w:tabs>
              <w:jc w:val="center"/>
              <w:rPr>
                <w:sz w:val="20"/>
              </w:rPr>
            </w:pPr>
            <w:r w:rsidRPr="0022554A">
              <w:rPr>
                <w:sz w:val="20"/>
              </w:rPr>
              <w:t>22</w:t>
            </w:r>
          </w:p>
        </w:tc>
        <w:tc>
          <w:tcPr>
            <w:tcW w:w="8687" w:type="dxa"/>
          </w:tcPr>
          <w:p w14:paraId="1B9EB6B2"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2D38ABB" w14:textId="3143A61C" w:rsidR="00191A23" w:rsidRPr="00AF47E9" w:rsidRDefault="00AF47E9" w:rsidP="00191A23">
            <w:pPr>
              <w:tabs>
                <w:tab w:val="left" w:pos="5400"/>
              </w:tabs>
              <w:rPr>
                <w:color w:val="000000" w:themeColor="text1"/>
                <w:sz w:val="20"/>
              </w:rPr>
            </w:pPr>
            <w:r>
              <w:rPr>
                <w:color w:val="000000" w:themeColor="text1"/>
                <w:sz w:val="20"/>
              </w:rPr>
              <w:t>10</w:t>
            </w:r>
          </w:p>
        </w:tc>
        <w:tc>
          <w:tcPr>
            <w:tcW w:w="3129" w:type="dxa"/>
          </w:tcPr>
          <w:p w14:paraId="787DE705" w14:textId="55791E4F" w:rsidR="00191A23" w:rsidRPr="0022554A" w:rsidRDefault="00AF47E9" w:rsidP="00191A23">
            <w:pPr>
              <w:tabs>
                <w:tab w:val="left" w:pos="5400"/>
              </w:tabs>
              <w:rPr>
                <w:sz w:val="20"/>
              </w:rPr>
            </w:pPr>
            <w:r w:rsidRPr="00AF47E9">
              <w:rPr>
                <w:iCs/>
                <w:sz w:val="20"/>
              </w:rPr>
              <w:t>See text</w:t>
            </w:r>
          </w:p>
        </w:tc>
      </w:tr>
      <w:bookmarkEnd w:id="92"/>
      <w:bookmarkEnd w:id="93"/>
    </w:tbl>
    <w:p w14:paraId="609B7471" w14:textId="77777777" w:rsidR="002602FB" w:rsidRDefault="002602FB" w:rsidP="0022554A">
      <w:pPr>
        <w:pStyle w:val="TableNote"/>
        <w:tabs>
          <w:tab w:val="left" w:pos="5400"/>
        </w:tabs>
        <w:rPr>
          <w:bCs/>
          <w:sz w:val="20"/>
        </w:rPr>
      </w:pPr>
    </w:p>
    <w:p w14:paraId="46CEFBF3"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DA47E82" w14:textId="77777777" w:rsidR="00AE2C57" w:rsidRDefault="00AE2C57" w:rsidP="0022554A">
      <w:pPr>
        <w:pStyle w:val="TableNote"/>
        <w:tabs>
          <w:tab w:val="left" w:pos="5400"/>
        </w:tabs>
        <w:rPr>
          <w:sz w:val="20"/>
        </w:rPr>
      </w:pPr>
    </w:p>
    <w:p w14:paraId="7A9603E9"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A05234">
      <w:footerReference w:type="even" r:id="rId7"/>
      <w:footerReference w:type="default" r:id="rId8"/>
      <w:footerReference w:type="firs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3CC33" w14:textId="77777777" w:rsidR="00652990" w:rsidRDefault="00652990">
      <w:r>
        <w:separator/>
      </w:r>
    </w:p>
  </w:endnote>
  <w:endnote w:type="continuationSeparator" w:id="0">
    <w:p w14:paraId="3E66B58E" w14:textId="77777777" w:rsidR="00652990" w:rsidRDefault="0065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EBE3" w14:textId="7BF3DCD5" w:rsidR="00A13C96" w:rsidRDefault="00AD787E" w:rsidP="00A13C96">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56BE13F" wp14:editId="0E71A027">
              <wp:simplePos x="635" y="635"/>
              <wp:positionH relativeFrom="page">
                <wp:align>left</wp:align>
              </wp:positionH>
              <wp:positionV relativeFrom="page">
                <wp:align>bottom</wp:align>
              </wp:positionV>
              <wp:extent cx="2085975" cy="381000"/>
              <wp:effectExtent l="0" t="0" r="9525" b="0"/>
              <wp:wrapNone/>
              <wp:docPr id="116869159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16F843AC" w14:textId="4D48C8F1" w:rsidR="00AD787E" w:rsidRPr="00AD787E" w:rsidRDefault="00AD787E" w:rsidP="00AD787E">
                          <w:pPr>
                            <w:rPr>
                              <w:rFonts w:ascii="Rockwell" w:eastAsia="Rockwell" w:hAnsi="Rockwell" w:cs="Rockwell"/>
                              <w:noProof/>
                              <w:color w:val="0078D7"/>
                              <w:sz w:val="18"/>
                              <w:szCs w:val="18"/>
                            </w:rPr>
                          </w:pPr>
                          <w:r w:rsidRPr="00AD787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6BE13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0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" filled="f" stroked="f">
              <v:fill o:detectmouseclick="t"/>
              <v:textbox style="mso-fit-shape-to-text:t" inset="20pt,0,0,15pt">
                <w:txbxContent>
                  <w:p w14:paraId="16F843AC" w14:textId="4D48C8F1" w:rsidR="00AD787E" w:rsidRPr="00AD787E" w:rsidRDefault="00AD787E" w:rsidP="00AD787E">
                    <w:pPr>
                      <w:rPr>
                        <w:rFonts w:ascii="Rockwell" w:eastAsia="Rockwell" w:hAnsi="Rockwell" w:cs="Rockwell"/>
                        <w:noProof/>
                        <w:color w:val="0078D7"/>
                        <w:sz w:val="18"/>
                        <w:szCs w:val="18"/>
                      </w:rPr>
                    </w:pPr>
                    <w:r w:rsidRPr="00AD787E">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end"/>
    </w:r>
  </w:p>
  <w:p w14:paraId="23AC4EEA"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796B" w14:textId="4AA43895" w:rsidR="00A13C96" w:rsidRDefault="00AD787E" w:rsidP="007F7FA0">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191B763C" wp14:editId="7784F277">
              <wp:simplePos x="5263763" y="6965343"/>
              <wp:positionH relativeFrom="page">
                <wp:align>left</wp:align>
              </wp:positionH>
              <wp:positionV relativeFrom="page">
                <wp:align>bottom</wp:align>
              </wp:positionV>
              <wp:extent cx="2085975" cy="381000"/>
              <wp:effectExtent l="0" t="0" r="9525" b="0"/>
              <wp:wrapNone/>
              <wp:docPr id="12464151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2B2ECEDD" w14:textId="3DC2CAAE" w:rsidR="00AD787E" w:rsidRPr="00AD787E" w:rsidRDefault="00AD787E" w:rsidP="00AD787E">
                          <w:pPr>
                            <w:rPr>
                              <w:rFonts w:ascii="Rockwell" w:eastAsia="Rockwell" w:hAnsi="Rockwell" w:cs="Rockwell"/>
                              <w:noProof/>
                              <w:color w:val="0078D7"/>
                              <w:sz w:val="18"/>
                              <w:szCs w:val="18"/>
                            </w:rPr>
                          </w:pPr>
                          <w:r w:rsidRPr="00AD787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1B763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0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" filled="f" stroked="f">
              <v:fill o:detectmouseclick="t"/>
              <v:textbox style="mso-fit-shape-to-text:t" inset="20pt,0,0,15pt">
                <w:txbxContent>
                  <w:p w14:paraId="2B2ECEDD" w14:textId="3DC2CAAE" w:rsidR="00AD787E" w:rsidRPr="00AD787E" w:rsidRDefault="00AD787E" w:rsidP="00AD787E">
                    <w:pPr>
                      <w:rPr>
                        <w:rFonts w:ascii="Rockwell" w:eastAsia="Rockwell" w:hAnsi="Rockwell" w:cs="Rockwell"/>
                        <w:noProof/>
                        <w:color w:val="0078D7"/>
                        <w:sz w:val="18"/>
                        <w:szCs w:val="18"/>
                      </w:rPr>
                    </w:pPr>
                    <w:r w:rsidRPr="00AD787E">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separate"/>
    </w:r>
    <w:r w:rsidR="00CA489B">
      <w:rPr>
        <w:rStyle w:val="PageNumber"/>
        <w:noProof/>
      </w:rPr>
      <w:t>3</w:t>
    </w:r>
    <w:r w:rsidR="00A13C96">
      <w:rPr>
        <w:rStyle w:val="PageNumber"/>
      </w:rPr>
      <w:fldChar w:fldCharType="end"/>
    </w:r>
  </w:p>
  <w:p w14:paraId="4EC6FDC6" w14:textId="77777777" w:rsidR="00A13C96" w:rsidRDefault="00A13C96"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D21A" w14:textId="4A9F9431" w:rsidR="00AD787E" w:rsidRDefault="00AD787E">
    <w:pPr>
      <w:pStyle w:val="Footer"/>
    </w:pPr>
    <w:r>
      <w:rPr>
        <w:noProof/>
      </w:rPr>
      <mc:AlternateContent>
        <mc:Choice Requires="wps">
          <w:drawing>
            <wp:anchor distT="0" distB="0" distL="0" distR="0" simplePos="0" relativeHeight="251658240" behindDoc="0" locked="0" layoutInCell="1" allowOverlap="1" wp14:anchorId="670505F9" wp14:editId="49F08271">
              <wp:simplePos x="635" y="635"/>
              <wp:positionH relativeFrom="page">
                <wp:align>left</wp:align>
              </wp:positionH>
              <wp:positionV relativeFrom="page">
                <wp:align>bottom</wp:align>
              </wp:positionV>
              <wp:extent cx="2085975" cy="381000"/>
              <wp:effectExtent l="0" t="0" r="9525" b="0"/>
              <wp:wrapNone/>
              <wp:docPr id="11587805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2E567402" w14:textId="45AD3C08" w:rsidR="00AD787E" w:rsidRPr="00AD787E" w:rsidRDefault="00AD787E" w:rsidP="00AD787E">
                          <w:pPr>
                            <w:rPr>
                              <w:rFonts w:ascii="Rockwell" w:eastAsia="Rockwell" w:hAnsi="Rockwell" w:cs="Rockwell"/>
                              <w:noProof/>
                              <w:color w:val="0078D7"/>
                              <w:sz w:val="18"/>
                              <w:szCs w:val="18"/>
                            </w:rPr>
                          </w:pPr>
                          <w:r w:rsidRPr="00AD787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0505F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0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" filled="f" stroked="f">
              <v:fill o:detectmouseclick="t"/>
              <v:textbox style="mso-fit-shape-to-text:t" inset="20pt,0,0,15pt">
                <w:txbxContent>
                  <w:p w14:paraId="2E567402" w14:textId="45AD3C08" w:rsidR="00AD787E" w:rsidRPr="00AD787E" w:rsidRDefault="00AD787E" w:rsidP="00AD787E">
                    <w:pPr>
                      <w:rPr>
                        <w:rFonts w:ascii="Rockwell" w:eastAsia="Rockwell" w:hAnsi="Rockwell" w:cs="Rockwell"/>
                        <w:noProof/>
                        <w:color w:val="0078D7"/>
                        <w:sz w:val="18"/>
                        <w:szCs w:val="18"/>
                      </w:rPr>
                    </w:pPr>
                    <w:r w:rsidRPr="00AD787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F71E3" w14:textId="77777777" w:rsidR="00652990" w:rsidRDefault="00652990">
      <w:r>
        <w:separator/>
      </w:r>
    </w:p>
  </w:footnote>
  <w:footnote w:type="continuationSeparator" w:id="0">
    <w:p w14:paraId="020CB046" w14:textId="77777777" w:rsidR="00652990" w:rsidRDefault="0065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76167611">
    <w:abstractNumId w:val="20"/>
  </w:num>
  <w:num w:numId="2" w16cid:durableId="602612913">
    <w:abstractNumId w:val="11"/>
  </w:num>
  <w:num w:numId="3" w16cid:durableId="1411610440">
    <w:abstractNumId w:val="18"/>
  </w:num>
  <w:num w:numId="4" w16cid:durableId="993526794">
    <w:abstractNumId w:val="16"/>
  </w:num>
  <w:num w:numId="5" w16cid:durableId="627323262">
    <w:abstractNumId w:val="15"/>
  </w:num>
  <w:num w:numId="6" w16cid:durableId="213587583">
    <w:abstractNumId w:val="19"/>
  </w:num>
  <w:num w:numId="7" w16cid:durableId="830876364">
    <w:abstractNumId w:val="10"/>
  </w:num>
  <w:num w:numId="8" w16cid:durableId="1918980222">
    <w:abstractNumId w:val="13"/>
  </w:num>
  <w:num w:numId="9" w16cid:durableId="1711342556">
    <w:abstractNumId w:val="9"/>
  </w:num>
  <w:num w:numId="10" w16cid:durableId="1507869102">
    <w:abstractNumId w:val="14"/>
  </w:num>
  <w:num w:numId="11" w16cid:durableId="999314726">
    <w:abstractNumId w:val="7"/>
  </w:num>
  <w:num w:numId="12" w16cid:durableId="1771051001">
    <w:abstractNumId w:val="6"/>
  </w:num>
  <w:num w:numId="13" w16cid:durableId="502356177">
    <w:abstractNumId w:val="5"/>
  </w:num>
  <w:num w:numId="14" w16cid:durableId="1029716533">
    <w:abstractNumId w:val="4"/>
  </w:num>
  <w:num w:numId="15" w16cid:durableId="1789733533">
    <w:abstractNumId w:val="8"/>
  </w:num>
  <w:num w:numId="16" w16cid:durableId="627859950">
    <w:abstractNumId w:val="3"/>
  </w:num>
  <w:num w:numId="17" w16cid:durableId="218129566">
    <w:abstractNumId w:val="2"/>
  </w:num>
  <w:num w:numId="18" w16cid:durableId="655378473">
    <w:abstractNumId w:val="1"/>
  </w:num>
  <w:num w:numId="19" w16cid:durableId="454757616">
    <w:abstractNumId w:val="0"/>
  </w:num>
  <w:num w:numId="20" w16cid:durableId="985083217">
    <w:abstractNumId w:val="12"/>
  </w:num>
  <w:num w:numId="21" w16cid:durableId="363676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92396"/>
    <w:rsid w:val="001A495C"/>
    <w:rsid w:val="001A75E9"/>
    <w:rsid w:val="001E02AD"/>
    <w:rsid w:val="0021265E"/>
    <w:rsid w:val="00215E03"/>
    <w:rsid w:val="00223273"/>
    <w:rsid w:val="00224268"/>
    <w:rsid w:val="0022554A"/>
    <w:rsid w:val="00226A29"/>
    <w:rsid w:val="002552FD"/>
    <w:rsid w:val="002602FB"/>
    <w:rsid w:val="002B385C"/>
    <w:rsid w:val="002C731D"/>
    <w:rsid w:val="002D06D0"/>
    <w:rsid w:val="002D1ABE"/>
    <w:rsid w:val="002F1A87"/>
    <w:rsid w:val="003354B7"/>
    <w:rsid w:val="003508EF"/>
    <w:rsid w:val="00354D16"/>
    <w:rsid w:val="00372129"/>
    <w:rsid w:val="0038264E"/>
    <w:rsid w:val="00385050"/>
    <w:rsid w:val="003A3FDD"/>
    <w:rsid w:val="00404D2C"/>
    <w:rsid w:val="004060E6"/>
    <w:rsid w:val="00407BEA"/>
    <w:rsid w:val="004243C8"/>
    <w:rsid w:val="0045419E"/>
    <w:rsid w:val="0045734B"/>
    <w:rsid w:val="00465542"/>
    <w:rsid w:val="00472DF5"/>
    <w:rsid w:val="00495204"/>
    <w:rsid w:val="004A31B3"/>
    <w:rsid w:val="004A32C8"/>
    <w:rsid w:val="004D3CF3"/>
    <w:rsid w:val="004E1263"/>
    <w:rsid w:val="005044A6"/>
    <w:rsid w:val="00517788"/>
    <w:rsid w:val="00590F64"/>
    <w:rsid w:val="005923E5"/>
    <w:rsid w:val="005B567D"/>
    <w:rsid w:val="005D0CFC"/>
    <w:rsid w:val="005D19F4"/>
    <w:rsid w:val="005F254A"/>
    <w:rsid w:val="006149D3"/>
    <w:rsid w:val="006315D3"/>
    <w:rsid w:val="00652990"/>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65680"/>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D1FB5"/>
    <w:rsid w:val="009E0429"/>
    <w:rsid w:val="009F5211"/>
    <w:rsid w:val="00A05234"/>
    <w:rsid w:val="00A13C96"/>
    <w:rsid w:val="00A42352"/>
    <w:rsid w:val="00A527E4"/>
    <w:rsid w:val="00A5640D"/>
    <w:rsid w:val="00A729D6"/>
    <w:rsid w:val="00A938BF"/>
    <w:rsid w:val="00AB7BC4"/>
    <w:rsid w:val="00AD10B5"/>
    <w:rsid w:val="00AD787E"/>
    <w:rsid w:val="00AE23EB"/>
    <w:rsid w:val="00AE2C57"/>
    <w:rsid w:val="00AF4615"/>
    <w:rsid w:val="00AF47E9"/>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46399"/>
    <w:rsid w:val="00D6407C"/>
    <w:rsid w:val="00D87AF7"/>
    <w:rsid w:val="00DA120C"/>
    <w:rsid w:val="00DC4BEF"/>
    <w:rsid w:val="00DE7A30"/>
    <w:rsid w:val="00E10628"/>
    <w:rsid w:val="00E144CD"/>
    <w:rsid w:val="00E2292B"/>
    <w:rsid w:val="00E341E9"/>
    <w:rsid w:val="00EA6E28"/>
    <w:rsid w:val="00F0752A"/>
    <w:rsid w:val="00F16406"/>
    <w:rsid w:val="00F33CF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53EF"/>
  <w15:docId w15:val="{A8B37743-0FE3-AE4C-BC46-D6D0E612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TotalTime>
  <Pages>11</Pages>
  <Words>1675</Words>
  <Characters>9551</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Pratt, Lucas</cp:lastModifiedBy>
  <cp:revision>2</cp:revision>
  <cp:lastPrinted>2014-09-01T08:36:00Z</cp:lastPrinted>
  <dcterms:created xsi:type="dcterms:W3CDTF">2024-08-25T20:34:00Z</dcterms:created>
  <dcterms:modified xsi:type="dcterms:W3CDTF">2024-08-25T20:34:00Z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ClassificationContentMarkingFooterShapeIds">
    <vt:lpwstr>6e828a2,45a8d18e,4a4ac936</vt:lpwstr>
  </property>
  <property fmtid="{D5CDD505-2E9C-101B-9397-08002B2CF9AE}" pid="8" name="ClassificationContentMarkingFooterFontProps">
    <vt:lpwstr>#0078d7,9,Rockwell</vt:lpwstr>
  </property>
  <property fmtid="{D5CDD505-2E9C-101B-9397-08002B2CF9AE}" pid="9" name="ClassificationContentMarkingFooterText">
    <vt:lpwstr>Information Classification: General</vt:lpwstr>
  </property>
  <property fmtid="{D5CDD505-2E9C-101B-9397-08002B2CF9AE}" pid="10" name="MSIP_Label_2bbab825-a111-45e4-86a1-18cee0005896_Enabled">
    <vt:lpwstr>true</vt:lpwstr>
  </property>
  <property fmtid="{D5CDD505-2E9C-101B-9397-08002B2CF9AE}" pid="11" name="MSIP_Label_2bbab825-a111-45e4-86a1-18cee0005896_SetDate">
    <vt:lpwstr>2024-08-25T20:34:03Z</vt:lpwstr>
  </property>
  <property fmtid="{D5CDD505-2E9C-101B-9397-08002B2CF9AE}" pid="12" name="MSIP_Label_2bbab825-a111-45e4-86a1-18cee0005896_Method">
    <vt:lpwstr>Standard</vt:lpwstr>
  </property>
  <property fmtid="{D5CDD505-2E9C-101B-9397-08002B2CF9AE}" pid="13" name="MSIP_Label_2bbab825-a111-45e4-86a1-18cee0005896_Name">
    <vt:lpwstr>2bbab825-a111-45e4-86a1-18cee0005896</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ActionId">
    <vt:lpwstr>3552b2e8-17d6-4305-abd1-76c3a8eec7db</vt:lpwstr>
  </property>
  <property fmtid="{D5CDD505-2E9C-101B-9397-08002B2CF9AE}" pid="16" name="MSIP_Label_2bbab825-a111-45e4-86a1-18cee0005896_ContentBits">
    <vt:lpwstr>2</vt:lpwstr>
  </property>
</Properties>
</file>