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41" w:rsidRDefault="005C6DE8">
      <w:r>
        <w:rPr>
          <w:noProof/>
        </w:rPr>
        <w:drawing>
          <wp:inline distT="0" distB="0" distL="0" distR="0">
            <wp:extent cx="5274310" cy="2886438"/>
            <wp:effectExtent l="0" t="0" r="2540" b="9525"/>
            <wp:docPr id="1" name="图片 1" descr="F:\客户\SY072黄晓燕（3-5）\新建文件夹\supplement 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客户\SY072黄晓燕（3-5）\新建文件夹\supplement figure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058" w:rsidRDefault="00267058" w:rsidP="002670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7058">
        <w:rPr>
          <w:rFonts w:ascii="Times New Roman" w:hAnsi="Times New Roman" w:cs="Times New Roman"/>
          <w:b/>
          <w:sz w:val="24"/>
          <w:szCs w:val="24"/>
        </w:rPr>
        <w:t>Supplement figure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A-C.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64B">
        <w:rPr>
          <w:rFonts w:ascii="Times New Roman" w:hAnsi="Times New Roman" w:cs="Times New Roman"/>
          <w:sz w:val="24"/>
          <w:szCs w:val="24"/>
        </w:rPr>
        <w:t xml:space="preserve">The volcano </w:t>
      </w:r>
      <w:r>
        <w:rPr>
          <w:rFonts w:ascii="Times New Roman" w:hAnsi="Times New Roman" w:cs="Times New Roman"/>
          <w:sz w:val="24"/>
          <w:szCs w:val="24"/>
        </w:rPr>
        <w:t>plot</w:t>
      </w:r>
      <w:r w:rsidRPr="001F764B">
        <w:rPr>
          <w:rFonts w:ascii="Times New Roman" w:hAnsi="Times New Roman" w:cs="Times New Roman"/>
          <w:sz w:val="24"/>
          <w:szCs w:val="24"/>
        </w:rPr>
        <w:t xml:space="preserve">s of GSE36807, GSE47908 and GSE48958 are shown successively. The horizontal coordinate is log2FoldChange, the vertical coordinate is -log10, with red </w:t>
      </w:r>
      <w:r>
        <w:rPr>
          <w:rFonts w:ascii="Times New Roman" w:hAnsi="Times New Roman" w:cs="Times New Roman"/>
          <w:sz w:val="24"/>
          <w:szCs w:val="24"/>
        </w:rPr>
        <w:t>poin</w:t>
      </w:r>
      <w:r w:rsidRPr="001F764B">
        <w:rPr>
          <w:rFonts w:ascii="Times New Roman" w:hAnsi="Times New Roman" w:cs="Times New Roman"/>
          <w:sz w:val="24"/>
          <w:szCs w:val="24"/>
        </w:rPr>
        <w:t xml:space="preserve">ts representing up-regulated genes and blue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</w:t>
      </w:r>
      <w:r w:rsidRPr="001F764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1F764B">
        <w:rPr>
          <w:rFonts w:ascii="Times New Roman" w:hAnsi="Times New Roman" w:cs="Times New Roman"/>
          <w:sz w:val="24"/>
          <w:szCs w:val="24"/>
        </w:rPr>
        <w:t xml:space="preserve"> representing down-regulated genes.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D-F.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764B">
        <w:rPr>
          <w:rFonts w:ascii="Times New Roman" w:hAnsi="Times New Roman" w:cs="Times New Roman"/>
          <w:sz w:val="24"/>
          <w:szCs w:val="24"/>
        </w:rPr>
        <w:t>GSE36807, GSE47908 and GSE48958</w:t>
      </w:r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Pr="00980B63">
        <w:rPr>
          <w:rFonts w:ascii="Times New Roman" w:hAnsi="Times New Roman" w:cs="Times New Roman"/>
          <w:sz w:val="24"/>
          <w:szCs w:val="24"/>
        </w:rPr>
        <w:t>set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80B63">
        <w:rPr>
          <w:rFonts w:ascii="Times New Roman" w:hAnsi="Times New Roman" w:cs="Times New Roman"/>
          <w:sz w:val="24"/>
          <w:szCs w:val="24"/>
        </w:rPr>
        <w:t xml:space="preserve"> differential expression gene</w:t>
      </w:r>
      <w:r>
        <w:rPr>
          <w:rFonts w:ascii="Times New Roman" w:hAnsi="Times New Roman" w:cs="Times New Roman"/>
          <w:sz w:val="24"/>
          <w:szCs w:val="24"/>
        </w:rPr>
        <w:t>s (DEGs)</w:t>
      </w:r>
      <w:r w:rsidRPr="00980B63">
        <w:rPr>
          <w:rFonts w:ascii="Times New Roman" w:hAnsi="Times New Roman" w:cs="Times New Roman"/>
          <w:sz w:val="24"/>
          <w:szCs w:val="24"/>
        </w:rPr>
        <w:t xml:space="preserve"> enrichment analysis results.</w:t>
      </w:r>
      <w:proofErr w:type="gramEnd"/>
      <w:r w:rsidRPr="00980B63">
        <w:rPr>
          <w:rFonts w:ascii="Times New Roman" w:hAnsi="Times New Roman" w:cs="Times New Roman"/>
          <w:sz w:val="24"/>
          <w:szCs w:val="24"/>
        </w:rPr>
        <w:t xml:space="preserve"> The three most significant pathways are shown in the figure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6DE8" w:rsidRPr="00267058" w:rsidRDefault="005C6DE8"/>
    <w:p w:rsidR="005C6DE8" w:rsidRDefault="005C6DE8">
      <w:r>
        <w:rPr>
          <w:noProof/>
        </w:rPr>
        <w:lastRenderedPageBreak/>
        <w:drawing>
          <wp:inline distT="0" distB="0" distL="0" distR="0">
            <wp:extent cx="5067300" cy="6019800"/>
            <wp:effectExtent l="0" t="0" r="0" b="0"/>
            <wp:docPr id="2" name="图片 2" descr="F:\客户\SY072黄晓燕（3-5）\新建文件夹\supplement 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客户\SY072黄晓燕（3-5）\新建文件夹\supplement figure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058" w:rsidRDefault="00267058" w:rsidP="002670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7058">
        <w:rPr>
          <w:rFonts w:ascii="Times New Roman" w:hAnsi="Times New Roman" w:cs="Times New Roman"/>
          <w:b/>
          <w:sz w:val="24"/>
          <w:szCs w:val="24"/>
        </w:rPr>
        <w:t>Supplement figure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A-C.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B63">
        <w:rPr>
          <w:rFonts w:ascii="Times New Roman" w:hAnsi="Times New Roman" w:cs="Times New Roman"/>
          <w:sz w:val="24"/>
          <w:szCs w:val="24"/>
        </w:rPr>
        <w:t>Heatmap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80B63">
        <w:rPr>
          <w:rFonts w:ascii="Times New Roman" w:hAnsi="Times New Roman" w:cs="Times New Roman"/>
          <w:sz w:val="24"/>
          <w:szCs w:val="24"/>
        </w:rPr>
        <w:t xml:space="preserve"> of the top 15 differentially expressed genes</w:t>
      </w:r>
      <w:r>
        <w:rPr>
          <w:rFonts w:ascii="Times New Roman" w:hAnsi="Times New Roman" w:cs="Times New Roman"/>
          <w:sz w:val="24"/>
          <w:szCs w:val="24"/>
        </w:rPr>
        <w:t xml:space="preserve"> (DEGs)</w:t>
      </w:r>
      <w:r w:rsidRPr="00980B63">
        <w:rPr>
          <w:rFonts w:ascii="Times New Roman" w:hAnsi="Times New Roman" w:cs="Times New Roman"/>
          <w:sz w:val="24"/>
          <w:szCs w:val="24"/>
        </w:rPr>
        <w:t xml:space="preserve"> in the GSE36807, GSE47908 and GSE48958 datasets.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B63">
        <w:rPr>
          <w:rFonts w:ascii="Times New Roman" w:hAnsi="Times New Roman" w:cs="Times New Roman"/>
          <w:sz w:val="24"/>
          <w:szCs w:val="24"/>
        </w:rPr>
        <w:t>Genes are represented horizontally, one sample per column, with red representing highly expressed genes and blue representing low-expressed genes.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Pr="00980B63">
        <w:rPr>
          <w:rFonts w:ascii="Times New Roman" w:hAnsi="Times New Roman" w:cs="Times New Roman"/>
          <w:sz w:val="24"/>
          <w:szCs w:val="24"/>
        </w:rPr>
        <w:t xml:space="preserve">Venn diagram of </w:t>
      </w:r>
      <w:r>
        <w:rPr>
          <w:rFonts w:ascii="Times New Roman" w:hAnsi="Times New Roman" w:cs="Times New Roman"/>
          <w:sz w:val="24"/>
          <w:szCs w:val="24"/>
        </w:rPr>
        <w:t>DEGs.</w:t>
      </w:r>
      <w:r w:rsidRPr="00980B63">
        <w:rPr>
          <w:rFonts w:ascii="Times New Roman" w:hAnsi="Times New Roman" w:cs="Times New Roman"/>
          <w:sz w:val="24"/>
          <w:szCs w:val="24"/>
        </w:rPr>
        <w:t xml:space="preserve"> The sum of the numbers in each circle represents the number of </w:t>
      </w:r>
      <w:r>
        <w:rPr>
          <w:rFonts w:ascii="Times New Roman" w:hAnsi="Times New Roman" w:cs="Times New Roman"/>
          <w:sz w:val="24"/>
          <w:szCs w:val="24"/>
        </w:rPr>
        <w:t>DEGs</w:t>
      </w:r>
      <w:r w:rsidRPr="00980B63">
        <w:rPr>
          <w:rFonts w:ascii="Times New Roman" w:hAnsi="Times New Roman" w:cs="Times New Roman"/>
          <w:sz w:val="24"/>
          <w:szCs w:val="24"/>
        </w:rPr>
        <w:t xml:space="preserve"> in the dataset, and the overlapping part of the circle represents the common </w:t>
      </w:r>
      <w:r>
        <w:rPr>
          <w:rFonts w:ascii="Times New Roman" w:hAnsi="Times New Roman" w:cs="Times New Roman"/>
          <w:sz w:val="24"/>
          <w:szCs w:val="24"/>
        </w:rPr>
        <w:t>DEGs</w:t>
      </w:r>
      <w:r w:rsidRPr="00980B63">
        <w:rPr>
          <w:rFonts w:ascii="Times New Roman" w:hAnsi="Times New Roman" w:cs="Times New Roman"/>
          <w:sz w:val="24"/>
          <w:szCs w:val="24"/>
        </w:rPr>
        <w:t xml:space="preserve"> between different datasets.</w:t>
      </w:r>
    </w:p>
    <w:p w:rsidR="00267058" w:rsidRPr="00DD5D62" w:rsidRDefault="00267058" w:rsidP="00267058">
      <w:pPr>
        <w:pStyle w:val="a4"/>
        <w:widowControl/>
        <w:overflowPunct w:val="0"/>
        <w:adjustRightInd w:val="0"/>
        <w:snapToGrid w:val="0"/>
        <w:spacing w:line="360" w:lineRule="auto"/>
        <w:ind w:firstLine="482"/>
        <w:jc w:val="center"/>
        <w:rPr>
          <w:rFonts w:ascii="Times New Roman" w:hAnsi="Times New Roman" w:cs="Times New Roman"/>
          <w:sz w:val="24"/>
        </w:rPr>
      </w:pPr>
      <w:r w:rsidRPr="002670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 </w:t>
      </w:r>
      <w:r w:rsidRPr="00267058">
        <w:rPr>
          <w:rFonts w:ascii="Times New Roman" w:hAnsi="Times New Roman" w:cs="Times New Roman"/>
          <w:b/>
          <w:sz w:val="24"/>
        </w:rPr>
        <w:t>Table1</w:t>
      </w:r>
      <w:r w:rsidRPr="00DD5D62">
        <w:rPr>
          <w:rFonts w:ascii="Times New Roman" w:hAnsi="Times New Roman" w:cs="Times New Roman"/>
          <w:sz w:val="24"/>
        </w:rPr>
        <w:t xml:space="preserve"> The primer sequence used in this study</w:t>
      </w:r>
    </w:p>
    <w:tbl>
      <w:tblPr>
        <w:tblW w:w="674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4822"/>
      </w:tblGrid>
      <w:tr w:rsidR="00267058" w:rsidTr="0009771C">
        <w:trPr>
          <w:trHeight w:val="300"/>
          <w:jc w:val="center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Sequence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’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-3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’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:rsidR="00267058" w:rsidTr="0009771C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GAPDH-F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GAGTCAACGGATTTGGTCGT</w:t>
            </w:r>
          </w:p>
        </w:tc>
      </w:tr>
      <w:tr w:rsidR="00267058" w:rsidTr="0009771C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GAPDH-R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TTGATTTTGGAGGGATCTCG</w:t>
            </w:r>
          </w:p>
        </w:tc>
      </w:tr>
      <w:tr w:rsidR="00267058" w:rsidTr="0009771C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Occludin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-F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CCTCCAATGGCAAAGTGAAT</w:t>
            </w:r>
          </w:p>
        </w:tc>
      </w:tr>
      <w:tr w:rsidR="00267058" w:rsidTr="0009771C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Occludin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-R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CTCCCCACCTGTCGTGTAGT</w:t>
            </w:r>
          </w:p>
        </w:tc>
      </w:tr>
      <w:tr w:rsidR="00267058" w:rsidTr="0009771C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ZO-1 -F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CCACCTCTGTCCAGCTCTTC</w:t>
            </w:r>
          </w:p>
        </w:tc>
      </w:tr>
      <w:tr w:rsidR="00267058" w:rsidTr="0009771C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ZO-1 -R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CACCGGAGTGATGGTTTTCT</w:t>
            </w:r>
          </w:p>
        </w:tc>
      </w:tr>
      <w:tr w:rsidR="00267058" w:rsidTr="0009771C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Claudin-1 -F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TTTTCCCGATGACCTTTCTG</w:t>
            </w:r>
          </w:p>
        </w:tc>
      </w:tr>
      <w:tr w:rsidR="00267058" w:rsidTr="0009771C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Claudin-1-R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67058" w:rsidRDefault="00267058" w:rsidP="0009771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AGTTTGCAGGATCTGGGATG</w:t>
            </w:r>
          </w:p>
        </w:tc>
      </w:tr>
    </w:tbl>
    <w:p w:rsidR="00267058" w:rsidRDefault="00267058" w:rsidP="00267058"/>
    <w:p w:rsidR="00C549C2" w:rsidRPr="00C50FF2" w:rsidRDefault="00C549C2" w:rsidP="00C549C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50FF2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549C2" w:rsidRDefault="00C549C2" w:rsidP="00C549C2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8C48F8">
        <w:rPr>
          <w:rFonts w:ascii="Times New Roman" w:eastAsia="宋体" w:hAnsi="Times New Roman" w:cs="Times New Roman"/>
          <w:sz w:val="24"/>
          <w:szCs w:val="24"/>
        </w:rPr>
        <w:t>The mobile phase parameters</w:t>
      </w:r>
      <w:r>
        <w:rPr>
          <w:rFonts w:ascii="Times New Roman" w:eastAsia="宋体" w:hAnsi="Times New Roman" w:cs="Times New Roman"/>
          <w:sz w:val="24"/>
          <w:szCs w:val="24"/>
        </w:rPr>
        <w:t xml:space="preserve"> in </w:t>
      </w:r>
      <w:r w:rsidRPr="008C48F8">
        <w:rPr>
          <w:rFonts w:ascii="Times New Roman" w:eastAsia="宋体" w:hAnsi="Times New Roman" w:cs="Times New Roman"/>
          <w:sz w:val="24"/>
          <w:szCs w:val="24"/>
        </w:rPr>
        <w:t>ultra-high performanc</w:t>
      </w:r>
      <w:r>
        <w:rPr>
          <w:rFonts w:ascii="Times New Roman" w:eastAsia="宋体" w:hAnsi="Times New Roman" w:cs="Times New Roman"/>
          <w:sz w:val="24"/>
          <w:szCs w:val="24"/>
        </w:rPr>
        <w:t>e liquid chromatography (UHPLC)</w:t>
      </w:r>
      <w:r w:rsidRPr="008C48F8">
        <w:rPr>
          <w:rFonts w:ascii="Times New Roman" w:eastAsia="宋体" w:hAnsi="Times New Roman" w:cs="Times New Roman"/>
          <w:sz w:val="24"/>
          <w:szCs w:val="24"/>
        </w:rPr>
        <w:t xml:space="preserve"> experiments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  <w:proofErr w:type="gramEnd"/>
    </w:p>
    <w:tbl>
      <w:tblPr>
        <w:tblW w:w="5384" w:type="pct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2041"/>
        <w:gridCol w:w="2161"/>
        <w:gridCol w:w="2833"/>
      </w:tblGrid>
      <w:tr w:rsidR="00C549C2" w:rsidRPr="008C48F8" w:rsidTr="00832D11">
        <w:trPr>
          <w:trHeight w:val="227"/>
          <w:jc w:val="center"/>
        </w:trPr>
        <w:tc>
          <w:tcPr>
            <w:tcW w:w="106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(min)</w:t>
            </w:r>
          </w:p>
        </w:tc>
        <w:tc>
          <w:tcPr>
            <w:tcW w:w="114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rate (mL/min)</w:t>
            </w:r>
          </w:p>
        </w:tc>
        <w:tc>
          <w:tcPr>
            <w:tcW w:w="120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Phase </w:t>
            </w:r>
            <w:proofErr w:type="gramStart"/>
            <w:r w:rsidRPr="00A4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1B6">
              <w:rPr>
                <w:rFonts w:ascii="Times New Roman" w:hAnsi="Times New Roman" w:cs="Times New Roman"/>
                <w:b/>
                <w:sz w:val="24"/>
                <w:szCs w:val="24"/>
              </w:rPr>
              <w:t>water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58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C549C2" w:rsidRPr="008C48F8" w:rsidRDefault="00C549C2" w:rsidP="00832D11">
            <w:pPr>
              <w:ind w:firstLineChars="5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Phase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A4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4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acetonitrile </w:t>
            </w:r>
            <w:r w:rsidRPr="00A421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C549C2" w:rsidRPr="008C48F8" w:rsidTr="00832D11">
        <w:trPr>
          <w:trHeight w:val="276"/>
          <w:jc w:val="center"/>
        </w:trPr>
        <w:tc>
          <w:tcPr>
            <w:tcW w:w="1067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8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49C2" w:rsidRPr="008C48F8" w:rsidTr="00832D11">
        <w:trPr>
          <w:trHeight w:val="275"/>
          <w:jc w:val="center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549C2" w:rsidRPr="008C48F8" w:rsidTr="00832D11">
        <w:trPr>
          <w:trHeight w:val="275"/>
          <w:jc w:val="center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549C2" w:rsidRPr="008C48F8" w:rsidTr="00832D11">
        <w:trPr>
          <w:trHeight w:val="275"/>
          <w:jc w:val="center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549C2" w:rsidRPr="008C48F8" w:rsidTr="00832D11">
        <w:trPr>
          <w:trHeight w:val="275"/>
          <w:jc w:val="center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549C2" w:rsidRPr="008C48F8" w:rsidTr="00832D11">
        <w:trPr>
          <w:trHeight w:val="275"/>
          <w:jc w:val="center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549C2" w:rsidRPr="008C48F8" w:rsidTr="00832D11">
        <w:trPr>
          <w:trHeight w:val="275"/>
          <w:jc w:val="center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49C2" w:rsidRPr="008C48F8" w:rsidTr="00832D11">
        <w:trPr>
          <w:trHeight w:val="275"/>
          <w:jc w:val="center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49C2" w:rsidRPr="008C48F8" w:rsidTr="00832D11">
        <w:trPr>
          <w:trHeight w:val="275"/>
          <w:jc w:val="center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49C2" w:rsidRPr="008C48F8" w:rsidTr="00832D11">
        <w:trPr>
          <w:trHeight w:val="275"/>
          <w:jc w:val="center"/>
        </w:trPr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49C2" w:rsidRPr="008C48F8" w:rsidTr="00832D11">
        <w:trPr>
          <w:trHeight w:val="275"/>
          <w:jc w:val="center"/>
        </w:trPr>
        <w:tc>
          <w:tcPr>
            <w:tcW w:w="1067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549C2" w:rsidRPr="008C48F8" w:rsidRDefault="00C549C2" w:rsidP="0083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A7C53" w:rsidRDefault="005A7C53" w:rsidP="00703B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03B38" w:rsidRPr="00C50FF2" w:rsidRDefault="00703B38" w:rsidP="00703B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50FF2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703B38" w:rsidRDefault="00703B38" w:rsidP="00703B38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703B38">
        <w:rPr>
          <w:rFonts w:ascii="Times New Roman" w:eastAsia="宋体" w:hAnsi="Times New Roman" w:cs="Times New Roman"/>
          <w:sz w:val="24"/>
          <w:szCs w:val="24"/>
        </w:rPr>
        <w:t xml:space="preserve">Analysis of the top 10 chemical composition of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Xuanbi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yuyang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decoction</w:t>
      </w:r>
      <w:r w:rsidRPr="00703B38">
        <w:rPr>
          <w:rFonts w:ascii="Times New Roman" w:eastAsia="宋体" w:hAnsi="Times New Roman" w:cs="Times New Roman"/>
          <w:sz w:val="24"/>
          <w:szCs w:val="24"/>
        </w:rPr>
        <w:t xml:space="preserve"> in the positive electrospray </w:t>
      </w:r>
      <w:bookmarkStart w:id="0" w:name="OLE_LINK63"/>
      <w:bookmarkStart w:id="1" w:name="OLE_LINK64"/>
      <w:r w:rsidRPr="00703B38">
        <w:rPr>
          <w:rFonts w:ascii="Times New Roman" w:eastAsia="宋体" w:hAnsi="Times New Roman" w:cs="Times New Roman"/>
          <w:sz w:val="24"/>
          <w:szCs w:val="24"/>
        </w:rPr>
        <w:t>ionization modes</w:t>
      </w:r>
      <w:bookmarkEnd w:id="0"/>
      <w:bookmarkEnd w:id="1"/>
      <w:r w:rsidRPr="00703B38">
        <w:rPr>
          <w:rFonts w:ascii="Times New Roman" w:eastAsia="宋体" w:hAnsi="Times New Roman" w:cs="Times New Roman"/>
          <w:sz w:val="24"/>
          <w:szCs w:val="24"/>
        </w:rPr>
        <w:t>.</w:t>
      </w:r>
      <w:proofErr w:type="gramEnd"/>
    </w:p>
    <w:p w:rsidR="005A7C53" w:rsidRDefault="005A7C53" w:rsidP="00703B38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12040" w:type="dxa"/>
        <w:tblInd w:w="96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1911"/>
        <w:gridCol w:w="1188"/>
        <w:gridCol w:w="1188"/>
        <w:gridCol w:w="816"/>
        <w:gridCol w:w="5124"/>
        <w:gridCol w:w="1188"/>
      </w:tblGrid>
      <w:tr w:rsidR="005B2244" w:rsidRPr="005B2244" w:rsidTr="009A5FDB">
        <w:trPr>
          <w:trHeight w:val="2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ID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NameEN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Formula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mzmed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rtmed</w:t>
            </w:r>
            <w:proofErr w:type="spellEnd"/>
          </w:p>
        </w:tc>
        <w:tc>
          <w:tcPr>
            <w:tcW w:w="512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MS2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:rsidR="005B2244" w:rsidRPr="005B2244" w:rsidRDefault="005B2244" w:rsidP="005B2244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B2244" w:rsidRPr="005B2244" w:rsidTr="009A5FDB">
        <w:trPr>
          <w:trHeight w:val="288"/>
        </w:trPr>
        <w:tc>
          <w:tcPr>
            <w:tcW w:w="625" w:type="dxa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(9S,10E,12Z,15</w:t>
            </w:r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Z)-9-Hydroxy-10,12,15-octadecatrienoic acid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C18H30O3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277.216633</w:t>
            </w:r>
          </w:p>
        </w:tc>
        <w:tc>
          <w:tcPr>
            <w:tcW w:w="816" w:type="dxa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753.116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277.215082;278.079879;93.070382;135.116886;107.086506</w:t>
            </w:r>
          </w:p>
        </w:tc>
      </w:tr>
      <w:tr w:rsidR="005B2244" w:rsidRPr="005B2244" w:rsidTr="009A5FDB">
        <w:trPr>
          <w:trHeight w:val="288"/>
        </w:trPr>
        <w:tc>
          <w:tcPr>
            <w:tcW w:w="62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91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(all-E)-6'-Apo-</w:t>
            </w:r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y-caroten-6'-al</w:t>
            </w:r>
          </w:p>
        </w:tc>
        <w:tc>
          <w:tcPr>
            <w:tcW w:w="11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C32H42O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443.335207</w:t>
            </w:r>
          </w:p>
        </w:tc>
        <w:tc>
          <w:tcPr>
            <w:tcW w:w="81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946.962</w:t>
            </w:r>
          </w:p>
        </w:tc>
        <w:tc>
          <w:tcPr>
            <w:tcW w:w="6312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443.337548;444.34871;316.706889;108.713875;115.626952</w:t>
            </w:r>
          </w:p>
        </w:tc>
      </w:tr>
      <w:tr w:rsidR="005B2244" w:rsidRPr="005B2244" w:rsidTr="009A5FDB">
        <w:trPr>
          <w:trHeight w:val="288"/>
        </w:trPr>
        <w:tc>
          <w:tcPr>
            <w:tcW w:w="62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91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[(1S,3R,5R,6S,</w:t>
            </w:r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8S)-3-{[(2S,3R,4S,5S,6R)-6-[(benzoyloxy)methyl]-3,4,5-trihydroxyoxan-2-yl]oxy}-6-hydroxy-8-methyl-9,10-dioxatetracyclo[4.3.1.0²,</w:t>
            </w:r>
            <w:r w:rsidRPr="005B2244">
              <w:rPr>
                <w:rFonts w:ascii="Cambria Math" w:eastAsia="宋体" w:hAnsi="Cambria Math" w:cs="Cambria Math"/>
                <w:vanish/>
                <w:color w:val="000000"/>
                <w:kern w:val="0"/>
                <w:sz w:val="16"/>
                <w:szCs w:val="16"/>
              </w:rPr>
              <w:t>⁵</w:t>
            </w:r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.0³,</w:t>
            </w:r>
            <w:r w:rsidRPr="005B2244">
              <w:rPr>
                <w:rFonts w:ascii="Cambria Math" w:eastAsia="宋体" w:hAnsi="Cambria Math" w:cs="Cambria Math"/>
                <w:vanish/>
                <w:color w:val="000000"/>
                <w:kern w:val="0"/>
                <w:sz w:val="16"/>
                <w:szCs w:val="16"/>
              </w:rPr>
              <w:t>⁸</w:t>
            </w:r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]decan-2-yl]methyl benzoate</w:t>
            </w:r>
          </w:p>
        </w:tc>
        <w:tc>
          <w:tcPr>
            <w:tcW w:w="11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C30H32O12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623.154379</w:t>
            </w:r>
          </w:p>
        </w:tc>
        <w:tc>
          <w:tcPr>
            <w:tcW w:w="81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529.526</w:t>
            </w:r>
          </w:p>
        </w:tc>
        <w:tc>
          <w:tcPr>
            <w:tcW w:w="6312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623.147983;624.152163;92.6578;241.757832;404.266263</w:t>
            </w:r>
          </w:p>
        </w:tc>
      </w:tr>
      <w:tr w:rsidR="005B2244" w:rsidRPr="005B2244" w:rsidTr="009A5FDB">
        <w:trPr>
          <w:trHeight w:val="288"/>
        </w:trPr>
        <w:tc>
          <w:tcPr>
            <w:tcW w:w="62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91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18 beta-</w:t>
            </w:r>
            <w:proofErr w:type="spellStart"/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Glycy</w:t>
            </w:r>
            <w:proofErr w:type="spellEnd"/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rrhetintic Acid</w:t>
            </w:r>
          </w:p>
        </w:tc>
        <w:tc>
          <w:tcPr>
            <w:tcW w:w="11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C30H46O4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471.347126</w:t>
            </w:r>
          </w:p>
        </w:tc>
        <w:tc>
          <w:tcPr>
            <w:tcW w:w="81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601.448</w:t>
            </w:r>
          </w:p>
        </w:tc>
        <w:tc>
          <w:tcPr>
            <w:tcW w:w="6312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471.345145;472.346284;135.116828;189.165328;52.371799</w:t>
            </w:r>
          </w:p>
        </w:tc>
      </w:tr>
      <w:tr w:rsidR="005B2244" w:rsidRPr="005B2244" w:rsidTr="009A5FDB">
        <w:trPr>
          <w:trHeight w:val="288"/>
        </w:trPr>
        <w:tc>
          <w:tcPr>
            <w:tcW w:w="62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91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2-(8-hydroxy-</w:t>
            </w:r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4a,8-dimethyl-1,2,3,4,5,6,7,8a-octahydronaphthalen-2-yl)prop-2-enoic acid</w:t>
            </w:r>
          </w:p>
        </w:tc>
        <w:tc>
          <w:tcPr>
            <w:tcW w:w="11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C15H24O3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270.206678</w:t>
            </w:r>
          </w:p>
        </w:tc>
        <w:tc>
          <w:tcPr>
            <w:tcW w:w="81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568.88</w:t>
            </w:r>
          </w:p>
        </w:tc>
        <w:tc>
          <w:tcPr>
            <w:tcW w:w="6312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235.167965;271.060092;175.112554;217.160309;99.081003</w:t>
            </w:r>
          </w:p>
        </w:tc>
      </w:tr>
      <w:tr w:rsidR="005B2244" w:rsidRPr="005B2244" w:rsidTr="009A5FDB">
        <w:trPr>
          <w:trHeight w:val="288"/>
        </w:trPr>
        <w:tc>
          <w:tcPr>
            <w:tcW w:w="62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91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3-ethenyl-4-[2</w:t>
            </w:r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-(3,4,5-trihydroxybenzoyl)oxyethyl]-2-[3,4,5-trihydroxy-6-(hydroxymethyl)oxan-2-yl]oxy-3,4-dihydro-2H-pyran-5-carboxylic acid</w:t>
            </w:r>
          </w:p>
        </w:tc>
        <w:tc>
          <w:tcPr>
            <w:tcW w:w="11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C23H28O14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529.157244</w:t>
            </w:r>
          </w:p>
        </w:tc>
        <w:tc>
          <w:tcPr>
            <w:tcW w:w="81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203.523</w:t>
            </w:r>
          </w:p>
        </w:tc>
        <w:tc>
          <w:tcPr>
            <w:tcW w:w="6312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153.017794;529.304739;151.076005;315.071669;197.082255</w:t>
            </w:r>
          </w:p>
        </w:tc>
      </w:tr>
      <w:tr w:rsidR="005B2244" w:rsidRPr="005B2244" w:rsidTr="009A5FDB">
        <w:trPr>
          <w:trHeight w:val="288"/>
        </w:trPr>
        <w:tc>
          <w:tcPr>
            <w:tcW w:w="62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91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3-O-Protocat</w:t>
            </w:r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echuoylceanothic acid</w:t>
            </w:r>
          </w:p>
        </w:tc>
        <w:tc>
          <w:tcPr>
            <w:tcW w:w="11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C37H50O8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623.355917</w:t>
            </w:r>
          </w:p>
        </w:tc>
        <w:tc>
          <w:tcPr>
            <w:tcW w:w="81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807.955</w:t>
            </w:r>
          </w:p>
        </w:tc>
        <w:tc>
          <w:tcPr>
            <w:tcW w:w="6312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623.354236;624.357663;69.261853;77.94508;473.301947</w:t>
            </w:r>
          </w:p>
        </w:tc>
      </w:tr>
      <w:tr w:rsidR="005B2244" w:rsidRPr="005B2244" w:rsidTr="009A5FDB">
        <w:trPr>
          <w:trHeight w:val="288"/>
        </w:trPr>
        <w:tc>
          <w:tcPr>
            <w:tcW w:w="62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91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3,19-Dihydrox</w:t>
            </w:r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yurs-12-ene-23,28-dioic acid</w:t>
            </w:r>
          </w:p>
        </w:tc>
        <w:tc>
          <w:tcPr>
            <w:tcW w:w="11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C30H46O6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503.338016</w:t>
            </w:r>
          </w:p>
        </w:tc>
        <w:tc>
          <w:tcPr>
            <w:tcW w:w="81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767.848</w:t>
            </w:r>
          </w:p>
        </w:tc>
        <w:tc>
          <w:tcPr>
            <w:tcW w:w="6312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107.085376;513.862635;135.116865;119.085916;378.374107</w:t>
            </w:r>
          </w:p>
        </w:tc>
      </w:tr>
      <w:tr w:rsidR="005B2244" w:rsidRPr="005B2244" w:rsidTr="009A5FDB">
        <w:trPr>
          <w:trHeight w:val="288"/>
        </w:trPr>
        <w:tc>
          <w:tcPr>
            <w:tcW w:w="62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91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4-Hydroxy-1H</w:t>
            </w:r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-indole-3-acetonitrile</w:t>
            </w:r>
          </w:p>
        </w:tc>
        <w:tc>
          <w:tcPr>
            <w:tcW w:w="11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C10H8N2O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173.071221</w:t>
            </w:r>
          </w:p>
        </w:tc>
        <w:tc>
          <w:tcPr>
            <w:tcW w:w="81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2.79062</w:t>
            </w:r>
          </w:p>
        </w:tc>
        <w:tc>
          <w:tcPr>
            <w:tcW w:w="6312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146.059833;174.056103;128.049143;173.071042;149.941034</w:t>
            </w:r>
          </w:p>
        </w:tc>
      </w:tr>
      <w:tr w:rsidR="005B2244" w:rsidRPr="005B2244" w:rsidTr="009A5FDB">
        <w:trPr>
          <w:trHeight w:val="288"/>
        </w:trPr>
        <w:tc>
          <w:tcPr>
            <w:tcW w:w="62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91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4,4,8,10,14-pe</w:t>
            </w:r>
            <w:r w:rsidRPr="005B2244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ntamethyl-17-(4,5,6-trihydroxy-6-methylheptan-2-yl)-2,5,6,7,9,15-hexahydro-1H-cyclopenta[a]phenanthrene-3,16-dione</w:t>
            </w:r>
          </w:p>
        </w:tc>
        <w:tc>
          <w:tcPr>
            <w:tcW w:w="11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C30H46O5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487.342159</w:t>
            </w:r>
          </w:p>
        </w:tc>
        <w:tc>
          <w:tcPr>
            <w:tcW w:w="81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579.932</w:t>
            </w:r>
          </w:p>
        </w:tc>
        <w:tc>
          <w:tcPr>
            <w:tcW w:w="6312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5B2244" w:rsidRPr="005B2244" w:rsidRDefault="005B2244" w:rsidP="005B2244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5B22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487.337761;488.348478;189.162587;317.210264;54.149149</w:t>
            </w:r>
          </w:p>
        </w:tc>
      </w:tr>
    </w:tbl>
    <w:p w:rsidR="00000DEC" w:rsidRDefault="00000DEC" w:rsidP="00637E3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00DEC" w:rsidRDefault="00000DEC" w:rsidP="00637E3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00DEC" w:rsidRDefault="00000DEC" w:rsidP="00637E3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00DEC" w:rsidRDefault="00000DEC" w:rsidP="00637E3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37E3A" w:rsidRPr="00C50FF2" w:rsidRDefault="00637E3A" w:rsidP="00637E3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50FF2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402F48" w:rsidRDefault="00C00A42" w:rsidP="00703B38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703B38">
        <w:rPr>
          <w:rFonts w:ascii="Times New Roman" w:eastAsia="宋体" w:hAnsi="Times New Roman" w:cs="Times New Roman"/>
          <w:sz w:val="24"/>
          <w:szCs w:val="24"/>
        </w:rPr>
        <w:t xml:space="preserve">Analysis of the top 10 chemical composition of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Xuanbi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yuyang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decoction</w:t>
      </w:r>
      <w:r w:rsidRPr="00703B38">
        <w:rPr>
          <w:rFonts w:ascii="Times New Roman" w:eastAsia="宋体" w:hAnsi="Times New Roman" w:cs="Times New Roman"/>
          <w:sz w:val="24"/>
          <w:szCs w:val="24"/>
        </w:rPr>
        <w:t xml:space="preserve"> in the </w:t>
      </w:r>
      <w:r w:rsidRPr="003F6647">
        <w:rPr>
          <w:rFonts w:ascii="Times New Roman" w:eastAsia="宋体" w:hAnsi="Times New Roman" w:cs="Times New Roman"/>
          <w:sz w:val="24"/>
          <w:szCs w:val="24"/>
        </w:rPr>
        <w:t>negative</w:t>
      </w:r>
      <w:r w:rsidRPr="00703B38">
        <w:rPr>
          <w:rFonts w:ascii="Times New Roman" w:eastAsia="宋体" w:hAnsi="Times New Roman" w:cs="Times New Roman"/>
          <w:sz w:val="24"/>
          <w:szCs w:val="24"/>
        </w:rPr>
        <w:t xml:space="preserve"> electrospray ionization modes.</w:t>
      </w:r>
      <w:proofErr w:type="gramEnd"/>
    </w:p>
    <w:p w:rsidR="00E60C6D" w:rsidRPr="00000DEC" w:rsidRDefault="00E60C6D" w:rsidP="00703B38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12076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384"/>
        <w:gridCol w:w="1188"/>
        <w:gridCol w:w="1188"/>
        <w:gridCol w:w="2466"/>
        <w:gridCol w:w="4662"/>
      </w:tblGrid>
      <w:tr w:rsidR="00E60C6D" w:rsidRPr="00E60C6D" w:rsidTr="00054192">
        <w:trPr>
          <w:trHeight w:val="288"/>
          <w:jc w:val="center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ID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NameEN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Formula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mzmed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rtmed</w:t>
            </w:r>
            <w:proofErr w:type="spellEnd"/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MS2</w:t>
            </w:r>
          </w:p>
        </w:tc>
      </w:tr>
      <w:tr w:rsidR="00E60C6D" w:rsidRPr="00E60C6D" w:rsidTr="00054192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(1R,2R,5S,8R,1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4R,15R,16S)-16-hydroxy-1,2,14,17,17-pentamethyl-8-(prop-1-en-2-yl)pentacyclo[11.7.0.0²,¹</w:t>
            </w:r>
            <w:r w:rsidRPr="00E60C6D">
              <w:rPr>
                <w:rFonts w:ascii="Cambria Math" w:eastAsia="宋体" w:hAnsi="Cambria Math" w:cs="Cambria Math"/>
                <w:vanish/>
                <w:color w:val="000000"/>
                <w:kern w:val="0"/>
                <w:sz w:val="16"/>
                <w:szCs w:val="16"/>
              </w:rPr>
              <w:t>⁰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.0</w:t>
            </w:r>
            <w:r w:rsidRPr="00E60C6D">
              <w:rPr>
                <w:rFonts w:ascii="Cambria Math" w:eastAsia="宋体" w:hAnsi="Cambria Math" w:cs="Cambria Math"/>
                <w:vanish/>
                <w:color w:val="000000"/>
                <w:kern w:val="0"/>
                <w:sz w:val="16"/>
                <w:szCs w:val="16"/>
              </w:rPr>
              <w:t>⁵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,</w:t>
            </w:r>
            <w:r w:rsidRPr="00E60C6D">
              <w:rPr>
                <w:rFonts w:ascii="Cambria Math" w:eastAsia="宋体" w:hAnsi="Cambria Math" w:cs="Cambria Math"/>
                <w:vanish/>
                <w:color w:val="000000"/>
                <w:kern w:val="0"/>
                <w:sz w:val="16"/>
                <w:szCs w:val="16"/>
              </w:rPr>
              <w:t>⁹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.0¹</w:t>
            </w:r>
            <w:r w:rsidRPr="00E60C6D">
              <w:rPr>
                <w:rFonts w:ascii="微软雅黑" w:eastAsia="微软雅黑" w:hAnsi="微软雅黑" w:cs="微软雅黑" w:hint="eastAsia"/>
                <w:vanish/>
                <w:color w:val="000000"/>
                <w:kern w:val="0"/>
                <w:sz w:val="16"/>
                <w:szCs w:val="16"/>
              </w:rPr>
              <w:t>⁴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,¹</w:t>
            </w:r>
            <w:r w:rsidRPr="00E60C6D">
              <w:rPr>
                <w:rFonts w:ascii="Cambria Math" w:eastAsia="宋体" w:hAnsi="Cambria Math" w:cs="Cambria Math"/>
                <w:vanish/>
                <w:color w:val="000000"/>
                <w:kern w:val="0"/>
                <w:sz w:val="16"/>
                <w:szCs w:val="16"/>
              </w:rPr>
              <w:t>⁸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]icosane-5,15-dicarboxylic acid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C30H46O5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485.326223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806.525</w:t>
            </w:r>
          </w:p>
        </w:tc>
        <w:tc>
          <w:tcPr>
            <w:tcW w:w="4662" w:type="dxa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485.322963;486.327808;125.143654;212.883554;187.861776</w:t>
            </w:r>
          </w:p>
        </w:tc>
      </w:tr>
      <w:tr w:rsidR="00E60C6D" w:rsidRPr="00E60C6D" w:rsidTr="00054192">
        <w:trPr>
          <w:trHeight w:val="307"/>
          <w:jc w:val="center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(1S,2S,3R,4S,7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R,10S,12R,15S)-4,12-bis(acetyloxy)-1,9,15-trihydroxy-10,14,17,17-tetramethyl-11-oxo-6-oxatetracyclo[11.3.1.0³,¹</w:t>
            </w:r>
            <w:r w:rsidRPr="00E60C6D">
              <w:rPr>
                <w:rFonts w:ascii="Cambria Math" w:eastAsia="宋体" w:hAnsi="Cambria Math" w:cs="Cambria Math"/>
                <w:vanish/>
                <w:color w:val="000000"/>
                <w:kern w:val="0"/>
                <w:sz w:val="16"/>
                <w:szCs w:val="16"/>
              </w:rPr>
              <w:t>⁰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.0</w:t>
            </w:r>
            <w:r w:rsidRPr="00E60C6D">
              <w:rPr>
                <w:rFonts w:ascii="微软雅黑" w:eastAsia="微软雅黑" w:hAnsi="微软雅黑" w:cs="微软雅黑" w:hint="eastAsia"/>
                <w:vanish/>
                <w:color w:val="000000"/>
                <w:kern w:val="0"/>
                <w:sz w:val="16"/>
                <w:szCs w:val="16"/>
              </w:rPr>
              <w:t>⁴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,</w:t>
            </w:r>
            <w:r w:rsidRPr="00E60C6D">
              <w:rPr>
                <w:rFonts w:ascii="Cambria Math" w:eastAsia="宋体" w:hAnsi="Cambria Math" w:cs="Cambria Math"/>
                <w:vanish/>
                <w:color w:val="000000"/>
                <w:kern w:val="0"/>
                <w:sz w:val="16"/>
                <w:szCs w:val="16"/>
              </w:rPr>
              <w:t>⁷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]heptadec-13-en-2-yl benzoate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C31H38O11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631.242144</w:t>
            </w:r>
          </w:p>
        </w:tc>
        <w:tc>
          <w:tcPr>
            <w:tcW w:w="246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484.644</w:t>
            </w:r>
          </w:p>
        </w:tc>
        <w:tc>
          <w:tcPr>
            <w:tcW w:w="466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631.239099;632.247583;96.9585;241.000308;543.19329</w:t>
            </w:r>
          </w:p>
        </w:tc>
      </w:tr>
      <w:tr w:rsidR="00E60C6D" w:rsidRPr="00E60C6D" w:rsidTr="00054192">
        <w:trPr>
          <w:trHeight w:val="288"/>
          <w:jc w:val="center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1,2-Dihydroxy 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anthraquinone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C14H8O4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239.033264</w:t>
            </w:r>
          </w:p>
        </w:tc>
        <w:tc>
          <w:tcPr>
            <w:tcW w:w="246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647.346</w:t>
            </w:r>
          </w:p>
        </w:tc>
        <w:tc>
          <w:tcPr>
            <w:tcW w:w="466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239.032529;240.037945;211.039578;195.043203;212.043492</w:t>
            </w:r>
          </w:p>
        </w:tc>
      </w:tr>
      <w:tr w:rsidR="00E60C6D" w:rsidRPr="00E60C6D" w:rsidTr="00054192">
        <w:trPr>
          <w:trHeight w:val="288"/>
          <w:jc w:val="center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1,7-bis(4-hydr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oxyphenyl)heptan-3-one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C19H22O3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297.151617</w:t>
            </w:r>
          </w:p>
        </w:tc>
        <w:tc>
          <w:tcPr>
            <w:tcW w:w="246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850.537</w:t>
            </w:r>
          </w:p>
        </w:tc>
        <w:tc>
          <w:tcPr>
            <w:tcW w:w="466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297.15064;298.154259;183.010024;134.89222;184.019158</w:t>
            </w:r>
          </w:p>
        </w:tc>
      </w:tr>
      <w:tr w:rsidR="00E60C6D" w:rsidRPr="00E60C6D" w:rsidTr="00054192">
        <w:trPr>
          <w:trHeight w:val="288"/>
          <w:jc w:val="center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11-hydroxy-9-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(hydroxymethyl)-2-methoxycarbonyl-2,6a,6b,9,12a-pentamethyl-10-(3,4,5-trihydroxyoxan-2-yl)oxy-1,3,4,5,6,6a,7,8,8a,10,11,12,13,14b-tetradecahydropicene-4a-carboxylic acid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C36H56O11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663.372762</w:t>
            </w:r>
          </w:p>
        </w:tc>
        <w:tc>
          <w:tcPr>
            <w:tcW w:w="246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641.473</w:t>
            </w:r>
          </w:p>
        </w:tc>
        <w:tc>
          <w:tcPr>
            <w:tcW w:w="466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663.372254;664.376897;75.007212;116.926524;85.027319</w:t>
            </w:r>
          </w:p>
        </w:tc>
      </w:tr>
      <w:tr w:rsidR="00E60C6D" w:rsidRPr="00E60C6D" w:rsidTr="00054192">
        <w:trPr>
          <w:trHeight w:val="288"/>
          <w:jc w:val="center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14-hydroxy-1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4-(hydroxymethyl)-5,9-dimethyltetracyclo[11.2.1.0¹,¹</w:t>
            </w:r>
            <w:r w:rsidRPr="00E60C6D">
              <w:rPr>
                <w:rFonts w:ascii="Cambria Math" w:eastAsia="宋体" w:hAnsi="Cambria Math" w:cs="Cambria Math"/>
                <w:vanish/>
                <w:color w:val="000000"/>
                <w:kern w:val="0"/>
                <w:sz w:val="16"/>
                <w:szCs w:val="16"/>
              </w:rPr>
              <w:t>⁰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.0</w:t>
            </w:r>
            <w:r w:rsidRPr="00E60C6D">
              <w:rPr>
                <w:rFonts w:ascii="微软雅黑" w:eastAsia="微软雅黑" w:hAnsi="微软雅黑" w:cs="微软雅黑" w:hint="eastAsia"/>
                <w:vanish/>
                <w:color w:val="000000"/>
                <w:kern w:val="0"/>
                <w:sz w:val="16"/>
                <w:szCs w:val="16"/>
              </w:rPr>
              <w:t>⁴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,</w:t>
            </w:r>
            <w:r w:rsidRPr="00E60C6D">
              <w:rPr>
                <w:rFonts w:ascii="Cambria Math" w:eastAsia="宋体" w:hAnsi="Cambria Math" w:cs="Cambria Math"/>
                <w:vanish/>
                <w:color w:val="000000"/>
                <w:kern w:val="0"/>
                <w:sz w:val="16"/>
                <w:szCs w:val="16"/>
              </w:rPr>
              <w:t>⁹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]hexadecane-5-carboxylic acid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C20H32O4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335.221593</w:t>
            </w:r>
          </w:p>
        </w:tc>
        <w:tc>
          <w:tcPr>
            <w:tcW w:w="246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489.505</w:t>
            </w:r>
          </w:p>
        </w:tc>
        <w:tc>
          <w:tcPr>
            <w:tcW w:w="466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335.223497;336.22682;96.958528;92.657461;299.029896</w:t>
            </w:r>
          </w:p>
        </w:tc>
      </w:tr>
      <w:tr w:rsidR="00E60C6D" w:rsidRPr="00E60C6D" w:rsidTr="00054192">
        <w:trPr>
          <w:trHeight w:val="288"/>
          <w:jc w:val="center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2-Hydroxyant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hraquinone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C14H8O3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223.038565</w:t>
            </w:r>
          </w:p>
        </w:tc>
        <w:tc>
          <w:tcPr>
            <w:tcW w:w="246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626.357</w:t>
            </w:r>
          </w:p>
        </w:tc>
        <w:tc>
          <w:tcPr>
            <w:tcW w:w="466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223.037185;224.041923;195.043506;108.950528;173.9712</w:t>
            </w:r>
          </w:p>
        </w:tc>
      </w:tr>
      <w:tr w:rsidR="00E60C6D" w:rsidRPr="00E60C6D" w:rsidTr="00054192">
        <w:trPr>
          <w:trHeight w:val="288"/>
          <w:jc w:val="center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2-Isopropylm</w:t>
            </w:r>
            <w:r w:rsidRPr="00E60C6D">
              <w:rPr>
                <w:rFonts w:ascii="Times New Roman" w:eastAsia="宋体" w:hAnsi="Times New Roman" w:cs="Times New Roman"/>
                <w:vanish/>
                <w:color w:val="000000"/>
                <w:kern w:val="0"/>
                <w:sz w:val="16"/>
                <w:szCs w:val="16"/>
              </w:rPr>
              <w:t>alic acid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C7H12O5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175.059463</w:t>
            </w:r>
          </w:p>
        </w:tc>
        <w:tc>
          <w:tcPr>
            <w:tcW w:w="246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157.386</w:t>
            </w:r>
          </w:p>
        </w:tc>
        <w:tc>
          <w:tcPr>
            <w:tcW w:w="466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87.007292;176.033017;175.059968;113.059451;85.063839</w:t>
            </w:r>
          </w:p>
        </w:tc>
      </w:tr>
      <w:tr w:rsidR="00E60C6D" w:rsidRPr="00E60C6D" w:rsidTr="00054192">
        <w:trPr>
          <w:trHeight w:val="288"/>
          <w:jc w:val="center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Agarotetrol</w:t>
            </w:r>
            <w:proofErr w:type="spellEnd"/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C17H18O6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317.1053</w:t>
            </w:r>
          </w:p>
        </w:tc>
        <w:tc>
          <w:tcPr>
            <w:tcW w:w="246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623.681</w:t>
            </w:r>
          </w:p>
        </w:tc>
        <w:tc>
          <w:tcPr>
            <w:tcW w:w="466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96.958477;317.209794;318.214387;244.911703;188.714544</w:t>
            </w:r>
          </w:p>
        </w:tc>
      </w:tr>
      <w:tr w:rsidR="00E60C6D" w:rsidRPr="00E60C6D" w:rsidTr="00054192">
        <w:trPr>
          <w:trHeight w:val="288"/>
          <w:jc w:val="center"/>
        </w:trPr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Alisol</w:t>
            </w:r>
            <w:proofErr w:type="spellEnd"/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 A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C30H50O5</w:t>
            </w:r>
          </w:p>
        </w:tc>
        <w:tc>
          <w:tcPr>
            <w:tcW w:w="0" w:type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535.36236</w:t>
            </w:r>
          </w:p>
        </w:tc>
        <w:tc>
          <w:tcPr>
            <w:tcW w:w="246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758.884</w:t>
            </w:r>
          </w:p>
        </w:tc>
        <w:tc>
          <w:tcPr>
            <w:tcW w:w="466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60C6D" w:rsidRPr="00E60C6D" w:rsidRDefault="00E60C6D" w:rsidP="00E60C6D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E60C6D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535.364517;536.363965;92.657461;472.346469;401.955745</w:t>
            </w:r>
          </w:p>
        </w:tc>
      </w:tr>
    </w:tbl>
    <w:p w:rsidR="00F60639" w:rsidRDefault="00F60639" w:rsidP="00703B38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F60639" w:rsidRPr="00C00A42" w:rsidRDefault="00F60639" w:rsidP="00703B38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:rsidR="00267058" w:rsidRDefault="00267058">
      <w:bookmarkStart w:id="2" w:name="_GoBack"/>
      <w:bookmarkEnd w:id="2"/>
    </w:p>
    <w:sectPr w:rsidR="00267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63" w:rsidRDefault="00AE4D63" w:rsidP="00C549C2">
      <w:r>
        <w:separator/>
      </w:r>
    </w:p>
  </w:endnote>
  <w:endnote w:type="continuationSeparator" w:id="0">
    <w:p w:rsidR="00AE4D63" w:rsidRDefault="00AE4D63" w:rsidP="00C5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63" w:rsidRDefault="00AE4D63" w:rsidP="00C549C2">
      <w:r>
        <w:separator/>
      </w:r>
    </w:p>
  </w:footnote>
  <w:footnote w:type="continuationSeparator" w:id="0">
    <w:p w:rsidR="00AE4D63" w:rsidRDefault="00AE4D63" w:rsidP="00C54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80"/>
    <w:rsid w:val="00000DEC"/>
    <w:rsid w:val="00054192"/>
    <w:rsid w:val="00125B93"/>
    <w:rsid w:val="001A3494"/>
    <w:rsid w:val="002319A5"/>
    <w:rsid w:val="0024217A"/>
    <w:rsid w:val="00267058"/>
    <w:rsid w:val="0027044D"/>
    <w:rsid w:val="002704EA"/>
    <w:rsid w:val="002E0741"/>
    <w:rsid w:val="00325D80"/>
    <w:rsid w:val="00402F48"/>
    <w:rsid w:val="00474499"/>
    <w:rsid w:val="005A7C53"/>
    <w:rsid w:val="005B122C"/>
    <w:rsid w:val="005B2244"/>
    <w:rsid w:val="005C6DE8"/>
    <w:rsid w:val="00637E3A"/>
    <w:rsid w:val="0066694B"/>
    <w:rsid w:val="0068372C"/>
    <w:rsid w:val="00703B38"/>
    <w:rsid w:val="00730D2D"/>
    <w:rsid w:val="0075795B"/>
    <w:rsid w:val="00782A10"/>
    <w:rsid w:val="008A0A9C"/>
    <w:rsid w:val="00910775"/>
    <w:rsid w:val="009A5FDB"/>
    <w:rsid w:val="00AE4D63"/>
    <w:rsid w:val="00B94836"/>
    <w:rsid w:val="00C00A42"/>
    <w:rsid w:val="00C34058"/>
    <w:rsid w:val="00C5241B"/>
    <w:rsid w:val="00C549C2"/>
    <w:rsid w:val="00D055AA"/>
    <w:rsid w:val="00D40A89"/>
    <w:rsid w:val="00DB23A1"/>
    <w:rsid w:val="00E60C6D"/>
    <w:rsid w:val="00F25782"/>
    <w:rsid w:val="00F60639"/>
    <w:rsid w:val="00F6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D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6DE8"/>
    <w:rPr>
      <w:sz w:val="18"/>
      <w:szCs w:val="18"/>
    </w:rPr>
  </w:style>
  <w:style w:type="paragraph" w:styleId="a4">
    <w:name w:val="List Paragraph"/>
    <w:basedOn w:val="a"/>
    <w:uiPriority w:val="34"/>
    <w:qFormat/>
    <w:rsid w:val="0026705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54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49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4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49C2"/>
    <w:rPr>
      <w:sz w:val="18"/>
      <w:szCs w:val="18"/>
    </w:rPr>
  </w:style>
  <w:style w:type="table" w:styleId="a7">
    <w:name w:val="Table Grid"/>
    <w:basedOn w:val="a1"/>
    <w:uiPriority w:val="59"/>
    <w:rsid w:val="008A0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D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6DE8"/>
    <w:rPr>
      <w:sz w:val="18"/>
      <w:szCs w:val="18"/>
    </w:rPr>
  </w:style>
  <w:style w:type="paragraph" w:styleId="a4">
    <w:name w:val="List Paragraph"/>
    <w:basedOn w:val="a"/>
    <w:uiPriority w:val="34"/>
    <w:qFormat/>
    <w:rsid w:val="0026705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54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49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4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49C2"/>
    <w:rPr>
      <w:sz w:val="18"/>
      <w:szCs w:val="18"/>
    </w:rPr>
  </w:style>
  <w:style w:type="table" w:styleId="a7">
    <w:name w:val="Table Grid"/>
    <w:basedOn w:val="a1"/>
    <w:uiPriority w:val="59"/>
    <w:rsid w:val="008A0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771</Words>
  <Characters>4396</Characters>
  <Application>Microsoft Office Word</Application>
  <DocSecurity>0</DocSecurity>
  <Lines>36</Lines>
  <Paragraphs>10</Paragraphs>
  <ScaleCrop>false</ScaleCrop>
  <Company>Microsoft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Users</cp:lastModifiedBy>
  <cp:revision>7</cp:revision>
  <dcterms:created xsi:type="dcterms:W3CDTF">2023-08-16T03:09:00Z</dcterms:created>
  <dcterms:modified xsi:type="dcterms:W3CDTF">2024-05-22T06:20:00Z</dcterms:modified>
</cp:coreProperties>
</file>