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E8B6A" w14:textId="5FEF15F2" w:rsidR="00BB1782" w:rsidRPr="00BB1782" w:rsidRDefault="00BB1782" w:rsidP="00BB1782">
      <w:pPr>
        <w:spacing w:line="480" w:lineRule="auto"/>
        <w:jc w:val="center"/>
        <w:rPr>
          <w:rStyle w:val="fontstyle01"/>
          <w:rFonts w:ascii="Arial" w:hAnsi="Arial" w:cs="Arial" w:hint="default"/>
          <w:b/>
          <w:bCs/>
          <w:color w:val="auto"/>
          <w:sz w:val="30"/>
          <w:szCs w:val="30"/>
        </w:rPr>
      </w:pPr>
      <w:r w:rsidRPr="00BB1782">
        <w:rPr>
          <w:rStyle w:val="fontstyle01"/>
          <w:rFonts w:ascii="Arial" w:hAnsi="Arial" w:cs="Arial" w:hint="default"/>
          <w:b/>
          <w:bCs/>
          <w:color w:val="auto"/>
          <w:sz w:val="30"/>
          <w:szCs w:val="30"/>
        </w:rPr>
        <w:t>Supplementary materials</w:t>
      </w:r>
    </w:p>
    <w:p w14:paraId="55573C65" w14:textId="4B280E81" w:rsidR="00BB1782" w:rsidRPr="00BB1782" w:rsidRDefault="00BB1782" w:rsidP="00BB1782">
      <w:pPr>
        <w:spacing w:line="480" w:lineRule="auto"/>
        <w:rPr>
          <w:rStyle w:val="fontstyle01"/>
          <w:rFonts w:ascii="Arial" w:hAnsi="Arial" w:cs="Arial" w:hint="default"/>
          <w:color w:val="auto"/>
          <w:sz w:val="28"/>
          <w:szCs w:val="28"/>
        </w:rPr>
      </w:pPr>
      <w:bookmarkStart w:id="0" w:name="_Hlk172978419"/>
      <w:r w:rsidRPr="00BB1782">
        <w:rPr>
          <w:rStyle w:val="fontstyle01"/>
          <w:rFonts w:ascii="Arial" w:hAnsi="Arial" w:cs="Arial" w:hint="default"/>
          <w:b/>
          <w:bCs/>
          <w:color w:val="auto"/>
          <w:sz w:val="28"/>
          <w:szCs w:val="28"/>
        </w:rPr>
        <w:t xml:space="preserve">Table </w:t>
      </w:r>
      <w:r w:rsidRPr="00BB1782">
        <w:rPr>
          <w:rStyle w:val="fontstyle01"/>
          <w:rFonts w:ascii="Arial" w:hAnsi="Arial" w:cs="Arial" w:hint="default"/>
          <w:b/>
          <w:bCs/>
          <w:color w:val="auto"/>
          <w:sz w:val="28"/>
          <w:szCs w:val="28"/>
        </w:rPr>
        <w:t>S</w:t>
      </w:r>
      <w:r w:rsidRPr="00BB1782">
        <w:rPr>
          <w:rStyle w:val="fontstyle01"/>
          <w:rFonts w:ascii="Arial" w:hAnsi="Arial" w:cs="Arial" w:hint="default"/>
          <w:b/>
          <w:bCs/>
          <w:color w:val="auto"/>
          <w:sz w:val="28"/>
          <w:szCs w:val="28"/>
        </w:rPr>
        <w:t>1.</w:t>
      </w:r>
      <w:bookmarkEnd w:id="0"/>
      <w:r w:rsidRPr="00BB1782">
        <w:rPr>
          <w:rStyle w:val="fontstyle01"/>
          <w:rFonts w:ascii="Arial" w:hAnsi="Arial" w:cs="Arial" w:hint="default"/>
          <w:b/>
          <w:bCs/>
          <w:color w:val="auto"/>
          <w:sz w:val="28"/>
          <w:szCs w:val="28"/>
        </w:rPr>
        <w:t xml:space="preserve"> </w:t>
      </w:r>
      <w:r w:rsidRPr="00BB1782">
        <w:rPr>
          <w:rStyle w:val="fontstyle01"/>
          <w:rFonts w:ascii="Arial" w:hAnsi="Arial" w:cs="Arial" w:hint="default"/>
          <w:color w:val="auto"/>
          <w:sz w:val="28"/>
          <w:szCs w:val="28"/>
        </w:rPr>
        <w:t xml:space="preserve">Demographic and clinical characteristics of the training and validation </w:t>
      </w:r>
      <w:r w:rsidRPr="00BB1782">
        <w:rPr>
          <w:rFonts w:ascii="Arial" w:eastAsia="等线" w:hAnsi="Arial" w:cs="Arial"/>
          <w:color w:val="auto"/>
          <w:kern w:val="0"/>
          <w:sz w:val="28"/>
          <w:szCs w:val="28"/>
        </w:rPr>
        <w:t>sets</w:t>
      </w:r>
    </w:p>
    <w:tbl>
      <w:tblPr>
        <w:tblW w:w="9175" w:type="dxa"/>
        <w:tblInd w:w="108" w:type="dxa"/>
        <w:tblLook w:val="04A0" w:firstRow="1" w:lastRow="0" w:firstColumn="1" w:lastColumn="0" w:noHBand="0" w:noVBand="1"/>
      </w:tblPr>
      <w:tblGrid>
        <w:gridCol w:w="2131"/>
        <w:gridCol w:w="2348"/>
        <w:gridCol w:w="2348"/>
        <w:gridCol w:w="2348"/>
      </w:tblGrid>
      <w:tr w:rsidR="00BB1782" w:rsidRPr="00BB1782" w14:paraId="53C8EB2A" w14:textId="77777777" w:rsidTr="004079F5">
        <w:trPr>
          <w:trHeight w:val="473"/>
        </w:trPr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4D53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3A53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Total (n=278)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64F2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Training set (n=223)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8588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Validation set (n=55)</w:t>
            </w:r>
          </w:p>
        </w:tc>
      </w:tr>
      <w:tr w:rsidR="00BB1782" w:rsidRPr="00BB1782" w14:paraId="73CD3E68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85F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Poor prognosis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18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126(45.3)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10C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102(45.7)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2D2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24(43.6)</w:t>
            </w:r>
          </w:p>
        </w:tc>
      </w:tr>
      <w:tr w:rsidR="00BB1782" w:rsidRPr="00BB1782" w14:paraId="1D786621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04A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Male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838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164(59.0)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45E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130(58.3)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9EC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34(61.8)</w:t>
            </w:r>
          </w:p>
        </w:tc>
      </w:tr>
      <w:tr w:rsidR="00BB1782" w:rsidRPr="00BB1782" w14:paraId="4FBCB09A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C30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Age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930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51.00(31.00-63.00)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599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51.00(30.00-64.00)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DF1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52.00(37.00-60.00)</w:t>
            </w:r>
          </w:p>
        </w:tc>
      </w:tr>
      <w:tr w:rsidR="00BB1782" w:rsidRPr="00BB1782" w14:paraId="2621C0AB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DAB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Hospitalization days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5EF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13.00(10.00-22.00)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1F2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13.00(10.00-22.00)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C03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13.00(9.00-20.00)</w:t>
            </w:r>
          </w:p>
        </w:tc>
      </w:tr>
      <w:tr w:rsidR="00BB1782" w:rsidRPr="00BB1782" w14:paraId="247C3855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2CE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Diarrhea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3A8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50(18.0)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40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46(20.6)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0A1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4(7.3)</w:t>
            </w:r>
          </w:p>
        </w:tc>
      </w:tr>
      <w:tr w:rsidR="00BB1782" w:rsidRPr="00BB1782" w14:paraId="18B78E98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CC1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Upper respiratory tract infection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D64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37(13.3)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B9D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33(14.8)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E78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4(7.3)</w:t>
            </w:r>
          </w:p>
        </w:tc>
      </w:tr>
      <w:tr w:rsidR="00BB1782" w:rsidRPr="00BB1782" w14:paraId="113EA6B2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165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Mechanical ventilation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E4A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42(15.1)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186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38(17.0)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1E4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4(7.3)</w:t>
            </w:r>
          </w:p>
        </w:tc>
      </w:tr>
      <w:tr w:rsidR="00BB1782" w:rsidRPr="00BB1782" w14:paraId="1CEBF31E" w14:textId="77777777" w:rsidTr="004079F5">
        <w:trPr>
          <w:trHeight w:val="465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BBC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Hyporeflexia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953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223(80.2)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233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178(79.8)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C74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45(81.8)</w:t>
            </w:r>
          </w:p>
        </w:tc>
      </w:tr>
      <w:tr w:rsidR="00BB1782" w:rsidRPr="00BB1782" w14:paraId="32D789AC" w14:textId="77777777" w:rsidTr="004079F5">
        <w:trPr>
          <w:trHeight w:val="69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975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 xml:space="preserve">Abnormal glossopharyngeal </w:t>
            </w:r>
            <w:proofErr w:type="spellStart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vagus</w:t>
            </w:r>
            <w:proofErr w:type="spellEnd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F5D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48(17.3)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2D8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43(19.3)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EB9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5(9.1)</w:t>
            </w:r>
          </w:p>
        </w:tc>
      </w:tr>
      <w:tr w:rsidR="00BB1782" w:rsidRPr="00BB1782" w14:paraId="116C16CB" w14:textId="77777777" w:rsidTr="004079F5">
        <w:trPr>
          <w:trHeight w:val="465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5D7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Abnormal hypoglossal nerve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206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14(5.0)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F38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1(0.4)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8E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13(23.6)</w:t>
            </w:r>
          </w:p>
        </w:tc>
      </w:tr>
      <w:tr w:rsidR="00BB1782" w:rsidRPr="00BB1782" w14:paraId="46F4E515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3258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GC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F70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46(16.5)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7D9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44(19.7)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FC1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2(3.6)</w:t>
            </w:r>
          </w:p>
        </w:tc>
      </w:tr>
      <w:tr w:rsidR="00BB1782" w:rsidRPr="00BB1782" w14:paraId="257DC734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5319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IVIG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C5B5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225(80.9)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677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175(78.5)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A0F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50(90.9)</w:t>
            </w:r>
          </w:p>
        </w:tc>
      </w:tr>
      <w:tr w:rsidR="00BB1782" w:rsidRPr="00BB1782" w14:paraId="52773A66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FDFB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PE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864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34(12.2)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511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31(13.9)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F6D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  <w:r w:rsidRPr="00BB1782">
              <w:rPr>
                <w:rFonts w:ascii="Arial" w:eastAsia="等线" w:hAnsi="Arial" w:cs="Arial"/>
                <w:color w:val="auto"/>
                <w:sz w:val="20"/>
                <w:szCs w:val="20"/>
              </w:rPr>
              <w:t>3(5.5)</w:t>
            </w:r>
          </w:p>
        </w:tc>
      </w:tr>
      <w:tr w:rsidR="00BB1782" w:rsidRPr="00BB1782" w14:paraId="5F097D3F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4B2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lastRenderedPageBreak/>
              <w:t>Blood test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C07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FF3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384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BB1782" w:rsidRPr="00BB1782" w14:paraId="511F59B0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B83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WBC (10^9/L)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307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7.30(5.68-9.29)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CD5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7.18(5.71-9.22)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DA6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8.03(5.14-9.71)</w:t>
            </w:r>
          </w:p>
        </w:tc>
      </w:tr>
      <w:tr w:rsidR="00BB1782" w:rsidRPr="00BB1782" w14:paraId="6BEC7318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9E9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Neutrophil (10^9/L)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BEA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4.96(3.42-6.63)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D90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4.75(3.46-6.67)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984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5.63(3.23-6.97)</w:t>
            </w:r>
          </w:p>
        </w:tc>
      </w:tr>
      <w:tr w:rsidR="00BB1782" w:rsidRPr="00BB1782" w14:paraId="16E55F36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4C5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Lymphocyte (10^9/L)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744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1.53(1.10-2.06)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E37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1.57(1.15-2.06)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8A3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1.47(0.87-1.97)</w:t>
            </w:r>
          </w:p>
        </w:tc>
      </w:tr>
      <w:tr w:rsidR="00BB1782" w:rsidRPr="00BB1782" w14:paraId="24191EBC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5E6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NLR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43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2.98(1.90-5.36)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1E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2.93(1.89-5.25)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CE4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4.01(1.96-6.80)</w:t>
            </w:r>
          </w:p>
        </w:tc>
      </w:tr>
      <w:tr w:rsidR="00BB1782" w:rsidRPr="00BB1782" w14:paraId="20973FED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DAD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Monocyte (10^9/L)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CA4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0.48(0.38-0.66)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3EB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0.48(0.38-0.65)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15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0.47(0.36-0.68)</w:t>
            </w:r>
          </w:p>
        </w:tc>
      </w:tr>
      <w:tr w:rsidR="00BB1782" w:rsidRPr="00BB1782" w14:paraId="61AE6C3C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364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blood glucose (mmol/L)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DB3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5.46(4.60-6.90)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FCD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5.36(4.57-6.86)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837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6.29(4.88-6.91)</w:t>
            </w:r>
          </w:p>
        </w:tc>
      </w:tr>
      <w:tr w:rsidR="00BB1782" w:rsidRPr="00BB1782" w14:paraId="7B03883E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367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Albumin (g/L)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C9C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41.45(38.60-44.40)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A61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41.60(38.50-44.80)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83F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40.60(38.80-42.60)</w:t>
            </w:r>
          </w:p>
        </w:tc>
      </w:tr>
      <w:tr w:rsidR="00BB1782" w:rsidRPr="00BB1782" w14:paraId="576EC941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AE9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Prealbumin (mg/L</w:t>
            </w: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425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249.94(204.00-293.00)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72E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254.00(195.00-307.00)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CE1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249.94(233.00-249.94)</w:t>
            </w:r>
          </w:p>
        </w:tc>
      </w:tr>
      <w:tr w:rsidR="00BB1782" w:rsidRPr="00BB1782" w14:paraId="1D1161A2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BA5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CRP (mg/L)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CC3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3.11(1.00-9.47)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125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2.61(0.95-6.66)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EAC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6.69(1.85-15.88)</w:t>
            </w:r>
          </w:p>
        </w:tc>
      </w:tr>
      <w:tr w:rsidR="00BB1782" w:rsidRPr="00BB1782" w14:paraId="0302ECEE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441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Thyroid Function test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18B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8F5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412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BB1782" w:rsidRPr="00BB1782" w14:paraId="565A71C2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1AB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FT3 (</w:t>
            </w:r>
            <w:proofErr w:type="spellStart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pmol</w:t>
            </w:r>
            <w:proofErr w:type="spellEnd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9C9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4.64(4.14-5.30)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543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4.63(4.11-5.20)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D79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4.84(4.48-5.53)</w:t>
            </w:r>
          </w:p>
        </w:tc>
      </w:tr>
      <w:tr w:rsidR="00BB1782" w:rsidRPr="00BB1782" w14:paraId="266BDB03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038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FT4 (</w:t>
            </w:r>
            <w:proofErr w:type="spellStart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pmol</w:t>
            </w:r>
            <w:proofErr w:type="spellEnd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588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12.73(11.17-15.10)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5B9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12.54(10.84-15.05)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FDC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13.62(11.87-15.27)</w:t>
            </w:r>
          </w:p>
        </w:tc>
      </w:tr>
      <w:tr w:rsidR="00BB1782" w:rsidRPr="00BB1782" w14:paraId="32E2A141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CC5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TSH (</w:t>
            </w:r>
            <w:proofErr w:type="spellStart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uIU</w:t>
            </w:r>
            <w:proofErr w:type="spellEnd"/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/mL)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260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2.07(1.21-3.03)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E77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2.07(1.22-3.06)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4D1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2.03(1.15-2.61)</w:t>
            </w:r>
          </w:p>
        </w:tc>
      </w:tr>
      <w:tr w:rsidR="00BB1782" w:rsidRPr="00BB1782" w14:paraId="508BE500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FBC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CSF test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C25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29E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2F2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BB1782" w:rsidRPr="00BB1782" w14:paraId="3F5C68E8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182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Leucocyte (10^6/L)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54C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2.00(2.00-4.00)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6B3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2.00(2.00-4.00)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2DE3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3.00(2.00-6.00)</w:t>
            </w:r>
          </w:p>
        </w:tc>
      </w:tr>
      <w:tr w:rsidR="00BB1782" w:rsidRPr="00BB1782" w14:paraId="626E4BA6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677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Lymphocyte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429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66.00(58.00-70.00)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103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66.00(58.00-70.00)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15DA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65.00(60.00-70.00)</w:t>
            </w:r>
          </w:p>
        </w:tc>
      </w:tr>
      <w:tr w:rsidR="00BB1782" w:rsidRPr="00BB1782" w14:paraId="0389D1E5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F81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Monocyte (%)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93E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32.00(25.75-38.25)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B17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32.00(25.00-39.00)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E7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31.57(26.00-37.00)</w:t>
            </w:r>
          </w:p>
        </w:tc>
      </w:tr>
      <w:tr w:rsidR="00BB1782" w:rsidRPr="00BB1782" w14:paraId="683D2244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DF6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Protein (mg/L)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9E5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637.25(411.68-1072.25)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9DD1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631.00(423.00-1073.00)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1A7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681.70(384.80-1048.00)</w:t>
            </w:r>
          </w:p>
        </w:tc>
      </w:tr>
      <w:tr w:rsidR="00BB1782" w:rsidRPr="00BB1782" w14:paraId="54DCF93F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7F2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Glucose (mmol/L)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6C4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3.83(3.29-4.77)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43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3.66(3.19-4.60)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024D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4.55(3.96-5.09)</w:t>
            </w:r>
          </w:p>
        </w:tc>
      </w:tr>
      <w:tr w:rsidR="00BB1782" w:rsidRPr="00BB1782" w14:paraId="6065C439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C55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CSF albumin (mg/dL)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AA8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44.96(24.60-127.80)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6DB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42.97(24.79-135.00)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C970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55.07(22.25-127.80)</w:t>
            </w:r>
          </w:p>
        </w:tc>
      </w:tr>
      <w:tr w:rsidR="00BB1782" w:rsidRPr="00BB1782" w14:paraId="383F4A4D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A62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Serum albumin (mg/dL)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2CF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4328.50(3920.25-4749.50)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F6E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4376.00(4004.00-4769.00)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9B3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4006.00(3537.00-4590.00)</w:t>
            </w:r>
          </w:p>
        </w:tc>
      </w:tr>
      <w:tr w:rsidR="00BB1782" w:rsidRPr="00BB1782" w14:paraId="6949982D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4F5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lastRenderedPageBreak/>
              <w:t>CSF IgG (mg/dL)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947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13.83(5.56-34.91)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41A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13.95(5.42-34.23)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EB6E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12.24(7.14-63.25)</w:t>
            </w:r>
          </w:p>
        </w:tc>
      </w:tr>
      <w:tr w:rsidR="00BB1782" w:rsidRPr="00BB1782" w14:paraId="5F1D0C87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DF8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Serum IgG (mg/dL)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D89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1445.60(1011.50-3641.80)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3E2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1351.00(969.10-3703.00)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061C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2024.80(1141.90-3621.40)</w:t>
            </w:r>
          </w:p>
        </w:tc>
      </w:tr>
      <w:tr w:rsidR="00BB1782" w:rsidRPr="00BB1782" w14:paraId="4525ED39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8542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Albumin quotient (10^-3)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3C9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9.64(5.67-16.64)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8AB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9.71(5.43-16.39)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F6FB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10.71(6.36-18.44)</w:t>
            </w:r>
          </w:p>
        </w:tc>
      </w:tr>
      <w:tr w:rsidR="00BB1782" w:rsidRPr="00BB1782" w14:paraId="52ECFE57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8F14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IgG quotient (10^-3)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D74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7.02(3.66-14.46)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4636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7.02(3.68-14.61)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5EC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6.99(3.19-12.98)</w:t>
            </w:r>
          </w:p>
        </w:tc>
      </w:tr>
      <w:tr w:rsidR="00BB1782" w:rsidRPr="00BB1782" w14:paraId="5DB5A948" w14:textId="77777777" w:rsidTr="004079F5">
        <w:trPr>
          <w:trHeight w:val="278"/>
        </w:trPr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627B8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 xml:space="preserve">IgG index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AF0F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0.74(0.58-0.93)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EBDE5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0.79(0.63-0.98)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E629" w14:textId="77777777" w:rsidR="00BB1782" w:rsidRPr="00BB1782" w:rsidRDefault="00BB1782" w:rsidP="004079F5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</w:pPr>
            <w:r w:rsidRPr="00BB1782">
              <w:rPr>
                <w:rFonts w:ascii="Arial" w:eastAsia="等线" w:hAnsi="Arial" w:cs="Arial"/>
                <w:color w:val="auto"/>
                <w:kern w:val="0"/>
                <w:sz w:val="18"/>
                <w:szCs w:val="18"/>
              </w:rPr>
              <w:t>0.59(0.47-0.70)</w:t>
            </w:r>
          </w:p>
        </w:tc>
      </w:tr>
    </w:tbl>
    <w:p w14:paraId="1D2C08B3" w14:textId="77777777" w:rsidR="00BB1782" w:rsidRPr="00BB1782" w:rsidRDefault="00BB1782" w:rsidP="00BB1782">
      <w:pPr>
        <w:spacing w:line="480" w:lineRule="auto"/>
        <w:rPr>
          <w:rFonts w:ascii="Arial" w:hAnsi="Arial" w:cs="Arial"/>
          <w:color w:val="auto"/>
          <w:sz w:val="18"/>
          <w:szCs w:val="18"/>
        </w:rPr>
      </w:pPr>
      <w:r w:rsidRPr="00BB1782">
        <w:rPr>
          <w:rFonts w:ascii="Arial" w:hAnsi="Arial" w:cs="Arial"/>
          <w:color w:val="auto"/>
          <w:sz w:val="18"/>
          <w:szCs w:val="18"/>
        </w:rPr>
        <w:t xml:space="preserve">Notes: </w:t>
      </w:r>
    </w:p>
    <w:p w14:paraId="3D5670D4" w14:textId="77777777" w:rsidR="00BB1782" w:rsidRPr="00BB1782" w:rsidRDefault="00BB1782" w:rsidP="00BB1782">
      <w:pPr>
        <w:spacing w:line="480" w:lineRule="auto"/>
        <w:rPr>
          <w:rFonts w:ascii="Arial" w:hAnsi="Arial" w:cs="Arial"/>
          <w:color w:val="auto"/>
          <w:sz w:val="18"/>
          <w:szCs w:val="18"/>
        </w:rPr>
      </w:pPr>
      <w:r w:rsidRPr="00BB1782">
        <w:rPr>
          <w:rFonts w:ascii="Arial" w:hAnsi="Arial" w:cs="Arial"/>
          <w:color w:val="auto"/>
          <w:sz w:val="18"/>
          <w:szCs w:val="18"/>
        </w:rPr>
        <w:t xml:space="preserve">Abbreviations: GC, Glucocorticoids, IVIG, intravenous immunoglobulin, PE, plasma exchange, WBC, white blood cell, </w:t>
      </w:r>
      <w:r w:rsidRPr="00BB1782">
        <w:rPr>
          <w:rFonts w:ascii="Arial" w:eastAsia="宋体" w:hAnsi="Arial" w:cs="Arial"/>
          <w:color w:val="auto"/>
          <w:sz w:val="18"/>
          <w:szCs w:val="18"/>
        </w:rPr>
        <w:t xml:space="preserve">NLR, </w:t>
      </w:r>
      <w:bookmarkStart w:id="1" w:name="_Hlk161327406"/>
      <w:r w:rsidRPr="00BB1782">
        <w:rPr>
          <w:rFonts w:ascii="Arial" w:eastAsia="宋体" w:hAnsi="Arial" w:cs="Arial"/>
          <w:color w:val="auto"/>
          <w:sz w:val="18"/>
          <w:szCs w:val="18"/>
        </w:rPr>
        <w:t>neutrophil/lymphocyte ratio</w:t>
      </w:r>
      <w:bookmarkEnd w:id="1"/>
      <w:r w:rsidRPr="00BB1782">
        <w:rPr>
          <w:rFonts w:ascii="Arial" w:eastAsia="宋体" w:hAnsi="Arial" w:cs="Arial"/>
          <w:color w:val="auto"/>
          <w:sz w:val="18"/>
          <w:szCs w:val="18"/>
        </w:rPr>
        <w:t>,</w:t>
      </w:r>
      <w:r w:rsidRPr="00BB1782">
        <w:rPr>
          <w:rFonts w:ascii="Arial" w:hAnsi="Arial" w:cs="Arial"/>
          <w:color w:val="auto"/>
          <w:sz w:val="18"/>
          <w:szCs w:val="18"/>
        </w:rPr>
        <w:t xml:space="preserve"> CRP, C-reactive protein, FT3, Free triiodothyronine, FT4, Free thyroxin, TSH, thyroid-stimulating hormone, CSF, cerebrospinal fluid, IgG, immunoglobulin G</w:t>
      </w:r>
      <w:r w:rsidRPr="00BB1782">
        <w:rPr>
          <w:rFonts w:ascii="Arial" w:eastAsia="宋体" w:hAnsi="Arial" w:cs="Arial"/>
          <w:color w:val="auto"/>
          <w:sz w:val="18"/>
          <w:szCs w:val="18"/>
        </w:rPr>
        <w:t>.</w:t>
      </w:r>
    </w:p>
    <w:p w14:paraId="38333887" w14:textId="77777777" w:rsidR="00BB1782" w:rsidRPr="00BB1782" w:rsidRDefault="00BB1782" w:rsidP="00BB1782">
      <w:pPr>
        <w:spacing w:line="480" w:lineRule="auto"/>
        <w:rPr>
          <w:rStyle w:val="fontstyle01"/>
          <w:rFonts w:ascii="Arial" w:hAnsi="Arial" w:cs="Arial" w:hint="default"/>
          <w:color w:val="auto"/>
        </w:rPr>
      </w:pPr>
    </w:p>
    <w:p w14:paraId="289E29F6" w14:textId="77777777" w:rsidR="000239D4" w:rsidRPr="00BB1782" w:rsidRDefault="000239D4">
      <w:pPr>
        <w:rPr>
          <w:rFonts w:ascii="Arial" w:hAnsi="Arial" w:cs="Arial"/>
        </w:rPr>
      </w:pPr>
    </w:p>
    <w:sectPr w:rsidR="000239D4" w:rsidRPr="00BB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A4C3F" w14:textId="77777777" w:rsidR="00412CF0" w:rsidRDefault="00412CF0" w:rsidP="00BB1782">
      <w:r>
        <w:separator/>
      </w:r>
    </w:p>
  </w:endnote>
  <w:endnote w:type="continuationSeparator" w:id="0">
    <w:p w14:paraId="3494C2EC" w14:textId="77777777" w:rsidR="00412CF0" w:rsidRDefault="00412CF0" w:rsidP="00BB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F71DD" w14:textId="77777777" w:rsidR="00412CF0" w:rsidRDefault="00412CF0" w:rsidP="00BB1782">
      <w:r>
        <w:separator/>
      </w:r>
    </w:p>
  </w:footnote>
  <w:footnote w:type="continuationSeparator" w:id="0">
    <w:p w14:paraId="3599B2A3" w14:textId="77777777" w:rsidR="00412CF0" w:rsidRDefault="00412CF0" w:rsidP="00BB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D4"/>
    <w:rsid w:val="000239D4"/>
    <w:rsid w:val="00412CF0"/>
    <w:rsid w:val="00BB1782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9DD9F"/>
  <w15:chartTrackingRefBased/>
  <w15:docId w15:val="{5A956EAD-E808-437E-B55E-2EBBE9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82"/>
    <w:pPr>
      <w:widowControl w:val="0"/>
      <w:jc w:val="both"/>
    </w:pPr>
    <w:rPr>
      <w:rFonts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782"/>
    <w:pPr>
      <w:tabs>
        <w:tab w:val="center" w:pos="4153"/>
        <w:tab w:val="right" w:pos="8306"/>
      </w:tabs>
      <w:snapToGrid w:val="0"/>
      <w:jc w:val="center"/>
    </w:pPr>
    <w:rPr>
      <w:rFonts w:cstheme="minorBidi"/>
      <w:color w:val="auto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B1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782"/>
    <w:pPr>
      <w:tabs>
        <w:tab w:val="center" w:pos="4153"/>
        <w:tab w:val="right" w:pos="8306"/>
      </w:tabs>
      <w:snapToGrid w:val="0"/>
      <w:jc w:val="left"/>
    </w:pPr>
    <w:rPr>
      <w:rFonts w:cstheme="minorBidi"/>
      <w:color w:val="auto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B1782"/>
    <w:rPr>
      <w:sz w:val="18"/>
      <w:szCs w:val="18"/>
    </w:rPr>
  </w:style>
  <w:style w:type="character" w:customStyle="1" w:styleId="fontstyle01">
    <w:name w:val="fontstyle01"/>
    <w:basedOn w:val="a0"/>
    <w:qFormat/>
    <w:rsid w:val="00BB1782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Junshuang</dc:creator>
  <cp:keywords/>
  <dc:description/>
  <cp:lastModifiedBy>Guo Junshuang</cp:lastModifiedBy>
  <cp:revision>2</cp:revision>
  <dcterms:created xsi:type="dcterms:W3CDTF">2024-07-27T05:10:00Z</dcterms:created>
  <dcterms:modified xsi:type="dcterms:W3CDTF">2024-07-27T05:14:00Z</dcterms:modified>
</cp:coreProperties>
</file>