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FAF488">
      <w:pPr>
        <w:spacing w:line="480" w:lineRule="auto"/>
        <w:jc w:val="center"/>
        <w:rPr>
          <w:rFonts w:hint="default" w:ascii="Arial" w:hAnsi="Arial" w:cs="Arial"/>
          <w:b/>
          <w:bCs/>
          <w:sz w:val="24"/>
          <w:szCs w:val="24"/>
          <w:lang w:eastAsia="zh-CN"/>
        </w:rPr>
      </w:pPr>
      <w:r>
        <w:rPr>
          <w:rFonts w:hint="default" w:ascii="Arial" w:hAnsi="Arial" w:cs="Arial"/>
          <w:b/>
          <w:bCs/>
          <w:sz w:val="24"/>
          <w:szCs w:val="24"/>
          <w:lang w:eastAsia="zh-CN"/>
        </w:rPr>
        <w:t>Supplementary Figure</w:t>
      </w:r>
    </w:p>
    <w:p w14:paraId="5C537E49">
      <w:pPr>
        <w:jc w:val="both"/>
        <w:rPr>
          <w:rFonts w:hint="default" w:ascii="Arial" w:hAnsi="Arial" w:cs="Arial"/>
          <w:b/>
          <w:bCs/>
          <w:sz w:val="24"/>
          <w:szCs w:val="24"/>
          <w:lang w:eastAsia="zh-CN"/>
        </w:rPr>
      </w:pPr>
      <w:r>
        <w:rPr>
          <w:rFonts w:hint="default" w:ascii="Arial" w:hAnsi="Arial" w:cs="Arial"/>
          <w:b/>
          <w:bCs/>
          <w:sz w:val="24"/>
          <w:szCs w:val="24"/>
          <w:lang w:eastAsia="zh-CN"/>
        </w:rPr>
        <w:drawing>
          <wp:inline distT="0" distB="0" distL="114300" distR="114300">
            <wp:extent cx="5271135" cy="5427345"/>
            <wp:effectExtent l="0" t="0" r="12065" b="8255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904B">
      <w:pPr>
        <w:jc w:val="both"/>
        <w:rPr>
          <w:rFonts w:hint="default" w:ascii="Arial" w:hAnsi="Arial" w:cs="Arial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Arial" w:hAnsi="Arial" w:cs="Arial"/>
          <w:b w:val="0"/>
          <w:bCs w:val="0"/>
          <w:sz w:val="24"/>
          <w:szCs w:val="24"/>
          <w:lang w:val="en-US" w:eastAsia="zh-CN"/>
        </w:rPr>
        <w:t>Figure S1. EIF3D and EIF3L are related to the prognosis of COAD</w:t>
      </w:r>
      <w:bookmarkStart w:id="0" w:name="_GoBack"/>
      <w:bookmarkEnd w:id="0"/>
      <w:r>
        <w:rPr>
          <w:rFonts w:hint="eastAsia" w:ascii="Arial" w:hAnsi="Arial" w:cs="Arial"/>
          <w:b w:val="0"/>
          <w:bCs w:val="0"/>
          <w:sz w:val="24"/>
          <w:szCs w:val="24"/>
          <w:lang w:val="en-US" w:eastAsia="zh-CN"/>
        </w:rPr>
        <w:t>. EIF3D correlated with worse OS (A) and RFS (B) in COAD patients. EIF3L were associated with poorer OS (C) and RFS (D) in patients with COAD.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2ZGYzNzY3ODllYzkwYzZhYWNjMTY4MDM5MWRlYzQifQ=="/>
  </w:docVars>
  <w:rsids>
    <w:rsidRoot w:val="2D4602B5"/>
    <w:rsid w:val="05CC64B2"/>
    <w:rsid w:val="0EC341CA"/>
    <w:rsid w:val="22FB7F7F"/>
    <w:rsid w:val="254E66A8"/>
    <w:rsid w:val="2902118B"/>
    <w:rsid w:val="2D4602B5"/>
    <w:rsid w:val="3293788C"/>
    <w:rsid w:val="3E2B5757"/>
    <w:rsid w:val="425D392C"/>
    <w:rsid w:val="447C77DD"/>
    <w:rsid w:val="49DB003F"/>
    <w:rsid w:val="57F41DED"/>
    <w:rsid w:val="5D5B3FA4"/>
    <w:rsid w:val="618B3CA1"/>
    <w:rsid w:val="64534828"/>
    <w:rsid w:val="6AD95A7D"/>
    <w:rsid w:val="6FB645DF"/>
    <w:rsid w:val="71ED1E0E"/>
    <w:rsid w:val="75DC3786"/>
    <w:rsid w:val="7FEA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2024-08-10T04:11:00Z</dcterms:created>
  <dc:creator>author</dc:creator>
  <cp:lastModifiedBy>author</cp:lastModifiedBy>
  <dcterms:modified xsi:type="dcterms:W3CDTF">2024-08-10T04:17:20Z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210AB1658D65483B87FBD267E5E066DA_11</vt:lpwstr>
  </property>
</Properties>
</file>