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997FE" w14:textId="02771C70" w:rsidR="00A33497" w:rsidRPr="00155E6D" w:rsidRDefault="00E262C4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 w:rsidRPr="00155E6D">
        <w:rPr>
          <w:rFonts w:ascii="Times New Roman" w:hAnsi="Times New Roman" w:cs="Times New Roman"/>
          <w:sz w:val="28"/>
          <w:szCs w:val="28"/>
        </w:rPr>
        <w:t xml:space="preserve">Supplementary Information </w:t>
      </w:r>
    </w:p>
    <w:p w14:paraId="4E670C62" w14:textId="77777777" w:rsidR="00B72400" w:rsidRPr="00155E6D" w:rsidRDefault="00B72400" w:rsidP="00090606">
      <w:pPr>
        <w:pStyle w:val="a9"/>
        <w:spacing w:line="48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55E6D">
        <w:rPr>
          <w:rFonts w:ascii="Times New Roman" w:hAnsi="Times New Roman" w:cs="Times New Roman"/>
          <w:b/>
          <w:bCs/>
          <w:sz w:val="28"/>
          <w:szCs w:val="28"/>
          <w:lang w:val="en-US"/>
        </w:rPr>
        <w:t>Survival, proliferation and transcriptomic analysis of vascular endothelial cell culture in hydroxyapatite nanoparticles with different geometry</w:t>
      </w:r>
    </w:p>
    <w:p w14:paraId="1F925B45" w14:textId="77777777" w:rsidR="000A48E6" w:rsidRPr="000A48E6" w:rsidRDefault="000A48E6" w:rsidP="000A48E6">
      <w:pPr>
        <w:rPr>
          <w:rFonts w:ascii="Times New Roman" w:eastAsiaTheme="majorEastAsia" w:hAnsi="Times New Roman" w:cs="Times New Roman"/>
          <w:i/>
          <w:iCs/>
          <w:spacing w:val="13"/>
          <w:kern w:val="0"/>
          <w:sz w:val="28"/>
          <w:szCs w:val="28"/>
        </w:rPr>
      </w:pPr>
      <w:proofErr w:type="spellStart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W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</w:rPr>
        <w:t>eitang</w:t>
      </w:r>
      <w:proofErr w:type="spellEnd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 xml:space="preserve"> Sun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  <w:vertAlign w:val="superscript"/>
        </w:rPr>
        <w:t>1</w:t>
      </w:r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 xml:space="preserve">, </w:t>
      </w:r>
      <w:proofErr w:type="spellStart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Jingbin</w:t>
      </w:r>
      <w:proofErr w:type="spellEnd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  <w:lang w:val="en-GB"/>
        </w:rPr>
        <w:t xml:space="preserve"> Zhong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  <w:vertAlign w:val="superscript"/>
        </w:rPr>
        <w:t>1</w:t>
      </w:r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,</w:t>
      </w:r>
      <w:r w:rsidRPr="000A48E6">
        <w:rPr>
          <w:rFonts w:ascii="Times New Roman" w:eastAsiaTheme="majorEastAsia" w:hAnsi="Times New Roman" w:cs="Times New Roman"/>
          <w:i/>
          <w:iCs/>
          <w:spacing w:val="13"/>
          <w:kern w:val="0"/>
          <w:sz w:val="28"/>
          <w:szCs w:val="28"/>
        </w:rPr>
        <w:t xml:space="preserve"> </w:t>
      </w:r>
      <w:proofErr w:type="spellStart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Buyun</w:t>
      </w:r>
      <w:proofErr w:type="spellEnd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 xml:space="preserve"> Gao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  <w:vertAlign w:val="superscript"/>
        </w:rPr>
        <w:t>2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</w:rPr>
        <w:t>,</w:t>
      </w:r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 xml:space="preserve"> </w:t>
      </w:r>
      <w:proofErr w:type="spellStart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Jieling</w:t>
      </w:r>
      <w:proofErr w:type="spellEnd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 xml:space="preserve"> Feng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  <w:vertAlign w:val="superscript"/>
        </w:rPr>
        <w:t>1</w:t>
      </w:r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 xml:space="preserve">, </w:t>
      </w:r>
      <w:proofErr w:type="spellStart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Zijie</w:t>
      </w:r>
      <w:proofErr w:type="spellEnd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 xml:space="preserve"> Ye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  <w:vertAlign w:val="superscript"/>
        </w:rPr>
        <w:t>1</w:t>
      </w:r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, Yueling Lin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  <w:vertAlign w:val="superscript"/>
        </w:rPr>
        <w:t>3</w:t>
      </w:r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, Kelan Zhang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  <w:vertAlign w:val="superscript"/>
        </w:rPr>
        <w:t>3</w:t>
      </w:r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 xml:space="preserve">, </w:t>
      </w:r>
      <w:proofErr w:type="spellStart"/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</w:rPr>
        <w:t>Wenqi</w:t>
      </w:r>
      <w:proofErr w:type="spellEnd"/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</w:rPr>
        <w:t xml:space="preserve"> Su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  <w:vertAlign w:val="superscript"/>
        </w:rPr>
        <w:t>3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</w:rPr>
        <w:t xml:space="preserve">, </w:t>
      </w:r>
      <w:proofErr w:type="spellStart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Shibo</w:t>
      </w:r>
      <w:proofErr w:type="spellEnd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 xml:space="preserve"> Zhu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  <w:vertAlign w:val="superscript"/>
        </w:rPr>
        <w:t>1</w:t>
      </w:r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,</w:t>
      </w:r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  <w:lang w:val="en-GB"/>
        </w:rPr>
        <w:t xml:space="preserve"> </w:t>
      </w:r>
      <w:proofErr w:type="spellStart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Yinghua</w:t>
      </w:r>
      <w:proofErr w:type="spellEnd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 xml:space="preserve"> Li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  <w:vertAlign w:val="superscript"/>
        </w:rPr>
        <w:t>4</w:t>
      </w:r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  <w:lang w:val="en-GB"/>
        </w:rPr>
        <w:t xml:space="preserve">, and </w:t>
      </w:r>
      <w:bookmarkStart w:id="0" w:name="_Hlk161678386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Wei Jia</w:t>
      </w:r>
      <w:bookmarkEnd w:id="0"/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  <w:vertAlign w:val="superscript"/>
        </w:rPr>
        <w:t xml:space="preserve"> </w:t>
      </w:r>
      <w:r w:rsidRPr="000A48E6">
        <w:rPr>
          <w:rFonts w:ascii="Times New Roman" w:eastAsiaTheme="majorEastAsia" w:hAnsi="Times New Roman" w:cs="Times New Roman"/>
          <w:bCs/>
          <w:i/>
          <w:iCs/>
          <w:spacing w:val="13"/>
          <w:kern w:val="0"/>
          <w:sz w:val="28"/>
          <w:szCs w:val="28"/>
        </w:rPr>
        <w:t>*</w:t>
      </w:r>
      <w:r w:rsidRPr="000A48E6">
        <w:rPr>
          <w:rFonts w:ascii="Times New Roman" w:eastAsiaTheme="majorEastAsia" w:hAnsi="Times New Roman" w:cs="Times New Roman" w:hint="eastAsia"/>
          <w:bCs/>
          <w:i/>
          <w:iCs/>
          <w:spacing w:val="13"/>
          <w:kern w:val="0"/>
          <w:sz w:val="28"/>
          <w:szCs w:val="28"/>
          <w:vertAlign w:val="superscript"/>
        </w:rPr>
        <w:t>1</w:t>
      </w:r>
    </w:p>
    <w:p w14:paraId="207ADCB2" w14:textId="5A1345B0" w:rsidR="00155E6D" w:rsidRPr="00FC5722" w:rsidRDefault="00155E6D" w:rsidP="00155E6D">
      <w:pPr>
        <w:rPr>
          <w:lang w:bidi="ar"/>
        </w:rPr>
      </w:pPr>
      <w:r w:rsidRPr="00D2306A">
        <w:rPr>
          <w:rFonts w:ascii="Times New Roman" w:hAnsi="Times New Roman" w:cs="Times New Roman"/>
          <w:sz w:val="28"/>
          <w:szCs w:val="28"/>
          <w:lang w:val="it" w:bidi="ar"/>
        </w:rPr>
        <w:t xml:space="preserve">*, </w:t>
      </w:r>
      <w:r w:rsidRPr="00951B4D">
        <w:rPr>
          <w:rFonts w:ascii="Times New Roman" w:hAnsi="Times New Roman" w:cs="Times New Roman"/>
          <w:sz w:val="28"/>
          <w:szCs w:val="28"/>
          <w:lang w:val="it" w:bidi="ar"/>
        </w:rPr>
        <w:t>Corresponding author</w:t>
      </w:r>
    </w:p>
    <w:p w14:paraId="1854183E" w14:textId="77777777" w:rsidR="000A48E6" w:rsidRPr="000A48E6" w:rsidRDefault="000A48E6" w:rsidP="000A48E6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4"/>
          <w:lang w:eastAsia="en-US"/>
        </w:rPr>
      </w:pPr>
      <w:r w:rsidRPr="000A48E6"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  <w:t>1</w:t>
      </w:r>
      <w:r w:rsidRPr="000A48E6">
        <w:rPr>
          <w:rFonts w:ascii="Arial" w:eastAsia="等线" w:hAnsi="Arial" w:cs="Times New Roman"/>
          <w:kern w:val="0"/>
          <w:sz w:val="20"/>
          <w:szCs w:val="24"/>
          <w:lang w:eastAsia="en-US"/>
        </w:rPr>
        <w:t xml:space="preserve"> Department of Pediatric Urology, Guangzhou Women and Children's Medical Center, Guangzhou Medical University, China;</w:t>
      </w:r>
    </w:p>
    <w:p w14:paraId="6D32D10C" w14:textId="77777777" w:rsidR="000A48E6" w:rsidRPr="000A48E6" w:rsidRDefault="000A48E6" w:rsidP="000A48E6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4"/>
        </w:rPr>
      </w:pPr>
      <w:r w:rsidRPr="000A48E6"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  <w:t>2</w:t>
      </w:r>
      <w:r w:rsidRPr="000A48E6">
        <w:rPr>
          <w:rFonts w:ascii="Arial" w:eastAsia="等线" w:hAnsi="Arial" w:cs="Times New Roman" w:hint="eastAsia"/>
          <w:kern w:val="0"/>
          <w:sz w:val="20"/>
          <w:szCs w:val="20"/>
          <w:vertAlign w:val="superscript"/>
        </w:rPr>
        <w:t xml:space="preserve"> </w:t>
      </w:r>
      <w:r w:rsidRPr="000A48E6">
        <w:rPr>
          <w:rFonts w:ascii="Arial" w:eastAsia="等线" w:hAnsi="Arial" w:cs="Times New Roman"/>
          <w:kern w:val="0"/>
          <w:sz w:val="20"/>
          <w:szCs w:val="24"/>
          <w:lang w:eastAsia="en-US"/>
        </w:rPr>
        <w:t>School of Pharmacy, Fudan University</w:t>
      </w:r>
      <w:r w:rsidRPr="000A48E6">
        <w:rPr>
          <w:rFonts w:ascii="Arial" w:eastAsia="等线" w:hAnsi="Arial" w:cs="Times New Roman" w:hint="eastAsia"/>
          <w:kern w:val="0"/>
          <w:sz w:val="20"/>
          <w:szCs w:val="24"/>
        </w:rPr>
        <w:t>, China;</w:t>
      </w:r>
    </w:p>
    <w:p w14:paraId="518AA0FC" w14:textId="77777777" w:rsidR="000A48E6" w:rsidRPr="000A48E6" w:rsidRDefault="000A48E6" w:rsidP="000A48E6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4"/>
        </w:rPr>
      </w:pPr>
      <w:r w:rsidRPr="000A48E6">
        <w:rPr>
          <w:rFonts w:ascii="Arial" w:eastAsia="等线" w:hAnsi="Arial" w:cs="Times New Roman" w:hint="eastAsia"/>
          <w:kern w:val="0"/>
          <w:sz w:val="20"/>
          <w:szCs w:val="20"/>
          <w:vertAlign w:val="superscript"/>
        </w:rPr>
        <w:t xml:space="preserve">3 </w:t>
      </w:r>
      <w:r w:rsidRPr="000A48E6">
        <w:rPr>
          <w:rFonts w:ascii="Arial" w:eastAsia="等线" w:hAnsi="Arial" w:cs="Times New Roman"/>
          <w:kern w:val="0"/>
          <w:sz w:val="20"/>
          <w:szCs w:val="24"/>
          <w:lang w:eastAsia="en-US"/>
        </w:rPr>
        <w:t>Institute of Pediatrics, Guangzhou Women and Children's Medical Center, Guangzhou Medical University, China</w:t>
      </w:r>
      <w:r w:rsidRPr="000A48E6">
        <w:rPr>
          <w:rFonts w:ascii="Arial" w:eastAsia="等线" w:hAnsi="Arial" w:cs="Times New Roman" w:hint="eastAsia"/>
          <w:kern w:val="0"/>
          <w:sz w:val="20"/>
          <w:szCs w:val="24"/>
        </w:rPr>
        <w:t>;</w:t>
      </w:r>
    </w:p>
    <w:p w14:paraId="4E4EC57A" w14:textId="77777777" w:rsidR="000A48E6" w:rsidRPr="000A48E6" w:rsidRDefault="000A48E6" w:rsidP="000A48E6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4"/>
        </w:rPr>
      </w:pPr>
      <w:r w:rsidRPr="000A48E6">
        <w:rPr>
          <w:rFonts w:ascii="Arial" w:eastAsia="等线" w:hAnsi="Arial" w:cs="Times New Roman" w:hint="eastAsia"/>
          <w:kern w:val="0"/>
          <w:sz w:val="20"/>
          <w:szCs w:val="20"/>
          <w:vertAlign w:val="superscript"/>
        </w:rPr>
        <w:t xml:space="preserve">4 </w:t>
      </w:r>
      <w:r w:rsidRPr="000A48E6">
        <w:rPr>
          <w:rFonts w:ascii="Arial" w:eastAsia="等线" w:hAnsi="Arial" w:cs="Times New Roman"/>
          <w:kern w:val="0"/>
          <w:sz w:val="20"/>
          <w:szCs w:val="24"/>
          <w:lang w:eastAsia="en-US"/>
        </w:rPr>
        <w:t>Center Laboratory, Guangzhou Women and Children's Medical Center, Guangzhou Medical University, Guangzhou, China</w:t>
      </w:r>
      <w:r w:rsidRPr="000A48E6">
        <w:rPr>
          <w:rFonts w:ascii="Arial" w:eastAsia="等线" w:hAnsi="Arial" w:cs="Times New Roman" w:hint="eastAsia"/>
          <w:kern w:val="0"/>
          <w:sz w:val="20"/>
          <w:szCs w:val="24"/>
        </w:rPr>
        <w:t>;</w:t>
      </w:r>
    </w:p>
    <w:p w14:paraId="0ADF202B" w14:textId="77777777" w:rsidR="00A33497" w:rsidRPr="000A48E6" w:rsidRDefault="00A33497" w:rsidP="00090606">
      <w:pPr>
        <w:pStyle w:val="ac"/>
        <w:spacing w:line="480" w:lineRule="auto"/>
        <w:ind w:left="361" w:hangingChars="129" w:hanging="361"/>
        <w:rPr>
          <w:rFonts w:ascii="Times New Roman" w:hAnsi="Times New Roman" w:cs="Times New Roman"/>
          <w:sz w:val="28"/>
          <w:szCs w:val="28"/>
          <w:lang w:val="en-US"/>
        </w:rPr>
      </w:pPr>
    </w:p>
    <w:p w14:paraId="402380E0" w14:textId="3C44B3E8" w:rsidR="00A33497" w:rsidRDefault="00FA531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635088D" wp14:editId="18B94E66">
            <wp:extent cx="5274310" cy="4554855"/>
            <wp:effectExtent l="0" t="0" r="0" b="0"/>
            <wp:docPr id="19564209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20932" name="图片 19564209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E1ED" w14:textId="12044910" w:rsidR="00A33497" w:rsidRPr="00155E6D" w:rsidRDefault="00145119" w:rsidP="0009060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S1. Physical characteristics of rods and spheres HAPNs. </w:t>
      </w:r>
      <w:r w:rsidR="00E262C4" w:rsidRPr="00155E6D">
        <w:rPr>
          <w:rFonts w:ascii="Times New Roman" w:hAnsi="Times New Roman" w:cs="Times New Roman"/>
          <w:sz w:val="28"/>
          <w:szCs w:val="28"/>
        </w:rPr>
        <w:t>A, Digital photographs of</w:t>
      </w:r>
      <w:bookmarkStart w:id="1" w:name="_Hlk133225584"/>
      <w:r w:rsidR="00E262C4" w:rsidRPr="00155E6D">
        <w:rPr>
          <w:rFonts w:ascii="Times New Roman" w:hAnsi="Times New Roman" w:cs="Times New Roman"/>
          <w:sz w:val="28"/>
          <w:szCs w:val="28"/>
        </w:rPr>
        <w:t xml:space="preserve"> rods and spheres HAPNs </w:t>
      </w:r>
      <w:bookmarkEnd w:id="1"/>
      <w:r w:rsidR="00E262C4" w:rsidRPr="00155E6D">
        <w:rPr>
          <w:rFonts w:ascii="Times New Roman" w:hAnsi="Times New Roman" w:cs="Times New Roman"/>
          <w:sz w:val="28"/>
          <w:szCs w:val="28"/>
        </w:rPr>
        <w:t xml:space="preserve">dispersed in saline (left panel) and DMEM (right panel). The concentrations range from left to right are: 2 </w:t>
      </w:r>
      <w:proofErr w:type="spellStart"/>
      <w:r w:rsidR="00E262C4" w:rsidRPr="00155E6D">
        <w:rPr>
          <w:rFonts w:ascii="Times New Roman" w:eastAsiaTheme="minorHAnsi" w:hAnsi="Times New Roman" w:cs="Times New Roman"/>
          <w:sz w:val="28"/>
          <w:szCs w:val="28"/>
        </w:rPr>
        <w:t>μ</w:t>
      </w:r>
      <w:r w:rsidR="00E262C4" w:rsidRPr="00155E6D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E262C4" w:rsidRPr="00155E6D">
        <w:rPr>
          <w:rFonts w:ascii="Times New Roman" w:hAnsi="Times New Roman" w:cs="Times New Roman"/>
          <w:sz w:val="28"/>
          <w:szCs w:val="28"/>
        </w:rPr>
        <w:t xml:space="preserve">, 20 </w:t>
      </w:r>
      <w:proofErr w:type="spellStart"/>
      <w:r w:rsidR="00E262C4" w:rsidRPr="00155E6D">
        <w:rPr>
          <w:rFonts w:ascii="Times New Roman" w:eastAsiaTheme="minorHAnsi" w:hAnsi="Times New Roman" w:cs="Times New Roman"/>
          <w:sz w:val="28"/>
          <w:szCs w:val="28"/>
        </w:rPr>
        <w:t>μ</w:t>
      </w:r>
      <w:r w:rsidR="00E262C4" w:rsidRPr="00155E6D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E262C4" w:rsidRPr="00155E6D">
        <w:rPr>
          <w:rFonts w:ascii="Times New Roman" w:hAnsi="Times New Roman" w:cs="Times New Roman"/>
          <w:sz w:val="28"/>
          <w:szCs w:val="28"/>
        </w:rPr>
        <w:t xml:space="preserve">, 100 </w:t>
      </w:r>
      <w:proofErr w:type="spellStart"/>
      <w:r w:rsidR="00E262C4" w:rsidRPr="00155E6D">
        <w:rPr>
          <w:rFonts w:ascii="Times New Roman" w:eastAsiaTheme="minorHAnsi" w:hAnsi="Times New Roman" w:cs="Times New Roman"/>
          <w:sz w:val="28"/>
          <w:szCs w:val="28"/>
        </w:rPr>
        <w:t>μ</w:t>
      </w:r>
      <w:r w:rsidR="00E262C4" w:rsidRPr="00155E6D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E262C4" w:rsidRPr="00155E6D">
        <w:rPr>
          <w:rFonts w:ascii="Times New Roman" w:hAnsi="Times New Roman" w:cs="Times New Roman"/>
          <w:sz w:val="28"/>
          <w:szCs w:val="28"/>
        </w:rPr>
        <w:t xml:space="preserve">, 200 </w:t>
      </w:r>
      <w:proofErr w:type="spellStart"/>
      <w:r w:rsidR="00E262C4" w:rsidRPr="00155E6D">
        <w:rPr>
          <w:rFonts w:ascii="Times New Roman" w:eastAsiaTheme="minorHAnsi" w:hAnsi="Times New Roman" w:cs="Times New Roman"/>
          <w:sz w:val="28"/>
          <w:szCs w:val="28"/>
        </w:rPr>
        <w:t>μ</w:t>
      </w:r>
      <w:r w:rsidR="00E262C4" w:rsidRPr="00155E6D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E262C4" w:rsidRPr="00155E6D">
        <w:rPr>
          <w:rFonts w:ascii="Times New Roman" w:hAnsi="Times New Roman" w:cs="Times New Roman"/>
          <w:sz w:val="28"/>
          <w:szCs w:val="28"/>
        </w:rPr>
        <w:t xml:space="preserve">, 500 </w:t>
      </w:r>
      <w:proofErr w:type="spellStart"/>
      <w:r w:rsidR="00E262C4" w:rsidRPr="00155E6D">
        <w:rPr>
          <w:rFonts w:ascii="Times New Roman" w:eastAsiaTheme="minorHAnsi" w:hAnsi="Times New Roman" w:cs="Times New Roman"/>
          <w:sz w:val="28"/>
          <w:szCs w:val="28"/>
        </w:rPr>
        <w:t>μ</w:t>
      </w:r>
      <w:r w:rsidR="00E262C4" w:rsidRPr="00155E6D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E262C4" w:rsidRPr="00155E6D">
        <w:rPr>
          <w:rFonts w:ascii="Times New Roman" w:hAnsi="Times New Roman" w:cs="Times New Roman"/>
          <w:sz w:val="28"/>
          <w:szCs w:val="28"/>
        </w:rPr>
        <w:t xml:space="preserve">, 1000 </w:t>
      </w:r>
      <w:proofErr w:type="spellStart"/>
      <w:r w:rsidR="00E262C4" w:rsidRPr="00155E6D">
        <w:rPr>
          <w:rFonts w:ascii="Times New Roman" w:eastAsiaTheme="minorHAnsi" w:hAnsi="Times New Roman" w:cs="Times New Roman"/>
          <w:sz w:val="28"/>
          <w:szCs w:val="28"/>
        </w:rPr>
        <w:t>μ</w:t>
      </w:r>
      <w:r w:rsidR="00E262C4" w:rsidRPr="00155E6D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E262C4" w:rsidRPr="00155E6D">
        <w:rPr>
          <w:rFonts w:ascii="Times New Roman" w:hAnsi="Times New Roman" w:cs="Times New Roman"/>
          <w:sz w:val="28"/>
          <w:szCs w:val="28"/>
        </w:rPr>
        <w:t xml:space="preserve">, and 2000 </w:t>
      </w:r>
      <w:proofErr w:type="spellStart"/>
      <w:r w:rsidR="00E262C4" w:rsidRPr="00155E6D">
        <w:rPr>
          <w:rFonts w:ascii="Times New Roman" w:eastAsiaTheme="minorHAnsi" w:hAnsi="Times New Roman" w:cs="Times New Roman"/>
          <w:sz w:val="28"/>
          <w:szCs w:val="28"/>
        </w:rPr>
        <w:t>μ</w:t>
      </w:r>
      <w:r w:rsidR="00E262C4" w:rsidRPr="00155E6D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="00E262C4" w:rsidRPr="00155E6D">
        <w:rPr>
          <w:rFonts w:ascii="Times New Roman" w:hAnsi="Times New Roman" w:cs="Times New Roman"/>
          <w:sz w:val="28"/>
          <w:szCs w:val="28"/>
        </w:rPr>
        <w:t>, respectively. B, Representative BET isotherm linear plot of rods and spheres HAPNs. Experiments were treated three times. C, Representative zeta potential of rods and spheres HAPNs. Experiments were</w:t>
      </w:r>
      <w:r w:rsidR="00F1357E" w:rsidRPr="00155E6D">
        <w:rPr>
          <w:rFonts w:ascii="Times New Roman" w:hAnsi="Times New Roman" w:cs="Times New Roman"/>
          <w:sz w:val="28"/>
          <w:szCs w:val="28"/>
        </w:rPr>
        <w:t xml:space="preserve"> repeat</w:t>
      </w:r>
      <w:r w:rsidR="00E262C4" w:rsidRPr="00155E6D">
        <w:rPr>
          <w:rFonts w:ascii="Times New Roman" w:hAnsi="Times New Roman" w:cs="Times New Roman"/>
          <w:sz w:val="28"/>
          <w:szCs w:val="28"/>
        </w:rPr>
        <w:t>ed three times.</w:t>
      </w:r>
    </w:p>
    <w:p w14:paraId="6ECEFEB0" w14:textId="12BD5A29" w:rsidR="00A33497" w:rsidRDefault="00A33497" w:rsidP="00090606">
      <w:pPr>
        <w:spacing w:line="480" w:lineRule="auto"/>
      </w:pPr>
    </w:p>
    <w:p w14:paraId="41485F84" w14:textId="6246A18E" w:rsidR="00A33497" w:rsidRDefault="001A5862" w:rsidP="00156430">
      <w:pPr>
        <w:jc w:val="center"/>
      </w:pPr>
      <w:r>
        <w:rPr>
          <w:noProof/>
        </w:rPr>
        <w:lastRenderedPageBreak/>
        <w:drawing>
          <wp:inline distT="0" distB="0" distL="0" distR="0" wp14:anchorId="76918D56" wp14:editId="6B80E0C3">
            <wp:extent cx="5040000" cy="5576403"/>
            <wp:effectExtent l="0" t="0" r="8255" b="0"/>
            <wp:docPr id="1409284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84909" name="图片 14092849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57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529F7" w14:textId="4973A721" w:rsidR="00A33497" w:rsidRPr="00155E6D" w:rsidRDefault="00145119" w:rsidP="0009060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A5F66" w:rsidRPr="00155E6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262C4" w:rsidRPr="00155E6D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 vitro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 isolation, culture and identification of HUVECs.</w:t>
      </w:r>
      <w:r w:rsidR="00E262C4" w:rsidRPr="00155E6D">
        <w:rPr>
          <w:rFonts w:ascii="Times New Roman" w:hAnsi="Times New Roman" w:cs="Times New Roman"/>
          <w:sz w:val="28"/>
          <w:szCs w:val="28"/>
        </w:rPr>
        <w:t xml:space="preserve"> A, Representative immunofluorescence staining of primary HUVECs staining of CD31 (upper panel) and VWF (lower panel). Images are fluorescence micrographs of the nucleus (Hoechst, blue), F-</w:t>
      </w:r>
      <w:proofErr w:type="spellStart"/>
      <w:r w:rsidR="00E262C4" w:rsidRPr="00155E6D">
        <w:rPr>
          <w:rFonts w:ascii="Times New Roman" w:hAnsi="Times New Roman" w:cs="Times New Roman"/>
          <w:sz w:val="28"/>
          <w:szCs w:val="28"/>
        </w:rPr>
        <w:t>actin</w:t>
      </w:r>
      <w:proofErr w:type="spellEnd"/>
      <w:r w:rsidR="00E262C4" w:rsidRPr="00155E6D">
        <w:rPr>
          <w:rFonts w:ascii="Times New Roman" w:hAnsi="Times New Roman" w:cs="Times New Roman"/>
          <w:sz w:val="28"/>
          <w:szCs w:val="28"/>
        </w:rPr>
        <w:t xml:space="preserve"> network (FITC-phalloidin, green) and VECs-specific markers CD31, VWF (Cy3, red). Growth curves of cultured HUVECs at 0, 2, 4, 6 and 8 days. The inset in B showed the bright field of HUVEC monolayer. Scale bar: A, 20 </w:t>
      </w:r>
      <w:proofErr w:type="spellStart"/>
      <w:r w:rsidR="00E262C4" w:rsidRPr="00155E6D">
        <w:rPr>
          <w:rFonts w:ascii="Times New Roman" w:hAnsi="Times New Roman" w:cs="Times New Roman"/>
          <w:sz w:val="28"/>
          <w:szCs w:val="28"/>
        </w:rPr>
        <w:t>μm</w:t>
      </w:r>
      <w:proofErr w:type="spellEnd"/>
      <w:r w:rsidR="00E262C4" w:rsidRPr="00155E6D">
        <w:rPr>
          <w:rFonts w:ascii="Times New Roman" w:hAnsi="Times New Roman" w:cs="Times New Roman"/>
          <w:sz w:val="28"/>
          <w:szCs w:val="28"/>
        </w:rPr>
        <w:t xml:space="preserve">; B, 200 </w:t>
      </w:r>
      <w:proofErr w:type="spellStart"/>
      <w:r w:rsidR="00E262C4" w:rsidRPr="00155E6D">
        <w:rPr>
          <w:rFonts w:ascii="Times New Roman" w:hAnsi="Times New Roman" w:cs="Times New Roman"/>
          <w:sz w:val="28"/>
          <w:szCs w:val="28"/>
        </w:rPr>
        <w:t>μm</w:t>
      </w:r>
      <w:proofErr w:type="spellEnd"/>
      <w:r w:rsidR="00E262C4" w:rsidRPr="00155E6D">
        <w:rPr>
          <w:rFonts w:ascii="Times New Roman" w:hAnsi="Times New Roman" w:cs="Times New Roman"/>
          <w:sz w:val="28"/>
          <w:szCs w:val="28"/>
        </w:rPr>
        <w:t>.</w:t>
      </w:r>
    </w:p>
    <w:p w14:paraId="507D72D4" w14:textId="77777777" w:rsidR="00A33497" w:rsidRDefault="00E262C4">
      <w:pPr>
        <w:jc w:val="center"/>
      </w:pPr>
      <w:r>
        <w:rPr>
          <w:noProof/>
        </w:rPr>
        <w:lastRenderedPageBreak/>
        <w:drawing>
          <wp:inline distT="0" distB="0" distL="0" distR="0" wp14:anchorId="08E9C3DF" wp14:editId="3B6071A1">
            <wp:extent cx="3960000" cy="5338325"/>
            <wp:effectExtent l="0" t="0" r="2540" b="0"/>
            <wp:docPr id="244932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32269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3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00E9" w14:textId="74DF7F4B" w:rsidR="00A33497" w:rsidRPr="00155E6D" w:rsidRDefault="00145119" w:rsidP="0009060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A5F66" w:rsidRPr="00155E6D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262C4" w:rsidRPr="00155E6D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Gene expression patterns of </w:t>
      </w:r>
      <w:r w:rsidR="00E262C4" w:rsidRPr="00155E6D">
        <w:rPr>
          <w:rFonts w:ascii="Times New Roman" w:hAnsi="Times New Roman" w:cs="Times New Roman"/>
          <w:b/>
          <w:sz w:val="28"/>
          <w:szCs w:val="28"/>
        </w:rPr>
        <w:t>the tested samples</w:t>
      </w:r>
      <w:r w:rsidR="00E262C4" w:rsidRPr="00155E6D">
        <w:rPr>
          <w:rFonts w:ascii="Times New Roman" w:hAnsi="Times New Roman" w:cs="Times New Roman" w:hint="eastAsia"/>
          <w:b/>
          <w:sz w:val="28"/>
          <w:szCs w:val="28"/>
        </w:rPr>
        <w:t>.</w:t>
      </w:r>
      <w:r w:rsidR="00E262C4" w:rsidRPr="00155E6D">
        <w:rPr>
          <w:rFonts w:ascii="Times New Roman" w:hAnsi="Times New Roman" w:cs="Times New Roman" w:hint="eastAsia"/>
          <w:sz w:val="28"/>
          <w:szCs w:val="28"/>
        </w:rPr>
        <w:t xml:space="preserve"> A</w:t>
      </w:r>
      <w:r w:rsidR="00E262C4" w:rsidRPr="00155E6D">
        <w:rPr>
          <w:rFonts w:ascii="Times New Roman" w:hAnsi="Times New Roman" w:cs="Times New Roman"/>
          <w:sz w:val="28"/>
          <w:szCs w:val="28"/>
        </w:rPr>
        <w:t xml:space="preserve">, DEG numbers of rods or spheres HAPN-treated HUVEC monolayer compared with controlled HUVEC monolayer as well as spheres HAPN-treated HUVEC monolayer compared with rods HAPN-treated HUVEC monolayer. </w:t>
      </w:r>
      <w:r w:rsidR="00E262C4" w:rsidRPr="00155E6D">
        <w:rPr>
          <w:rFonts w:ascii="Times New Roman" w:hAnsi="Times New Roman" w:cs="Times New Roman" w:hint="eastAsia"/>
          <w:sz w:val="28"/>
          <w:szCs w:val="28"/>
        </w:rPr>
        <w:t>B</w:t>
      </w:r>
      <w:r w:rsidR="00E262C4" w:rsidRPr="00155E6D">
        <w:rPr>
          <w:rFonts w:ascii="Times New Roman" w:hAnsi="Times New Roman" w:cs="Times New Roman"/>
          <w:sz w:val="28"/>
          <w:szCs w:val="28"/>
        </w:rPr>
        <w:t xml:space="preserve">, Box diagram of DEGs between rods or spheres HAPN-treated HUVEC monolayer compared with controlled HUVEC monolayer. Data are displayed as mean ± S.D. (n = 3). Statistical difference was analyzed via two-tailed Student’s </w:t>
      </w:r>
      <w:r w:rsidR="00E262C4" w:rsidRPr="00155E6D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="00E262C4" w:rsidRPr="00155E6D">
        <w:rPr>
          <w:rFonts w:ascii="Times New Roman" w:hAnsi="Times New Roman" w:cs="Times New Roman"/>
          <w:sz w:val="28"/>
          <w:szCs w:val="28"/>
        </w:rPr>
        <w:t>-test. *</w:t>
      </w:r>
      <w:r w:rsidR="00E262C4" w:rsidRPr="00155E6D">
        <w:rPr>
          <w:rFonts w:ascii="Times New Roman" w:hAnsi="Times New Roman" w:cs="Times New Roman"/>
          <w:i/>
          <w:iCs/>
          <w:sz w:val="28"/>
          <w:szCs w:val="28"/>
        </w:rPr>
        <w:t xml:space="preserve">p </w:t>
      </w:r>
      <w:r w:rsidR="00E262C4" w:rsidRPr="00155E6D">
        <w:rPr>
          <w:rFonts w:ascii="Times New Roman" w:hAnsi="Times New Roman" w:cs="Times New Roman"/>
          <w:sz w:val="28"/>
          <w:szCs w:val="28"/>
        </w:rPr>
        <w:t>&lt; 0.05, **</w:t>
      </w:r>
      <w:r w:rsidR="00E262C4" w:rsidRPr="00155E6D">
        <w:rPr>
          <w:rFonts w:ascii="Times New Roman" w:hAnsi="Times New Roman" w:cs="Times New Roman"/>
          <w:i/>
          <w:iCs/>
          <w:sz w:val="28"/>
          <w:szCs w:val="28"/>
        </w:rPr>
        <w:t xml:space="preserve">p </w:t>
      </w:r>
      <w:r w:rsidR="00E262C4" w:rsidRPr="00155E6D">
        <w:rPr>
          <w:rFonts w:ascii="Times New Roman" w:hAnsi="Times New Roman" w:cs="Times New Roman"/>
          <w:sz w:val="28"/>
          <w:szCs w:val="28"/>
        </w:rPr>
        <w:t>&lt; 0.01, ***</w:t>
      </w:r>
      <w:r w:rsidR="00E262C4" w:rsidRPr="00155E6D">
        <w:rPr>
          <w:rFonts w:ascii="Times New Roman" w:hAnsi="Times New Roman" w:cs="Times New Roman"/>
          <w:i/>
          <w:iCs/>
          <w:sz w:val="28"/>
          <w:szCs w:val="28"/>
        </w:rPr>
        <w:t>p</w:t>
      </w:r>
      <w:r w:rsidR="00E262C4" w:rsidRPr="00155E6D">
        <w:rPr>
          <w:rFonts w:ascii="Times New Roman" w:hAnsi="Times New Roman" w:cs="Times New Roman"/>
          <w:sz w:val="28"/>
          <w:szCs w:val="28"/>
        </w:rPr>
        <w:t xml:space="preserve"> &lt; 0.001.</w:t>
      </w:r>
    </w:p>
    <w:p w14:paraId="764ED8F0" w14:textId="77777777" w:rsidR="00A33497" w:rsidRDefault="00E262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0C001D" wp14:editId="756D4135">
            <wp:extent cx="5274310" cy="3562350"/>
            <wp:effectExtent l="0" t="0" r="2540" b="0"/>
            <wp:docPr id="3734795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79590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576A" w14:textId="3D234613" w:rsidR="00A33497" w:rsidRPr="00155E6D" w:rsidRDefault="001451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A5F66" w:rsidRPr="00155E6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. KEGG pathway network of DEGs after two groups comparison. </w:t>
      </w:r>
      <w:r w:rsidR="00E262C4" w:rsidRPr="00155E6D">
        <w:rPr>
          <w:rFonts w:ascii="Times New Roman" w:hAnsi="Times New Roman" w:cs="Times New Roman"/>
          <w:sz w:val="28"/>
          <w:szCs w:val="28"/>
        </w:rPr>
        <w:br w:type="page"/>
      </w:r>
    </w:p>
    <w:p w14:paraId="7E574A75" w14:textId="77777777" w:rsidR="00A33497" w:rsidRDefault="00E262C4">
      <w:r>
        <w:rPr>
          <w:noProof/>
        </w:rPr>
        <w:lastRenderedPageBreak/>
        <w:drawing>
          <wp:inline distT="0" distB="0" distL="0" distR="0" wp14:anchorId="7B6B84F0" wp14:editId="66D7E099">
            <wp:extent cx="5274310" cy="2506980"/>
            <wp:effectExtent l="0" t="0" r="0" b="0"/>
            <wp:docPr id="507197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9732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593F" w14:textId="0D441B0D" w:rsidR="00A33497" w:rsidRPr="00155E6D" w:rsidRDefault="00145119" w:rsidP="0009060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A5F66" w:rsidRPr="00155E6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262C4" w:rsidRPr="00155E6D">
        <w:rPr>
          <w:rFonts w:ascii="Times New Roman" w:hAnsi="Times New Roman" w:cs="Times New Roman"/>
          <w:sz w:val="28"/>
          <w:szCs w:val="28"/>
        </w:rPr>
        <w:t xml:space="preserve"> </w:t>
      </w:r>
      <w:r w:rsidR="00E262C4" w:rsidRPr="00155E6D">
        <w:rPr>
          <w:rFonts w:ascii="Times New Roman" w:hAnsi="Times New Roman" w:cs="Times New Roman"/>
          <w:b/>
          <w:sz w:val="28"/>
          <w:szCs w:val="28"/>
        </w:rPr>
        <w:t>Weight changes of mice in different groups.</w:t>
      </w:r>
      <w:r w:rsidR="00E262C4" w:rsidRPr="00155E6D">
        <w:rPr>
          <w:rFonts w:ascii="Times New Roman" w:hAnsi="Times New Roman" w:cs="Times New Roman"/>
          <w:sz w:val="28"/>
          <w:szCs w:val="28"/>
        </w:rPr>
        <w:t xml:space="preserve"> Data are presented as mean ± S.D. (n = 3). Statistical differences were calculated via one-way ANOVA with a Tukey post-hoc test.</w:t>
      </w:r>
    </w:p>
    <w:p w14:paraId="54FCB1B5" w14:textId="77777777" w:rsidR="00A33497" w:rsidRDefault="00E262C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3A5547" w14:textId="77777777" w:rsidR="00A33497" w:rsidRDefault="00E262C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2D03FB4" wp14:editId="0A288202">
            <wp:extent cx="5274310" cy="2821305"/>
            <wp:effectExtent l="0" t="0" r="2540" b="0"/>
            <wp:docPr id="18642292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2923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6D8B" w14:textId="7359185C" w:rsidR="00A33497" w:rsidRPr="00155E6D" w:rsidRDefault="00145119" w:rsidP="0009060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A5F66" w:rsidRPr="00155E6D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262C4" w:rsidRPr="00155E6D">
        <w:rPr>
          <w:rFonts w:ascii="Times New Roman" w:hAnsi="Times New Roman" w:cs="Times New Roman"/>
          <w:b/>
          <w:sz w:val="28"/>
          <w:szCs w:val="28"/>
        </w:rPr>
        <w:t xml:space="preserve"> Heat map of representative </w:t>
      </w:r>
      <w:proofErr w:type="spellStart"/>
      <w:r w:rsidR="00E262C4" w:rsidRPr="00155E6D">
        <w:rPr>
          <w:rFonts w:ascii="Times New Roman" w:hAnsi="Times New Roman" w:cs="Times New Roman"/>
          <w:b/>
          <w:sz w:val="28"/>
          <w:szCs w:val="28"/>
        </w:rPr>
        <w:t>haematological</w:t>
      </w:r>
      <w:proofErr w:type="spellEnd"/>
      <w:r w:rsidR="00E262C4" w:rsidRPr="00155E6D">
        <w:rPr>
          <w:rFonts w:ascii="Times New Roman" w:hAnsi="Times New Roman" w:cs="Times New Roman"/>
          <w:b/>
          <w:sz w:val="28"/>
          <w:szCs w:val="28"/>
        </w:rPr>
        <w:t xml:space="preserve"> data of mice gavage with rods or spheres HAPNs at 1, 7, and 14 days.</w:t>
      </w:r>
      <w:r w:rsidR="00E262C4" w:rsidRPr="00155E6D">
        <w:rPr>
          <w:rFonts w:ascii="Times New Roman" w:hAnsi="Times New Roman" w:cs="Times New Roman"/>
          <w:sz w:val="28"/>
          <w:szCs w:val="28"/>
        </w:rPr>
        <w:t xml:space="preserve"> Data are displayed as relative quantification (RQ) to saline-treated mice.</w:t>
      </w:r>
    </w:p>
    <w:p w14:paraId="400544F0" w14:textId="77777777" w:rsidR="00A33497" w:rsidRDefault="00E262C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32840E" w14:textId="77777777" w:rsidR="00A33497" w:rsidRDefault="00E262C4">
      <w:r>
        <w:rPr>
          <w:noProof/>
        </w:rPr>
        <w:lastRenderedPageBreak/>
        <w:drawing>
          <wp:inline distT="0" distB="0" distL="0" distR="0" wp14:anchorId="4F10413F" wp14:editId="3DA3F966">
            <wp:extent cx="5274310" cy="2329180"/>
            <wp:effectExtent l="0" t="0" r="2540" b="0"/>
            <wp:docPr id="16836321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32120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D0E6" w14:textId="3C087FE7" w:rsidR="00A33497" w:rsidRPr="00155E6D" w:rsidRDefault="00145119" w:rsidP="00155E6D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A5F66" w:rsidRPr="00155E6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262C4" w:rsidRPr="00155E6D">
        <w:rPr>
          <w:rFonts w:ascii="Times New Roman" w:hAnsi="Times New Roman" w:cs="Times New Roman"/>
          <w:sz w:val="28"/>
          <w:szCs w:val="28"/>
        </w:rPr>
        <w:t xml:space="preserve"> </w:t>
      </w:r>
      <w:r w:rsidR="00E262C4" w:rsidRPr="00155E6D">
        <w:rPr>
          <w:rFonts w:ascii="Times New Roman" w:hAnsi="Times New Roman" w:cs="Times New Roman"/>
          <w:b/>
          <w:sz w:val="28"/>
          <w:szCs w:val="28"/>
        </w:rPr>
        <w:t>Heat map of representative serum biochemistry data of mice gavage with rods or spheres HAPNs at 1, 7, and 14 days.</w:t>
      </w:r>
      <w:r w:rsidR="00E262C4" w:rsidRPr="00155E6D">
        <w:rPr>
          <w:rFonts w:ascii="Times New Roman" w:hAnsi="Times New Roman" w:cs="Times New Roman"/>
          <w:sz w:val="28"/>
          <w:szCs w:val="28"/>
        </w:rPr>
        <w:t xml:space="preserve"> Data are displayed as relative quantification (RQ) to saline-treated mice.</w:t>
      </w:r>
    </w:p>
    <w:p w14:paraId="205AC9CB" w14:textId="77777777" w:rsidR="00A33497" w:rsidRDefault="00E262C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FC3A1A" w14:textId="77777777" w:rsidR="00A33497" w:rsidRDefault="00E262C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6A3A1B5" wp14:editId="2E8A9D60">
            <wp:extent cx="4514850" cy="2521585"/>
            <wp:effectExtent l="0" t="0" r="0" b="0"/>
            <wp:docPr id="7729329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3292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898" cy="25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CA9E" w14:textId="2D1F8BC6" w:rsidR="00A33497" w:rsidRPr="00155E6D" w:rsidRDefault="00145119" w:rsidP="00155E6D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Fig. 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FA5F66" w:rsidRPr="00155E6D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E262C4" w:rsidRPr="00155E6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262C4" w:rsidRPr="00155E6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In vivo</w:t>
      </w:r>
      <w:r w:rsidR="00E262C4" w:rsidRPr="00155E6D">
        <w:rPr>
          <w:rFonts w:ascii="Times New Roman" w:hAnsi="Times New Roman" w:cs="Times New Roman"/>
          <w:b/>
          <w:sz w:val="28"/>
          <w:szCs w:val="28"/>
        </w:rPr>
        <w:t xml:space="preserve"> biodistribution of Ca and P in-blood serum of mice in different groups at 14 days post-gavage. </w:t>
      </w:r>
      <w:r w:rsidR="00E262C4" w:rsidRPr="00155E6D">
        <w:rPr>
          <w:rFonts w:ascii="Times New Roman" w:hAnsi="Times New Roman" w:cs="Times New Roman"/>
          <w:sz w:val="28"/>
          <w:szCs w:val="28"/>
        </w:rPr>
        <w:t>Data are presented as mean ± S.D. (n = 3). Statistical differences were analyzed by one-way ANOVA with a Tukey post-hoc test.</w:t>
      </w:r>
    </w:p>
    <w:p w14:paraId="6B62DAB3" w14:textId="77777777" w:rsidR="00A33497" w:rsidRDefault="00E262C4">
      <w:pPr>
        <w:sectPr w:rsidR="00A33497" w:rsidSect="00C26EBE">
          <w:headerReference w:type="even" r:id="rId15"/>
          <w:headerReference w:type="default" r:id="rId1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br w:type="page"/>
      </w:r>
    </w:p>
    <w:p w14:paraId="4A6CF3EC" w14:textId="77777777" w:rsidR="00A33497" w:rsidRPr="00155E6D" w:rsidRDefault="00E262C4" w:rsidP="0009060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155E6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Table S1. Comparison of ECG parameters changes of mice in different groups at </w:t>
      </w:r>
      <w:proofErr w:type="gramStart"/>
      <w:r w:rsidRPr="00155E6D">
        <w:rPr>
          <w:rFonts w:ascii="Times New Roman" w:hAnsi="Times New Roman" w:cs="Times New Roman"/>
          <w:b/>
          <w:bCs/>
          <w:sz w:val="28"/>
          <w:szCs w:val="28"/>
        </w:rPr>
        <w:t>1, 7 and 14 days</w:t>
      </w:r>
      <w:proofErr w:type="gramEnd"/>
      <w:r w:rsidRPr="00155E6D">
        <w:rPr>
          <w:rFonts w:ascii="Times New Roman" w:hAnsi="Times New Roman" w:cs="Times New Roman"/>
          <w:b/>
          <w:bCs/>
          <w:sz w:val="28"/>
          <w:szCs w:val="28"/>
        </w:rPr>
        <w:t xml:space="preserve"> post-gavage. </w:t>
      </w:r>
      <w:r w:rsidRPr="00155E6D">
        <w:rPr>
          <w:rFonts w:ascii="Times New Roman" w:hAnsi="Times New Roman" w:cs="Times New Roman"/>
          <w:sz w:val="28"/>
          <w:szCs w:val="28"/>
        </w:rPr>
        <w:t>The ECG parameters value are presented as mean ± S.D. (n = 3).</w:t>
      </w:r>
    </w:p>
    <w:tbl>
      <w:tblPr>
        <w:tblW w:w="14742" w:type="dxa"/>
        <w:tblCellSpacing w:w="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015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</w:tblGrid>
      <w:tr w:rsidR="00145119" w14:paraId="0C6CB4C0" w14:textId="77777777" w:rsidTr="009867C4">
        <w:trPr>
          <w:trHeight w:val="283"/>
          <w:tblCellSpacing w:w="0" w:type="dxa"/>
        </w:trPr>
        <w:tc>
          <w:tcPr>
            <w:tcW w:w="449" w:type="dxa"/>
            <w:vMerge w:val="restart"/>
            <w:tcBorders>
              <w:top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30769C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Time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E431DF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Group</w:t>
            </w:r>
          </w:p>
        </w:tc>
        <w:tc>
          <w:tcPr>
            <w:tcW w:w="7471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FE201D2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Parameter</w:t>
            </w:r>
          </w:p>
        </w:tc>
      </w:tr>
      <w:tr w:rsidR="00145119" w14:paraId="6EFF4DB3" w14:textId="77777777" w:rsidTr="009867C4">
        <w:trPr>
          <w:trHeight w:val="1134"/>
          <w:tblCellSpacing w:w="0" w:type="dxa"/>
        </w:trPr>
        <w:tc>
          <w:tcPr>
            <w:tcW w:w="449" w:type="dxa"/>
            <w:vMerge/>
            <w:tcBorders>
              <w:bottom w:val="nil"/>
            </w:tcBorders>
            <w:vAlign w:val="center"/>
          </w:tcPr>
          <w:p w14:paraId="415EECF6" w14:textId="77777777" w:rsidR="00145119" w:rsidRDefault="00145119" w:rsidP="009867C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85" w:type="dxa"/>
            <w:vMerge/>
            <w:tcBorders>
              <w:top w:val="single" w:sz="4" w:space="0" w:color="auto"/>
              <w:bottom w:val="nil"/>
            </w:tcBorders>
            <w:vAlign w:val="center"/>
          </w:tcPr>
          <w:p w14:paraId="71B57095" w14:textId="77777777" w:rsidR="00145119" w:rsidRDefault="00145119" w:rsidP="009867C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622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8ACEE73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HR</w:t>
            </w:r>
          </w:p>
          <w:p w14:paraId="7D44A863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</w:p>
          <w:p w14:paraId="4DFCCC69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(bpm)</w:t>
            </w:r>
          </w:p>
        </w:tc>
        <w:tc>
          <w:tcPr>
            <w:tcW w:w="622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63AA817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PR</w:t>
            </w:r>
          </w:p>
          <w:p w14:paraId="434F734A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Interval</w:t>
            </w:r>
          </w:p>
          <w:p w14:paraId="5A06BE50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</w:t>
            </w:r>
            <w:proofErr w:type="spellStart"/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ms</w:t>
            </w:r>
            <w:proofErr w:type="spellEnd"/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623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BFFA7F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QT</w:t>
            </w:r>
          </w:p>
          <w:p w14:paraId="12F9C882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Interval</w:t>
            </w:r>
          </w:p>
          <w:p w14:paraId="138DEC0F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</w:t>
            </w:r>
            <w:proofErr w:type="spellStart"/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ms</w:t>
            </w:r>
            <w:proofErr w:type="spellEnd"/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622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6A5C43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QTC</w:t>
            </w:r>
          </w:p>
          <w:p w14:paraId="6064E70A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Interval</w:t>
            </w:r>
          </w:p>
          <w:p w14:paraId="1A0056E8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</w:t>
            </w:r>
            <w:proofErr w:type="spellStart"/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ms</w:t>
            </w:r>
            <w:proofErr w:type="spellEnd"/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623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A12C7D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QRS</w:t>
            </w:r>
          </w:p>
          <w:p w14:paraId="5D8865F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Duration</w:t>
            </w:r>
          </w:p>
          <w:p w14:paraId="54BD2BD8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</w:t>
            </w:r>
            <w:proofErr w:type="spellStart"/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ms</w:t>
            </w:r>
            <w:proofErr w:type="spellEnd"/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623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847D94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ST</w:t>
            </w:r>
          </w:p>
          <w:p w14:paraId="7766800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Segment</w:t>
            </w:r>
          </w:p>
          <w:p w14:paraId="3249AE0F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</w:t>
            </w:r>
            <w:proofErr w:type="spellStart"/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ms</w:t>
            </w:r>
            <w:proofErr w:type="spellEnd"/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)</w:t>
            </w:r>
          </w:p>
        </w:tc>
        <w:tc>
          <w:tcPr>
            <w:tcW w:w="622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A74D7D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P</w:t>
            </w:r>
          </w:p>
          <w:p w14:paraId="60549EA8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Amplitude</w:t>
            </w:r>
          </w:p>
          <w:p w14:paraId="2957829A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(mV)</w:t>
            </w:r>
          </w:p>
        </w:tc>
        <w:tc>
          <w:tcPr>
            <w:tcW w:w="623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D3A132E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R</w:t>
            </w:r>
          </w:p>
          <w:p w14:paraId="57FE9F4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Amplitude</w:t>
            </w:r>
          </w:p>
          <w:p w14:paraId="5E306EC2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(mV)</w:t>
            </w:r>
          </w:p>
        </w:tc>
        <w:tc>
          <w:tcPr>
            <w:tcW w:w="623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315E2C5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T</w:t>
            </w:r>
          </w:p>
          <w:p w14:paraId="79A94E52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Amplitude</w:t>
            </w:r>
          </w:p>
          <w:p w14:paraId="6F2E86D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(mV)</w:t>
            </w:r>
          </w:p>
        </w:tc>
        <w:tc>
          <w:tcPr>
            <w:tcW w:w="623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6F6E766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S</w:t>
            </w:r>
          </w:p>
          <w:p w14:paraId="29182E6A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Amplitude</w:t>
            </w:r>
          </w:p>
          <w:p w14:paraId="1FB963BD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(mV)</w:t>
            </w:r>
          </w:p>
        </w:tc>
        <w:tc>
          <w:tcPr>
            <w:tcW w:w="622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6340B39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Q</w:t>
            </w:r>
          </w:p>
          <w:p w14:paraId="359F6113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Amplitude</w:t>
            </w:r>
          </w:p>
          <w:p w14:paraId="3E5BE7CD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(mV)</w:t>
            </w:r>
          </w:p>
        </w:tc>
        <w:tc>
          <w:tcPr>
            <w:tcW w:w="623" w:type="dxa"/>
            <w:tcBorders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6D86B67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ST</w:t>
            </w:r>
          </w:p>
          <w:p w14:paraId="179D36A5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Height</w:t>
            </w:r>
          </w:p>
          <w:p w14:paraId="054624D2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b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b/>
                <w:color w:val="000000"/>
                <w:kern w:val="0"/>
                <w:sz w:val="15"/>
                <w:szCs w:val="15"/>
              </w:rPr>
              <w:t>(mV)</w:t>
            </w:r>
          </w:p>
        </w:tc>
      </w:tr>
      <w:tr w:rsidR="00145119" w14:paraId="6C1E03D9" w14:textId="77777777" w:rsidTr="009867C4">
        <w:trPr>
          <w:trHeight w:val="227"/>
          <w:tblCellSpacing w:w="0" w:type="dxa"/>
        </w:trPr>
        <w:tc>
          <w:tcPr>
            <w:tcW w:w="449" w:type="dxa"/>
            <w:vMerge w:val="restart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354BBD2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Day-1</w:t>
            </w:r>
          </w:p>
        </w:tc>
        <w:tc>
          <w:tcPr>
            <w:tcW w:w="585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4B6416D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Control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EF8E025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388.67±15.5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CBBB47E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27.67±12.86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80849CC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36.33±3.53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103F30D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91.33±7.54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F8FE855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11±0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ED0B79C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2±0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8209986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0.05±0.03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5AE949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0.67±0.12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586499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0.17±0.05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BC28B5C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-0.3±0.06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1693045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-0.07±0.01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B6DBDFA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-0.04±0.06</w:t>
            </w:r>
          </w:p>
        </w:tc>
      </w:tr>
      <w:tr w:rsidR="00145119" w14:paraId="537B187D" w14:textId="77777777" w:rsidTr="009867C4">
        <w:trPr>
          <w:trHeight w:val="227"/>
          <w:tblCellSpacing w:w="0" w:type="dxa"/>
        </w:trPr>
        <w:tc>
          <w:tcPr>
            <w:tcW w:w="449" w:type="dxa"/>
            <w:vMerge/>
            <w:tcBorders>
              <w:top w:val="nil"/>
              <w:bottom w:val="nil"/>
            </w:tcBorders>
            <w:vAlign w:val="center"/>
          </w:tcPr>
          <w:p w14:paraId="5686888D" w14:textId="77777777" w:rsidR="00145119" w:rsidRDefault="00145119" w:rsidP="009867C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23178A5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Rods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EEE093D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383±70.29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CE544F3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76±28.62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292FC5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30.33±7.26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BE6615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76.67±23.14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030AC4E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11±0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64F0F8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2±0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2140DD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0.05±0.04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64538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0.53±0.18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1E5ABD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0.1±0.11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2FD9D9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-0.23±0.04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9263F8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-0.1±0.08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91205F3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-0.07±0.06</w:t>
            </w:r>
          </w:p>
        </w:tc>
      </w:tr>
      <w:tr w:rsidR="00145119" w14:paraId="0D46B728" w14:textId="77777777" w:rsidTr="009867C4">
        <w:trPr>
          <w:trHeight w:val="227"/>
          <w:tblCellSpacing w:w="0" w:type="dxa"/>
        </w:trPr>
        <w:tc>
          <w:tcPr>
            <w:tcW w:w="449" w:type="dxa"/>
            <w:vMerge/>
            <w:tcBorders>
              <w:top w:val="nil"/>
              <w:bottom w:val="nil"/>
            </w:tcBorders>
            <w:vAlign w:val="center"/>
          </w:tcPr>
          <w:p w14:paraId="34674BC0" w14:textId="77777777" w:rsidR="00145119" w:rsidRDefault="00145119" w:rsidP="009867C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D1E48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Spheres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382E5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441.33±25.85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A5579DE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30±2.89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C312C70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61.67±29.18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582A90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162.33±72.42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09AE09C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11±0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0A7989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30.67±28.67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894A8A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0.05±0.01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A15D392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0.73±0.08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26272E3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0.1±0.02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5DE490D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-0.2±0.03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BA568B7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-0.06±0.01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3AF0B06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-0.03±0.03</w:t>
            </w:r>
          </w:p>
        </w:tc>
      </w:tr>
      <w:tr w:rsidR="00145119" w14:paraId="364A4F61" w14:textId="77777777" w:rsidTr="009867C4">
        <w:trPr>
          <w:trHeight w:val="227"/>
          <w:tblCellSpacing w:w="0" w:type="dxa"/>
        </w:trPr>
        <w:tc>
          <w:tcPr>
            <w:tcW w:w="449" w:type="dxa"/>
            <w:vMerge w:val="restart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CED221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Day-7</w:t>
            </w:r>
          </w:p>
        </w:tc>
        <w:tc>
          <w:tcPr>
            <w:tcW w:w="585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40CA47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Control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09CF969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381.67±10.37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118EF0A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32.67±6.74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970776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39.67±5.78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105EF8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99±13.32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BC276E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11±0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E57DDC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2±0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BE4B43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0.05±0.01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FE1E15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0.54±0.03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78DC3A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0.17±0.03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496E436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-0.19±0.03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BBDB4A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-0.03±0.01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7C90825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0±0.03</w:t>
            </w:r>
          </w:p>
        </w:tc>
      </w:tr>
      <w:tr w:rsidR="00145119" w14:paraId="703CB15B" w14:textId="77777777" w:rsidTr="009867C4">
        <w:trPr>
          <w:trHeight w:val="227"/>
          <w:tblCellSpacing w:w="0" w:type="dxa"/>
        </w:trPr>
        <w:tc>
          <w:tcPr>
            <w:tcW w:w="449" w:type="dxa"/>
            <w:vMerge/>
            <w:tcBorders>
              <w:top w:val="nil"/>
              <w:bottom w:val="nil"/>
            </w:tcBorders>
            <w:vAlign w:val="center"/>
          </w:tcPr>
          <w:p w14:paraId="5BD41135" w14:textId="77777777" w:rsidR="00145119" w:rsidRDefault="00145119" w:rsidP="009867C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1A4F757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Rods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B1C3AF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360.67±12.99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EACECD0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33.33±9.53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B05B20A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32.67±4.18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48C189A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79.67±10.68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D98A63D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11.67±0.33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2E20E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2±0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8B19808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0.08±0.03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02261BE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0.71±0.05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20C9329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0.17±0.04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765D4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-0.06±0.07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2E4DD96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-0.04±0.01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157BD7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0.08±0.03</w:t>
            </w:r>
          </w:p>
        </w:tc>
      </w:tr>
      <w:tr w:rsidR="00145119" w14:paraId="679CAFAB" w14:textId="77777777" w:rsidTr="009867C4">
        <w:trPr>
          <w:trHeight w:val="227"/>
          <w:tblCellSpacing w:w="0" w:type="dxa"/>
        </w:trPr>
        <w:tc>
          <w:tcPr>
            <w:tcW w:w="449" w:type="dxa"/>
            <w:vMerge/>
            <w:tcBorders>
              <w:top w:val="nil"/>
              <w:bottom w:val="nil"/>
            </w:tcBorders>
            <w:vAlign w:val="center"/>
          </w:tcPr>
          <w:p w14:paraId="636CF07C" w14:textId="77777777" w:rsidR="00145119" w:rsidRDefault="00145119" w:rsidP="009867C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552ABC6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Spheres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F94A5E5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383.67±14.75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4AD094C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65±33.72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D4A90E9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29.67±8.41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0A60E7E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73.33±20.27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D86B51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11.33±0.33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3DD16F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2±0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3C771CD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0.09±0.04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5659E69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0.67±0.09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7B1349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0.14±0.08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A9FBC26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-0.11±0.03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D01D578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-0.05±0.01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A674A5C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0.06±0.02</w:t>
            </w:r>
          </w:p>
        </w:tc>
      </w:tr>
      <w:tr w:rsidR="00145119" w14:paraId="0D5C94F4" w14:textId="77777777" w:rsidTr="009867C4">
        <w:trPr>
          <w:trHeight w:val="227"/>
          <w:tblCellSpacing w:w="0" w:type="dxa"/>
        </w:trPr>
        <w:tc>
          <w:tcPr>
            <w:tcW w:w="449" w:type="dxa"/>
            <w:vMerge w:val="restart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10C23E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Day-14</w:t>
            </w:r>
          </w:p>
        </w:tc>
        <w:tc>
          <w:tcPr>
            <w:tcW w:w="585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9C9A377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Control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790EA9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357.33±22.43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D8395EA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47.33±15.21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C1B18A8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38.67±4.1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68DDF89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94.33±11.26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BC58A5F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11.67±0.33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45A452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2±0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61C3066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0.07±0.03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279B895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0.85±0.2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2AB0BCF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0.19±0.03</w:t>
            </w:r>
          </w:p>
        </w:tc>
        <w:tc>
          <w:tcPr>
            <w:tcW w:w="622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6F102AE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-0.11±0.02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700981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-0.02±0.01</w:t>
            </w:r>
          </w:p>
        </w:tc>
        <w:tc>
          <w:tcPr>
            <w:tcW w:w="623" w:type="dxa"/>
            <w:tcBorders>
              <w:top w:val="single" w:sz="4" w:space="0" w:color="auto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CD68943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0±0.02</w:t>
            </w:r>
          </w:p>
        </w:tc>
      </w:tr>
      <w:tr w:rsidR="00145119" w14:paraId="055002BB" w14:textId="77777777" w:rsidTr="009867C4">
        <w:trPr>
          <w:trHeight w:val="227"/>
          <w:tblCellSpacing w:w="0" w:type="dxa"/>
        </w:trPr>
        <w:tc>
          <w:tcPr>
            <w:tcW w:w="449" w:type="dxa"/>
            <w:vMerge/>
            <w:tcBorders>
              <w:top w:val="nil"/>
              <w:bottom w:val="nil"/>
            </w:tcBorders>
            <w:vAlign w:val="center"/>
          </w:tcPr>
          <w:p w14:paraId="33CAFE4D" w14:textId="77777777" w:rsidR="00145119" w:rsidRDefault="00145119" w:rsidP="009867C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8AA98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Rods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B95E2C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369.67±21.79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28C99F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39.33±6.36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7CBCBD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41±5.51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058440A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100.33±11.46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536DEF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11.33±0.67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5139CF1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2±0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C78A629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0.1±0.05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B8B6037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0.78±0.17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CF6F858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0.29±0.09</w:t>
            </w:r>
          </w:p>
        </w:tc>
        <w:tc>
          <w:tcPr>
            <w:tcW w:w="622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9A2240E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-0.22±0.06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C4E0FFF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-0.01±0.01</w:t>
            </w:r>
          </w:p>
        </w:tc>
        <w:tc>
          <w:tcPr>
            <w:tcW w:w="623" w:type="dxa"/>
            <w:tcBorders>
              <w:top w:val="nil"/>
              <w:bottom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9C8541F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0±0.06</w:t>
            </w:r>
          </w:p>
        </w:tc>
      </w:tr>
      <w:tr w:rsidR="00145119" w14:paraId="3B2126EE" w14:textId="77777777" w:rsidTr="009867C4">
        <w:trPr>
          <w:trHeight w:val="227"/>
          <w:tblCellSpacing w:w="0" w:type="dxa"/>
        </w:trPr>
        <w:tc>
          <w:tcPr>
            <w:tcW w:w="449" w:type="dxa"/>
            <w:vMerge/>
            <w:tcBorders>
              <w:top w:val="nil"/>
              <w:bottom w:val="single" w:sz="8" w:space="0" w:color="auto"/>
            </w:tcBorders>
            <w:vAlign w:val="center"/>
          </w:tcPr>
          <w:p w14:paraId="69856EC3" w14:textId="77777777" w:rsidR="00145119" w:rsidRDefault="00145119" w:rsidP="009867C4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</w:p>
        </w:tc>
        <w:tc>
          <w:tcPr>
            <w:tcW w:w="585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EF71CD6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Spheres</w:t>
            </w:r>
          </w:p>
        </w:tc>
        <w:tc>
          <w:tcPr>
            <w:tcW w:w="622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91A0A19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334±13.43</w:t>
            </w:r>
          </w:p>
        </w:tc>
        <w:tc>
          <w:tcPr>
            <w:tcW w:w="623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02181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64.67±48.09</w:t>
            </w:r>
          </w:p>
        </w:tc>
        <w:tc>
          <w:tcPr>
            <w:tcW w:w="622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629D8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27±6.43</w:t>
            </w:r>
          </w:p>
        </w:tc>
        <w:tc>
          <w:tcPr>
            <w:tcW w:w="623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042B504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62.67±14.33</w:t>
            </w:r>
          </w:p>
        </w:tc>
        <w:tc>
          <w:tcPr>
            <w:tcW w:w="622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A2713EC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11.33±0.33</w:t>
            </w:r>
          </w:p>
        </w:tc>
        <w:tc>
          <w:tcPr>
            <w:tcW w:w="623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8342ACA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2±0</w:t>
            </w:r>
          </w:p>
        </w:tc>
        <w:tc>
          <w:tcPr>
            <w:tcW w:w="623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45A49FE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0.08±0.05</w:t>
            </w:r>
          </w:p>
        </w:tc>
        <w:tc>
          <w:tcPr>
            <w:tcW w:w="622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6D58179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0.74±0.28</w:t>
            </w:r>
          </w:p>
        </w:tc>
        <w:tc>
          <w:tcPr>
            <w:tcW w:w="623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D4BD85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0.09±0.22</w:t>
            </w:r>
          </w:p>
        </w:tc>
        <w:tc>
          <w:tcPr>
            <w:tcW w:w="622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778ADB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-0.23±0.14</w:t>
            </w:r>
          </w:p>
        </w:tc>
        <w:tc>
          <w:tcPr>
            <w:tcW w:w="623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016D0D7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-0.21±0.15</w:t>
            </w:r>
          </w:p>
        </w:tc>
        <w:tc>
          <w:tcPr>
            <w:tcW w:w="623" w:type="dxa"/>
            <w:tcBorders>
              <w:top w:val="nil"/>
              <w:bottom w:val="single" w:sz="8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656CDC7" w14:textId="77777777" w:rsidR="00145119" w:rsidRDefault="00145119" w:rsidP="009867C4">
            <w:pPr>
              <w:widowControl/>
              <w:spacing w:before="100" w:beforeAutospacing="1" w:after="100" w:afterAutospacing="1"/>
              <w:jc w:val="center"/>
              <w:rPr>
                <w:rFonts w:ascii="Times New Roman" w:eastAsia="宋体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-0.05±0.17</w:t>
            </w:r>
          </w:p>
        </w:tc>
      </w:tr>
    </w:tbl>
    <w:p w14:paraId="50D677FB" w14:textId="77777777" w:rsidR="00A33497" w:rsidRDefault="00A33497"/>
    <w:p w14:paraId="3403E1ED" w14:textId="77777777" w:rsidR="00145119" w:rsidRDefault="00145119"/>
    <w:p w14:paraId="453D3061" w14:textId="77777777" w:rsidR="00145119" w:rsidRDefault="00145119"/>
    <w:p w14:paraId="3DBEF7A8" w14:textId="20E60E3E" w:rsidR="00A33497" w:rsidRDefault="00A33497" w:rsidP="00145119">
      <w:pPr>
        <w:spacing w:line="360" w:lineRule="auto"/>
        <w:ind w:firstLineChars="200" w:firstLine="420"/>
      </w:pPr>
    </w:p>
    <w:sectPr w:rsidR="00A33497" w:rsidSect="00C26EBE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C5C71" w14:textId="77777777" w:rsidR="00C26EBE" w:rsidRDefault="00C26EBE">
      <w:r>
        <w:separator/>
      </w:r>
    </w:p>
  </w:endnote>
  <w:endnote w:type="continuationSeparator" w:id="0">
    <w:p w14:paraId="77D400C2" w14:textId="77777777" w:rsidR="00C26EBE" w:rsidRDefault="00C26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0EF4A" w14:textId="77777777" w:rsidR="00C26EBE" w:rsidRDefault="00C26EBE">
      <w:r>
        <w:separator/>
      </w:r>
    </w:p>
  </w:footnote>
  <w:footnote w:type="continuationSeparator" w:id="0">
    <w:p w14:paraId="32255DBE" w14:textId="77777777" w:rsidR="00C26EBE" w:rsidRDefault="00C26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3B388" w14:textId="77777777" w:rsidR="00A33497" w:rsidRDefault="00A33497" w:rsidP="00852D09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E9079" w14:textId="77777777" w:rsidR="00A33497" w:rsidRDefault="00A33497" w:rsidP="00852D09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EwNTM5NzYwMDRjMzkwZTVkZjY2ODkwMGIxNGU0OTUifQ=="/>
  </w:docVars>
  <w:rsids>
    <w:rsidRoot w:val="0030652D"/>
    <w:rsid w:val="00007F28"/>
    <w:rsid w:val="00021EA7"/>
    <w:rsid w:val="00090606"/>
    <w:rsid w:val="00093849"/>
    <w:rsid w:val="000A0BAC"/>
    <w:rsid w:val="000A48E6"/>
    <w:rsid w:val="000B6ED8"/>
    <w:rsid w:val="000B7D5B"/>
    <w:rsid w:val="000C1B64"/>
    <w:rsid w:val="000E0A7E"/>
    <w:rsid w:val="000F16C0"/>
    <w:rsid w:val="001076D5"/>
    <w:rsid w:val="00145119"/>
    <w:rsid w:val="00155E6D"/>
    <w:rsid w:val="00156430"/>
    <w:rsid w:val="001866D3"/>
    <w:rsid w:val="001A5862"/>
    <w:rsid w:val="001D1F2F"/>
    <w:rsid w:val="00210B46"/>
    <w:rsid w:val="002241C9"/>
    <w:rsid w:val="002264D6"/>
    <w:rsid w:val="0027247A"/>
    <w:rsid w:val="002B26E1"/>
    <w:rsid w:val="002D2C21"/>
    <w:rsid w:val="002E1EF7"/>
    <w:rsid w:val="0030206E"/>
    <w:rsid w:val="0030652D"/>
    <w:rsid w:val="00332122"/>
    <w:rsid w:val="003807C6"/>
    <w:rsid w:val="003A510A"/>
    <w:rsid w:val="003C3F6C"/>
    <w:rsid w:val="003D6E0E"/>
    <w:rsid w:val="0040248F"/>
    <w:rsid w:val="004027C5"/>
    <w:rsid w:val="00457D00"/>
    <w:rsid w:val="004B0ED7"/>
    <w:rsid w:val="004D506F"/>
    <w:rsid w:val="004F089D"/>
    <w:rsid w:val="004F521E"/>
    <w:rsid w:val="005400FD"/>
    <w:rsid w:val="005649C1"/>
    <w:rsid w:val="005710D3"/>
    <w:rsid w:val="005C6606"/>
    <w:rsid w:val="005E6695"/>
    <w:rsid w:val="00612EA8"/>
    <w:rsid w:val="006265E8"/>
    <w:rsid w:val="00633455"/>
    <w:rsid w:val="006441F0"/>
    <w:rsid w:val="00675A79"/>
    <w:rsid w:val="00686394"/>
    <w:rsid w:val="00693E7B"/>
    <w:rsid w:val="006E72EC"/>
    <w:rsid w:val="0070525A"/>
    <w:rsid w:val="00714173"/>
    <w:rsid w:val="007302F1"/>
    <w:rsid w:val="007A357C"/>
    <w:rsid w:val="007A4F0D"/>
    <w:rsid w:val="007C255B"/>
    <w:rsid w:val="007C3A96"/>
    <w:rsid w:val="007C53C1"/>
    <w:rsid w:val="007F4CD9"/>
    <w:rsid w:val="00852D09"/>
    <w:rsid w:val="008B3844"/>
    <w:rsid w:val="008C0E60"/>
    <w:rsid w:val="008D324F"/>
    <w:rsid w:val="008F2F4A"/>
    <w:rsid w:val="0090427E"/>
    <w:rsid w:val="00915527"/>
    <w:rsid w:val="009664E0"/>
    <w:rsid w:val="00975887"/>
    <w:rsid w:val="0098139B"/>
    <w:rsid w:val="00A000F5"/>
    <w:rsid w:val="00A017CC"/>
    <w:rsid w:val="00A33497"/>
    <w:rsid w:val="00A4736B"/>
    <w:rsid w:val="00A74341"/>
    <w:rsid w:val="00A95399"/>
    <w:rsid w:val="00AA5C7B"/>
    <w:rsid w:val="00AC6918"/>
    <w:rsid w:val="00B359E5"/>
    <w:rsid w:val="00B521E2"/>
    <w:rsid w:val="00B72400"/>
    <w:rsid w:val="00B90EC2"/>
    <w:rsid w:val="00BB42F4"/>
    <w:rsid w:val="00BD60E4"/>
    <w:rsid w:val="00BE0FF5"/>
    <w:rsid w:val="00BE36EB"/>
    <w:rsid w:val="00BE5112"/>
    <w:rsid w:val="00C26EBE"/>
    <w:rsid w:val="00C600F9"/>
    <w:rsid w:val="00D16772"/>
    <w:rsid w:val="00D4339D"/>
    <w:rsid w:val="00D438CD"/>
    <w:rsid w:val="00D51491"/>
    <w:rsid w:val="00DB0B7B"/>
    <w:rsid w:val="00DB4565"/>
    <w:rsid w:val="00E156BB"/>
    <w:rsid w:val="00E230EA"/>
    <w:rsid w:val="00E262C4"/>
    <w:rsid w:val="00E50643"/>
    <w:rsid w:val="00E579E6"/>
    <w:rsid w:val="00E746CD"/>
    <w:rsid w:val="00E90385"/>
    <w:rsid w:val="00EA3F3A"/>
    <w:rsid w:val="00EF6386"/>
    <w:rsid w:val="00F1357E"/>
    <w:rsid w:val="00F420BA"/>
    <w:rsid w:val="00F46FC2"/>
    <w:rsid w:val="00F62E39"/>
    <w:rsid w:val="00F70F00"/>
    <w:rsid w:val="00F92C25"/>
    <w:rsid w:val="00FA5313"/>
    <w:rsid w:val="00FA5F66"/>
    <w:rsid w:val="00FC12B7"/>
    <w:rsid w:val="00FD145C"/>
    <w:rsid w:val="00FD1660"/>
    <w:rsid w:val="00FD5E7C"/>
    <w:rsid w:val="00FD6C67"/>
    <w:rsid w:val="7A62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DC4DBD"/>
  <w15:docId w15:val="{F2A3B1A7-13B5-4215-B840-418F357A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tabs>
        <w:tab w:val="left" w:pos="567"/>
        <w:tab w:val="center" w:pos="4536"/>
        <w:tab w:val="right" w:pos="9072"/>
      </w:tabs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widowControl/>
      <w:tabs>
        <w:tab w:val="left" w:pos="567"/>
        <w:tab w:val="center" w:pos="4536"/>
        <w:tab w:val="right" w:pos="9072"/>
      </w:tabs>
      <w:spacing w:before="260" w:after="260" w:line="415" w:lineRule="auto"/>
      <w:ind w:left="284" w:hanging="284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val="de-D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widowControl/>
      <w:tabs>
        <w:tab w:val="left" w:pos="567"/>
        <w:tab w:val="center" w:pos="4536"/>
        <w:tab w:val="right" w:pos="9072"/>
      </w:tabs>
      <w:spacing w:after="600" w:line="360" w:lineRule="auto"/>
      <w:ind w:left="284" w:hanging="284"/>
    </w:pPr>
    <w:rPr>
      <w:rFonts w:asciiTheme="majorHAnsi" w:eastAsiaTheme="majorEastAsia" w:hAnsiTheme="majorHAnsi" w:cstheme="majorBidi"/>
      <w:i/>
      <w:iCs/>
      <w:spacing w:val="13"/>
      <w:kern w:val="0"/>
      <w:sz w:val="24"/>
      <w:szCs w:val="24"/>
      <w:lang w:val="de-DE"/>
    </w:rPr>
  </w:style>
  <w:style w:type="paragraph" w:styleId="a9">
    <w:name w:val="Title"/>
    <w:basedOn w:val="a"/>
    <w:next w:val="a"/>
    <w:link w:val="aa"/>
    <w:uiPriority w:val="10"/>
    <w:qFormat/>
    <w:pPr>
      <w:widowControl/>
      <w:pBdr>
        <w:bottom w:val="single" w:sz="4" w:space="1" w:color="auto"/>
      </w:pBdr>
      <w:tabs>
        <w:tab w:val="left" w:pos="567"/>
        <w:tab w:val="center" w:pos="4536"/>
        <w:tab w:val="right" w:pos="9072"/>
      </w:tabs>
      <w:spacing w:after="200"/>
      <w:contextualSpacing/>
    </w:pPr>
    <w:rPr>
      <w:rFonts w:asciiTheme="majorHAnsi" w:eastAsiaTheme="majorEastAsia" w:hAnsiTheme="majorHAnsi" w:cstheme="majorBidi"/>
      <w:spacing w:val="5"/>
      <w:kern w:val="0"/>
      <w:sz w:val="40"/>
      <w:szCs w:val="52"/>
      <w:lang w:val="de-DE"/>
    </w:rPr>
  </w:style>
  <w:style w:type="character" w:styleId="ab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5"/>
      <w:kern w:val="0"/>
      <w:sz w:val="40"/>
      <w:szCs w:val="52"/>
      <w:lang w:val="de-DE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i/>
      <w:iCs/>
      <w:spacing w:val="13"/>
      <w:kern w:val="0"/>
      <w:sz w:val="24"/>
      <w:szCs w:val="24"/>
      <w:lang w:val="de-DE"/>
    </w:rPr>
  </w:style>
  <w:style w:type="paragraph" w:styleId="ac">
    <w:name w:val="No Spacing"/>
    <w:basedOn w:val="a"/>
    <w:uiPriority w:val="1"/>
    <w:qFormat/>
    <w:pPr>
      <w:widowControl/>
      <w:tabs>
        <w:tab w:val="left" w:pos="567"/>
        <w:tab w:val="center" w:pos="4536"/>
        <w:tab w:val="right" w:pos="9072"/>
      </w:tabs>
      <w:ind w:left="284" w:hanging="284"/>
    </w:pPr>
    <w:rPr>
      <w:kern w:val="0"/>
      <w:sz w:val="22"/>
      <w:lang w:val="de-DE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kern w:val="0"/>
      <w:sz w:val="32"/>
      <w:szCs w:val="32"/>
      <w:lang w:val="de-D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d">
    <w:name w:val="Bibliography"/>
    <w:basedOn w:val="a"/>
    <w:next w:val="a"/>
    <w:uiPriority w:val="37"/>
    <w:unhideWhenUsed/>
    <w:rsid w:val="00852D09"/>
    <w:pPr>
      <w:tabs>
        <w:tab w:val="left" w:pos="384"/>
      </w:tabs>
      <w:ind w:left="384" w:hanging="384"/>
    </w:pPr>
  </w:style>
  <w:style w:type="paragraph" w:styleId="ae">
    <w:name w:val="Revision"/>
    <w:hidden/>
    <w:uiPriority w:val="99"/>
    <w:unhideWhenUsed/>
    <w:rsid w:val="004F521E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D6C89-52C3-45F3-BA9B-857E1CC32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2302</Words>
  <Characters>2418</Characters>
  <Application>Microsoft Office Word</Application>
  <DocSecurity>0</DocSecurity>
  <Lines>120</Lines>
  <Paragraphs>87</Paragraphs>
  <ScaleCrop>false</ScaleCrop>
  <Company>微软中国</Company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玮棠 孙</cp:lastModifiedBy>
  <cp:revision>18</cp:revision>
  <dcterms:created xsi:type="dcterms:W3CDTF">2023-07-03T09:25:00Z</dcterms:created>
  <dcterms:modified xsi:type="dcterms:W3CDTF">2024-03-19T09:14:00Z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DA3A5E57F2EB4D68A8BCB9E268CBE5C7_12</vt:lpwstr>
  </property>
  <property fmtid="{D5CDD505-2E9C-101B-9397-08002B2CF9AE}" pid="4" name="ZOTERO_PREF_1">
    <vt:lpwstr>&lt;data data-version="3" zotero-version="6.0.26"&gt;&lt;session id="EUKvXmVH"/&gt;&lt;style id="http://www.zotero.org/styles/american-chemical-society" hasBibliography="1" bibliographyStyleHasBeenSet="1"/&gt;&lt;prefs&gt;&lt;pref name="fieldType" value="Field"/&gt;&lt;pref name="automat</vt:lpwstr>
  </property>
  <property fmtid="{D5CDD505-2E9C-101B-9397-08002B2CF9AE}" pid="5" name="ZOTERO_PREF_2">
    <vt:lpwstr>icJournalAbbreviations" value="true"/&gt;&lt;/prefs&gt;&lt;/data&gt;</vt:lpwstr>
  </property>
</Properties>
</file>