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rPr>
          <w:rFonts w:ascii="Arial" w:hAnsi="Arial" w:cs="Arial"/>
          <w:b w:val="0"/>
          <w:color w:val="000000"/>
          <w:sz w:val="24"/>
          <w:szCs w:val="24"/>
        </w:rPr>
      </w:pPr>
      <w:bookmarkStart w:id="0" w:name="OLE_LINK15"/>
      <w:r>
        <w:rPr>
          <w:rFonts w:ascii="Arial" w:hAnsi="Arial" w:cs="Arial"/>
          <w:color w:val="000000"/>
          <w:sz w:val="24"/>
          <w:szCs w:val="24"/>
        </w:rPr>
        <w:t>Supplementary Material</w:t>
      </w:r>
      <w:bookmarkEnd w:id="0"/>
    </w:p>
    <w:p>
      <w:pPr>
        <w:pStyle w:val="2"/>
        <w:rPr>
          <w:rFonts w:ascii="Arial" w:hAnsi="Arial" w:cs="Arial"/>
          <w:color w:val="000000"/>
          <w:szCs w:val="24"/>
          <w:lang w:eastAsia="zh-CN"/>
        </w:rPr>
      </w:pPr>
      <w:r>
        <w:rPr>
          <w:rFonts w:ascii="Arial" w:hAnsi="Arial" w:cs="Arial"/>
          <w:color w:val="000000"/>
          <w:szCs w:val="24"/>
        </w:rPr>
        <w:t>Supplemental material and methods</w:t>
      </w:r>
    </w:p>
    <w:p>
      <w:pPr>
        <w:spacing w:before="100" w:beforeAutospacing="1" w:after="100" w:afterAutospacing="1"/>
        <w:jc w:val="both"/>
        <w:rPr>
          <w:rFonts w:ascii="Arial" w:hAnsi="Arial" w:cs="Arial"/>
          <w:b/>
          <w:color w:val="000000"/>
          <w:szCs w:val="24"/>
          <w:lang w:eastAsia="zh-CN"/>
        </w:rPr>
      </w:pPr>
      <w:r>
        <w:rPr>
          <w:rFonts w:ascii="Arial" w:hAnsi="Arial" w:cs="Arial"/>
          <w:b/>
          <w:color w:val="000000"/>
          <w:szCs w:val="24"/>
          <w:lang w:eastAsia="zh-CN"/>
        </w:rPr>
        <w:t xml:space="preserve">Measurement of anthropometric measurements </w:t>
      </w:r>
    </w:p>
    <w:p>
      <w:pPr>
        <w:spacing w:before="100" w:beforeAutospacing="1" w:after="100" w:afterAutospacing="1"/>
        <w:jc w:val="both"/>
        <w:rPr>
          <w:rFonts w:ascii="Arial" w:hAnsi="Arial" w:cs="Arial"/>
          <w:bCs/>
          <w:color w:val="000000"/>
          <w:szCs w:val="24"/>
          <w:lang w:eastAsia="zh-CN"/>
        </w:rPr>
      </w:pPr>
      <w:r>
        <w:rPr>
          <w:rFonts w:ascii="Arial" w:hAnsi="Arial" w:cs="Arial"/>
          <w:bCs/>
          <w:color w:val="000000"/>
          <w:szCs w:val="24"/>
          <w:lang w:eastAsia="zh-CN"/>
        </w:rPr>
        <w:t>Anthropometric measurements were taken by trained nurses. Data for height, weight, and waist circumference (WC) were acquired following a protocol standardized to an accuracy of 0.1 kg and 0.1 cm, respectively. During the measurements, participants were asked to wear light clothing, no hats, and no shoes. At the end of normal expiration, WC was measured from the midpoint between the lower ribs and the upper edge of the iliac crest to the nearest 0.1 cm. Baseline blood pressure was measured using a mercury sphygmomanometer after the patient had rested quietly for at least 10 minutes, and the average of multiple measurements was taken as the systolic and diastolic blood pressure values. BMI was calculated using the formula BMI = weight (kg)/height (m</w:t>
      </w:r>
      <w:r>
        <w:rPr>
          <w:rFonts w:ascii="Arial" w:hAnsi="Arial" w:cs="Arial"/>
          <w:bCs/>
          <w:color w:val="000000"/>
          <w:szCs w:val="24"/>
          <w:vertAlign w:val="superscript"/>
          <w:lang w:eastAsia="zh-CN"/>
        </w:rPr>
        <w:t>2</w:t>
      </w:r>
      <w:r>
        <w:rPr>
          <w:rFonts w:ascii="Arial" w:hAnsi="Arial" w:cs="Arial"/>
          <w:bCs/>
          <w:color w:val="000000"/>
          <w:szCs w:val="24"/>
          <w:lang w:eastAsia="zh-CN"/>
        </w:rPr>
        <w:t>).</w:t>
      </w:r>
    </w:p>
    <w:p>
      <w:pPr>
        <w:spacing w:before="100" w:beforeAutospacing="1" w:after="100" w:afterAutospacing="1"/>
        <w:jc w:val="both"/>
        <w:rPr>
          <w:rFonts w:ascii="Arial" w:hAnsi="Arial" w:cs="Arial"/>
          <w:b/>
          <w:color w:val="000000"/>
          <w:szCs w:val="24"/>
          <w:lang w:eastAsia="zh-CN"/>
        </w:rPr>
      </w:pPr>
      <w:r>
        <w:rPr>
          <w:rFonts w:ascii="Arial" w:hAnsi="Arial" w:cs="Arial"/>
          <w:b/>
          <w:color w:val="000000"/>
          <w:szCs w:val="24"/>
          <w:lang w:eastAsia="zh-CN"/>
        </w:rPr>
        <w:t>Definitions</w:t>
      </w:r>
    </w:p>
    <w:p>
      <w:pPr>
        <w:spacing w:before="100" w:beforeAutospacing="1" w:after="100" w:afterAutospacing="1"/>
        <w:jc w:val="both"/>
        <w:rPr>
          <w:rFonts w:ascii="Arial" w:hAnsi="Arial" w:cs="Arial"/>
          <w:bCs/>
          <w:color w:val="000000"/>
          <w:szCs w:val="24"/>
          <w:lang w:eastAsia="zh-CN"/>
        </w:rPr>
      </w:pPr>
      <w:r>
        <w:rPr>
          <w:rFonts w:ascii="Arial" w:hAnsi="Arial" w:cs="Arial"/>
          <w:bCs/>
          <w:color w:val="000000"/>
          <w:szCs w:val="24"/>
          <w:lang w:eastAsia="zh-CN"/>
        </w:rPr>
        <w:t>Smoking and drinking habits were classified as never, past, or current. Diabetes mellitus was defined by the use of diabetes medications, a fasting blood glucose level ≥ 7.0 mmol/L, or a self-reported physician diagnosis of diabetes. Both continuous positive airway pressure (CPAP) therapy and oral appliance therapy were categorized as either regular or irregular, as mentioned earlier.</w:t>
      </w:r>
    </w:p>
    <w:p>
      <w:pPr>
        <w:spacing w:before="100" w:beforeAutospacing="1" w:after="100" w:afterAutospacing="1"/>
        <w:jc w:val="both"/>
        <w:rPr>
          <w:rFonts w:ascii="Arial" w:hAnsi="Arial" w:cs="Arial"/>
          <w:b/>
          <w:color w:val="000000"/>
          <w:szCs w:val="24"/>
          <w:lang w:eastAsia="zh-CN"/>
        </w:rPr>
      </w:pPr>
      <w:r>
        <w:rPr>
          <w:rFonts w:ascii="Arial" w:hAnsi="Arial" w:cs="Arial"/>
          <w:b/>
          <w:color w:val="000000"/>
          <w:szCs w:val="24"/>
          <w:lang w:eastAsia="zh-CN"/>
        </w:rPr>
        <w:t>Details of polysomnography</w:t>
      </w:r>
    </w:p>
    <w:p>
      <w:pPr>
        <w:spacing w:before="100" w:beforeAutospacing="1" w:after="100" w:afterAutospacing="1"/>
        <w:jc w:val="both"/>
        <w:rPr>
          <w:rFonts w:ascii="Arial" w:hAnsi="Arial" w:cs="Arial"/>
          <w:bCs/>
          <w:color w:val="000000"/>
          <w:szCs w:val="24"/>
          <w:lang w:eastAsia="zh-CN"/>
        </w:rPr>
      </w:pPr>
      <w:r>
        <w:rPr>
          <w:rFonts w:ascii="Arial" w:hAnsi="Arial" w:cs="Arial"/>
          <w:bCs/>
          <w:color w:val="000000"/>
          <w:szCs w:val="24"/>
          <w:lang w:eastAsia="zh-CN"/>
        </w:rPr>
        <w:t xml:space="preserve">The study was conducted in an accredited sleep laboratory. In the sleep lab, the sleep schedule was regulated, with a “lights-out” time of 12:00 pm and a “lights-on” time of 8:00 am. Participants were not permitted to sleep before lights-out time or sleep past lights-on time. Polysomnography (PSG) consisted of electroencephalograms (C4-A1, O2-A1), right and left electrooculograms, electrocardiogram (ECG), submental and anterior tibial electromyograms, thoracic and abdominal respiratory movements, pulse oxygen saturation, end-tidal and transcutaneous carbon dioxide, oronasal airflow, and nasal pressure. Studies were recorded on an E-series Sleep System (Compumedics, Melbourne, VIC, Australia) and included digital video and audio monitoring. </w:t>
      </w:r>
    </w:p>
    <w:p>
      <w:pPr>
        <w:spacing w:before="100" w:beforeAutospacing="1" w:after="100" w:afterAutospacing="1"/>
        <w:jc w:val="both"/>
        <w:rPr>
          <w:rFonts w:ascii="Arial" w:hAnsi="Arial" w:cs="Arial"/>
          <w:bCs/>
          <w:color w:val="000000"/>
          <w:szCs w:val="24"/>
          <w:lang w:eastAsia="zh-CN"/>
        </w:rPr>
      </w:pPr>
      <w:r>
        <w:rPr>
          <w:rFonts w:ascii="Arial" w:hAnsi="Arial" w:cs="Arial"/>
          <w:bCs/>
          <w:color w:val="000000"/>
          <w:szCs w:val="24"/>
          <w:lang w:eastAsia="zh-CN"/>
        </w:rPr>
        <w:t>Studies were scored at a centralized sleep reading center (the People’s Hospital of Xinjiang Uygur Autonomous Region, Urumqi, Xinjiang, China) by registered polysomnographic technologists. Sleep and arousal were staged using standard criteria [1]. Sleep stages were scored using 30-s epochs according to Rechtschaffen and Kales criteria [2, 3], and sleep architecture variables were noted as a percent of total sleep time for stages NREM 1, NREM 2, NREM 3, and REM sleep. Arousals were scored according to published guidelines and summarized as the total number of arousals per hour of sleep (arousal index) [4].</w:t>
      </w:r>
    </w:p>
    <w:p>
      <w:pPr>
        <w:spacing w:before="100" w:beforeAutospacing="1" w:after="100" w:afterAutospacing="1"/>
        <w:jc w:val="both"/>
        <w:rPr>
          <w:rFonts w:ascii="Arial" w:hAnsi="Arial" w:cs="Arial"/>
          <w:b/>
          <w:color w:val="000000"/>
          <w:szCs w:val="24"/>
          <w:lang w:eastAsia="zh-CN"/>
        </w:rPr>
      </w:pPr>
      <w:bookmarkStart w:id="1" w:name="OLE_LINK16"/>
      <w:r>
        <w:rPr>
          <w:rFonts w:ascii="Arial" w:hAnsi="Arial" w:cs="Arial"/>
          <w:bCs/>
          <w:color w:val="000000"/>
          <w:szCs w:val="24"/>
          <w:lang w:eastAsia="zh-CN"/>
        </w:rPr>
        <w:t>To enable the calculation of alternative definitions of the apnea-hypopnea index (AHI), respiratory events were initially identified by changes in signal amplitude only. Specifically, apneas were identified as complete reductions in the thermocouple signal for ≥10 seconds and hypopneas as approximately 30% reductions in the nasal pressure or inductance signals for ≥10 seconds. Each event was annotated as to its associated oxygen saturation nadir and whether it resulted in an EEG arousal. Apnoea was defined as a 90% decrease in airflow lasting for at least 10 seconds. Hypopneas were defined by ≥ 30% decrement in the amplitude of the nasal pressure flow signal for at least 10 seconds, associated with a 4% arterial oxygen desaturation (with or without arousal). The AHI was defined as the total number of apneas and hypopneas per hour of sleep.</w:t>
      </w:r>
      <w:bookmarkEnd w:id="1"/>
    </w:p>
    <w:p>
      <w:pPr>
        <w:spacing w:before="100" w:beforeAutospacing="1" w:after="100" w:afterAutospacing="1"/>
        <w:jc w:val="both"/>
        <w:rPr>
          <w:rFonts w:ascii="Arial" w:hAnsi="Arial" w:cs="Arial"/>
          <w:b/>
          <w:color w:val="000000"/>
          <w:szCs w:val="24"/>
          <w:lang w:eastAsia="zh-CN"/>
        </w:rPr>
      </w:pPr>
      <w:r>
        <w:rPr>
          <w:rFonts w:ascii="Arial" w:hAnsi="Arial" w:cs="Arial"/>
          <w:b/>
          <w:color w:val="000000"/>
          <w:szCs w:val="24"/>
          <w:lang w:eastAsia="zh-CN"/>
        </w:rPr>
        <w:t>Definition of CVD</w:t>
      </w:r>
    </w:p>
    <w:p>
      <w:pPr>
        <w:spacing w:before="100" w:beforeAutospacing="1" w:after="100" w:afterAutospacing="1"/>
        <w:jc w:val="both"/>
        <w:rPr>
          <w:rFonts w:ascii="Arial" w:hAnsi="Arial" w:cs="Arial"/>
          <w:bCs/>
          <w:color w:val="000000"/>
          <w:szCs w:val="24"/>
          <w:lang w:eastAsia="zh-CN"/>
        </w:rPr>
      </w:pPr>
      <w:r>
        <w:rPr>
          <w:rFonts w:ascii="Arial" w:hAnsi="Arial" w:cs="Arial"/>
          <w:bCs/>
          <w:color w:val="000000"/>
          <w:szCs w:val="24"/>
          <w:lang w:eastAsia="zh-CN"/>
        </w:rPr>
        <w:t xml:space="preserve">In our study, CVD included two categories: CHD and stroke. </w:t>
      </w:r>
    </w:p>
    <w:p>
      <w:pPr>
        <w:spacing w:before="100" w:beforeAutospacing="1" w:after="100" w:afterAutospacing="1"/>
        <w:jc w:val="both"/>
        <w:rPr>
          <w:rFonts w:ascii="Arial" w:hAnsi="Arial" w:cs="Arial"/>
          <w:bCs/>
          <w:color w:val="000000"/>
          <w:szCs w:val="24"/>
          <w:lang w:eastAsia="zh-CN"/>
        </w:rPr>
      </w:pPr>
      <w:r>
        <w:rPr>
          <w:rFonts w:ascii="Arial" w:hAnsi="Arial" w:cs="Arial"/>
          <w:bCs/>
          <w:color w:val="000000"/>
          <w:szCs w:val="24"/>
          <w:lang w:eastAsia="zh-CN"/>
        </w:rPr>
        <w:t>CHD was defined as a fatal or nonfatal myocardial infarction, unstable angina, and coronary revascularization (coronary artery bypass grafting or percutaneous transluminal coronary angioplasty). Myocardial infarction diagnosis required an increase in cardiac enzymes with 1 of the following symptoms: ischemic chest pain, evolutionary ST-T segment changes, or new Q waves [5]. The diagnosis of unstable angina requires hospitalization or outpatient follow-up, and according to Braunwald's diagnosis, it must meet at least one of the following eligibility criteria: Occurring at rest or minimal exertion and usually lasting &gt; 20 min (if not interrupted with nitroglycerine administration); Being new-onset (within 1 month) and severe and described as frank pain Occurring with a crescendo pattern (more severe, prolonged, or frequent than before); in the absence of signs of ST-segment elevation myocardial infarction in left-sided, right-sided, and posterior ECGs, and/or positive cardiac biomarkers.</w:t>
      </w:r>
    </w:p>
    <w:p>
      <w:pPr>
        <w:spacing w:before="100" w:beforeAutospacing="1" w:after="100" w:afterAutospacing="1"/>
        <w:jc w:val="both"/>
        <w:rPr>
          <w:rFonts w:ascii="Arial" w:hAnsi="Arial" w:cs="Arial"/>
          <w:bCs/>
          <w:color w:val="000000"/>
          <w:szCs w:val="24"/>
          <w:lang w:eastAsia="zh-CN"/>
        </w:rPr>
      </w:pPr>
      <w:r>
        <w:rPr>
          <w:rFonts w:ascii="Arial" w:hAnsi="Arial" w:cs="Arial"/>
          <w:bCs/>
          <w:color w:val="000000"/>
          <w:szCs w:val="24"/>
          <w:lang w:eastAsia="zh-CN"/>
        </w:rPr>
        <w:t>Stroke (both ischemic and hemorrhagic) was defined as a fixed neurologic deficit that lasted at least 24 hours or until death.</w:t>
      </w:r>
    </w:p>
    <w:p>
      <w:pPr>
        <w:spacing w:before="100" w:beforeAutospacing="1" w:after="100" w:afterAutospacing="1"/>
        <w:jc w:val="both"/>
        <w:rPr>
          <w:rFonts w:ascii="Arial" w:hAnsi="Arial" w:eastAsia="Times New Roman" w:cs="Arial"/>
          <w:color w:val="000000"/>
          <w:szCs w:val="24"/>
          <w:lang w:eastAsia="en-GB"/>
        </w:rPr>
      </w:pPr>
      <w:r>
        <w:rPr>
          <w:rFonts w:ascii="Arial" w:hAnsi="Arial" w:cs="Arial"/>
          <w:b/>
          <w:color w:val="000000"/>
          <w:szCs w:val="24"/>
          <w:lang w:eastAsia="zh-CN"/>
        </w:rPr>
        <w:t>D</w:t>
      </w:r>
      <w:r>
        <w:rPr>
          <w:rFonts w:ascii="Arial" w:hAnsi="Arial" w:cs="Arial"/>
          <w:b/>
          <w:color w:val="000000"/>
          <w:szCs w:val="24"/>
        </w:rPr>
        <w:t>etails of the statistical analyses</w:t>
      </w:r>
      <w:r>
        <w:rPr>
          <w:rFonts w:ascii="Arial" w:hAnsi="Arial" w:eastAsia="Times New Roman" w:cs="Arial"/>
          <w:color w:val="000000"/>
          <w:szCs w:val="24"/>
          <w:lang w:eastAsia="en-GB"/>
        </w:rPr>
        <w:t>.</w:t>
      </w:r>
    </w:p>
    <w:p>
      <w:pPr>
        <w:spacing w:before="100" w:beforeAutospacing="1" w:after="100" w:afterAutospacing="1"/>
        <w:jc w:val="both"/>
        <w:rPr>
          <w:rFonts w:ascii="Arial" w:hAnsi="Arial" w:eastAsia="宋体" w:cs="Arial"/>
          <w:color w:val="000000"/>
          <w:szCs w:val="24"/>
          <w:lang w:eastAsia="zh-CN"/>
        </w:rPr>
      </w:pPr>
      <w:bookmarkStart w:id="2" w:name="OLE_LINK14"/>
      <w:r>
        <w:rPr>
          <w:rFonts w:ascii="Arial" w:hAnsi="Arial" w:eastAsia="宋体" w:cs="Arial"/>
          <w:color w:val="000000"/>
          <w:szCs w:val="24"/>
          <w:lang w:eastAsia="zh-CN"/>
        </w:rPr>
        <w:t>The participants were divided into three categories according to the tertile of WWI. Continuous variables are presented as means and standard deviations or medians and interquartile ranges (when appropriate), and categorical variables are presented as counts and frequencies. Differences in the characteristics across WWI categories were tested using analysis of variance or the Kruskal–Wallis test for continuous variables according to distribution and using Chi-square for categorical variables. The person-years were determined from the date when the message was collected at baseline to either the date of CVD, death or the date of participating in the last examination in this analysis, whichever came first. The Kaplan–Meier method was performed to evaluate the incidence rate of CVD and its subtypes, and the differences among groups were evaluated using the log-rank test.</w:t>
      </w:r>
    </w:p>
    <w:p>
      <w:pPr>
        <w:spacing w:before="100" w:beforeAutospacing="1" w:after="100" w:afterAutospacing="1"/>
        <w:jc w:val="both"/>
        <w:rPr>
          <w:rFonts w:ascii="Arial" w:hAnsi="Arial" w:eastAsia="宋体" w:cs="Arial"/>
          <w:color w:val="000000"/>
          <w:szCs w:val="24"/>
          <w:lang w:eastAsia="zh-CN"/>
        </w:rPr>
      </w:pPr>
      <w:r>
        <w:rPr>
          <w:rFonts w:ascii="Arial" w:hAnsi="Arial" w:eastAsia="宋体" w:cs="Arial"/>
          <w:color w:val="000000"/>
          <w:szCs w:val="24"/>
          <w:lang w:eastAsia="zh-CN"/>
        </w:rPr>
        <w:t xml:space="preserve">Multicollinearity was checked for the variables of multivariable analysis and was defined as a variance inflation factor of &gt;10 (Table S1). A Cox proportional hazard regression model was applied to calculate the hazard ratios (HRs) and 95% confidence intervals (CIs) for CVD and its subtypes. The proportional hazard assumption was evaluated by visualization of Schoenfeld residuals, and no potential violation was observed. Five models were constructed. Model 1: not adjusted (univariate). Model 2: adjusted for age and sex. Model 3: Model 2 plus adjustment for smoking status, drinking status, SBP, DBP, and diabetes. Model 4: Model 3 plus adjustment for eGFR, TC, TG, HDL-C, LDL-C, FPG, and AHI. Model 5: Model 4 plus adjustment for use of antidiabetic drugs, aspirins, statins, OSA therapy, and antihypertensive drugs. P-values for the trend were computed using the </w:t>
      </w:r>
      <w:bookmarkStart w:id="3" w:name="OLE_LINK1"/>
      <w:r>
        <w:rPr>
          <w:rFonts w:ascii="Arial" w:hAnsi="Arial" w:eastAsia="宋体" w:cs="Arial"/>
          <w:color w:val="000000"/>
          <w:szCs w:val="24"/>
          <w:lang w:eastAsia="zh-CN"/>
        </w:rPr>
        <w:t>tertile</w:t>
      </w:r>
      <w:bookmarkEnd w:id="3"/>
      <w:r>
        <w:rPr>
          <w:rFonts w:ascii="Arial" w:hAnsi="Arial" w:eastAsia="宋体" w:cs="Arial"/>
          <w:color w:val="000000"/>
          <w:szCs w:val="24"/>
          <w:lang w:eastAsia="zh-CN"/>
        </w:rPr>
        <w:t xml:space="preserve"> of WWI as the ordinal variable. To capture the dose–response relationship between WWI and the risk of CVD, restricted cubic splines analysis was used, with four knots at the 5th, 35th, 65th, and 95th percentiles of the WWI distribution. After adjusting for all potential confounding variables, we used a two-piece-wise Cox proportional hazard regression model with smoothing to explore the threshold for the association between WWI and incident CVD events. Inflection points were identified by using likelihood-ratio test and the bootstrap resampling method.</w:t>
      </w:r>
      <w:r>
        <w:rPr>
          <w:rFonts w:hint="eastAsia" w:ascii="Arial" w:hAnsi="Arial" w:eastAsia="宋体" w:cs="Arial"/>
          <w:color w:val="000000"/>
          <w:szCs w:val="24"/>
          <w:lang w:eastAsia="zh-CN"/>
        </w:rPr>
        <w:t xml:space="preserve"> </w:t>
      </w:r>
      <w:r>
        <w:rPr>
          <w:rFonts w:ascii="Arial" w:hAnsi="Arial" w:eastAsia="仿宋" w:cs="Arial"/>
          <w:color w:val="000000"/>
          <w:lang w:eastAsia="zh-CN"/>
        </w:rPr>
        <w:t xml:space="preserve">The receiver operating curve </w:t>
      </w:r>
      <w:r>
        <w:rPr>
          <w:rFonts w:hint="eastAsia" w:ascii="Arial" w:hAnsi="Arial" w:eastAsia="仿宋" w:cs="Arial"/>
          <w:color w:val="000000"/>
          <w:lang w:eastAsia="zh-CN"/>
        </w:rPr>
        <w:t xml:space="preserve">(ROC) </w:t>
      </w:r>
      <w:r>
        <w:rPr>
          <w:rFonts w:ascii="Arial" w:hAnsi="Arial" w:eastAsia="仿宋" w:cs="Arial"/>
          <w:color w:val="000000"/>
          <w:lang w:eastAsia="zh-CN"/>
        </w:rPr>
        <w:t>was used to compare the predictive value of WWI and BMI</w:t>
      </w:r>
    </w:p>
    <w:p>
      <w:pPr>
        <w:spacing w:before="100" w:beforeAutospacing="1" w:after="100" w:afterAutospacing="1"/>
        <w:jc w:val="both"/>
        <w:rPr>
          <w:rFonts w:ascii="Arial" w:hAnsi="Arial" w:eastAsia="微软雅黑" w:cs="Arial"/>
          <w:color w:val="000000"/>
          <w:szCs w:val="24"/>
          <w:lang w:eastAsia="zh-CN"/>
        </w:rPr>
      </w:pPr>
      <w:r>
        <w:rPr>
          <w:rFonts w:ascii="Arial" w:hAnsi="Arial" w:eastAsia="宋体" w:cs="Arial"/>
          <w:color w:val="000000"/>
          <w:szCs w:val="24"/>
          <w:lang w:eastAsia="zh-CN"/>
        </w:rPr>
        <w:t xml:space="preserve">Additional analyses were performed to validate the robustness of the results. First, to explore the potential impact of reverse causality, we repeated the primary analysis using a 2-year lag period by excluding participants who developed CVD cases within the first 2 years of follow-up. Second, the competing risk model was applied to assess the associations between WWI and the outcomes, with non-CVD death being considered a competing risk event. Third, a restricted analysis was performed by excluding patients on OSA therapy. Lastly, we estimated the E-value to assess the potential impact of unmeasured confounders on our study findings. Subgroup analyses were conducted on the participants after stratification by age (&lt; 50 or ≥ 50 years), sex, </w:t>
      </w:r>
      <w:r>
        <w:rPr>
          <w:rFonts w:hint="eastAsia" w:ascii="Arial" w:hAnsi="Arial" w:eastAsia="宋体" w:cs="Arial"/>
          <w:color w:val="000000"/>
          <w:szCs w:val="24"/>
          <w:lang w:eastAsia="zh-CN"/>
        </w:rPr>
        <w:t xml:space="preserve">BMI, </w:t>
      </w:r>
      <w:r>
        <w:rPr>
          <w:rFonts w:ascii="Arial" w:hAnsi="Arial" w:eastAsia="宋体" w:cs="Arial"/>
          <w:color w:val="000000"/>
          <w:szCs w:val="24"/>
          <w:lang w:eastAsia="zh-CN"/>
        </w:rPr>
        <w:t>diabetes, smoking status, drinking status, SBP (&lt; 140 or ≥ 140 mmHg), DBP (&lt; 90 or ≥ 90 mmHg), and AHI (&lt; 15, 15–29, and ≥ 30 events/h) to identify any modification by these variables, interactions between subgroups were tested for using likelihood ratio tests, in which models with and without multiplicative interaction terms were compared.</w:t>
      </w:r>
    </w:p>
    <w:p>
      <w:pPr>
        <w:spacing w:before="100" w:beforeAutospacing="1" w:after="100" w:afterAutospacing="1"/>
        <w:jc w:val="both"/>
        <w:rPr>
          <w:rFonts w:ascii="Arial" w:hAnsi="Arial" w:eastAsia="Times New Roman" w:cs="Arial"/>
          <w:color w:val="000000"/>
          <w:szCs w:val="24"/>
          <w:lang w:eastAsia="en-GB"/>
        </w:rPr>
      </w:pPr>
      <w:r>
        <w:rPr>
          <w:rFonts w:ascii="Arial" w:hAnsi="Arial" w:eastAsia="宋体" w:cs="Arial"/>
          <w:color w:val="000000"/>
          <w:szCs w:val="24"/>
          <w:lang w:eastAsia="zh-CN"/>
        </w:rPr>
        <w:t>All analyses were performed using R software version 4.1.1 (R Core Team, Vienna, Austria). All the statistical tests were two-sided, and P &lt; 0.05 was considered statistical significance</w:t>
      </w:r>
      <w:r>
        <w:rPr>
          <w:rFonts w:ascii="Arial" w:hAnsi="Arial" w:eastAsia="Times New Roman" w:cs="Arial"/>
          <w:color w:val="000000"/>
          <w:szCs w:val="24"/>
          <w:lang w:eastAsia="en-GB"/>
        </w:rPr>
        <w:t>.</w:t>
      </w:r>
    </w:p>
    <w:bookmarkEnd w:id="2"/>
    <w:p>
      <w:pPr>
        <w:spacing w:before="100" w:beforeAutospacing="1" w:after="100" w:afterAutospacing="1"/>
        <w:jc w:val="both"/>
        <w:rPr>
          <w:rFonts w:eastAsia="Times New Roman" w:cs="Times New Roman"/>
          <w:color w:val="000000"/>
          <w:szCs w:val="24"/>
          <w:lang w:eastAsia="en-GB"/>
        </w:rPr>
      </w:pPr>
    </w:p>
    <w:p>
      <w:pPr>
        <w:spacing w:before="100" w:beforeAutospacing="1" w:after="100" w:afterAutospacing="1"/>
        <w:jc w:val="both"/>
        <w:rPr>
          <w:rFonts w:eastAsia="Times New Roman" w:cs="Times New Roman"/>
          <w:color w:val="000000"/>
          <w:szCs w:val="24"/>
          <w:lang w:eastAsia="en-GB"/>
        </w:rPr>
      </w:pPr>
    </w:p>
    <w:p>
      <w:pPr>
        <w:spacing w:before="100" w:beforeAutospacing="1" w:after="100" w:afterAutospacing="1"/>
        <w:jc w:val="both"/>
        <w:rPr>
          <w:rFonts w:eastAsia="Times New Roman" w:cs="Times New Roman"/>
          <w:color w:val="000000"/>
          <w:szCs w:val="24"/>
          <w:lang w:eastAsia="en-GB"/>
        </w:rPr>
      </w:pPr>
    </w:p>
    <w:p>
      <w:pPr>
        <w:spacing w:before="100" w:beforeAutospacing="1" w:after="100" w:afterAutospacing="1"/>
        <w:jc w:val="both"/>
        <w:rPr>
          <w:rFonts w:eastAsia="Times New Roman" w:cs="Times New Roman"/>
          <w:color w:val="000000"/>
          <w:szCs w:val="24"/>
          <w:lang w:eastAsia="en-GB"/>
        </w:rPr>
      </w:pPr>
    </w:p>
    <w:p>
      <w:pPr>
        <w:spacing w:before="100" w:beforeAutospacing="1" w:after="100" w:afterAutospacing="1"/>
        <w:jc w:val="both"/>
        <w:rPr>
          <w:rFonts w:eastAsia="Times New Roman" w:cs="Times New Roman"/>
          <w:color w:val="000000"/>
          <w:szCs w:val="24"/>
          <w:lang w:eastAsia="en-GB"/>
        </w:rPr>
      </w:pPr>
    </w:p>
    <w:p>
      <w:pPr>
        <w:spacing w:before="100" w:beforeAutospacing="1" w:after="100" w:afterAutospacing="1"/>
        <w:jc w:val="both"/>
        <w:rPr>
          <w:rFonts w:eastAsia="Times New Roman" w:cs="Times New Roman"/>
          <w:color w:val="000000"/>
          <w:szCs w:val="24"/>
          <w:lang w:eastAsia="en-GB"/>
        </w:rPr>
      </w:pPr>
    </w:p>
    <w:p>
      <w:pPr>
        <w:spacing w:before="100" w:beforeAutospacing="1" w:after="100" w:afterAutospacing="1"/>
        <w:jc w:val="both"/>
        <w:rPr>
          <w:rFonts w:eastAsia="Times New Roman" w:cs="Times New Roman"/>
          <w:color w:val="000000"/>
          <w:szCs w:val="24"/>
          <w:lang w:eastAsia="en-GB"/>
        </w:rPr>
      </w:pPr>
    </w:p>
    <w:p>
      <w:pPr>
        <w:spacing w:before="100" w:beforeAutospacing="1" w:after="100" w:afterAutospacing="1"/>
        <w:jc w:val="both"/>
        <w:rPr>
          <w:rFonts w:eastAsia="Times New Roman" w:cs="Times New Roman"/>
          <w:color w:val="000000"/>
          <w:szCs w:val="24"/>
          <w:lang w:eastAsia="en-GB"/>
        </w:rPr>
      </w:pPr>
    </w:p>
    <w:p>
      <w:pPr>
        <w:spacing w:before="100" w:beforeAutospacing="1" w:after="100" w:afterAutospacing="1"/>
        <w:jc w:val="both"/>
        <w:rPr>
          <w:rFonts w:eastAsia="Times New Roman" w:cs="Times New Roman"/>
          <w:color w:val="000000"/>
          <w:szCs w:val="24"/>
          <w:lang w:eastAsia="en-GB"/>
        </w:rPr>
      </w:pPr>
    </w:p>
    <w:p>
      <w:pPr>
        <w:spacing w:before="100" w:beforeAutospacing="1" w:after="100" w:afterAutospacing="1"/>
        <w:jc w:val="both"/>
        <w:rPr>
          <w:rFonts w:eastAsia="Times New Roman" w:cs="Times New Roman"/>
          <w:color w:val="000000"/>
          <w:szCs w:val="24"/>
          <w:lang w:eastAsia="en-GB"/>
        </w:rPr>
      </w:pPr>
    </w:p>
    <w:p>
      <w:pPr>
        <w:pStyle w:val="2"/>
        <w:rPr>
          <w:rFonts w:ascii="Arial" w:hAnsi="Arial" w:cs="Arial"/>
          <w:color w:val="000000"/>
          <w:sz w:val="22"/>
        </w:rPr>
      </w:pPr>
      <w:r>
        <w:rPr>
          <w:rFonts w:ascii="Arial" w:hAnsi="Arial" w:cs="Arial"/>
          <w:color w:val="000000"/>
          <w:sz w:val="22"/>
        </w:rPr>
        <w:t>Supplementary Figures and Tables</w:t>
      </w:r>
    </w:p>
    <w:p>
      <w:pPr>
        <w:pStyle w:val="3"/>
        <w:rPr>
          <w:rFonts w:ascii="Arial" w:hAnsi="Arial" w:cs="Arial"/>
          <w:color w:val="000000"/>
          <w:sz w:val="22"/>
        </w:rPr>
      </w:pPr>
      <w:r>
        <w:rPr>
          <w:rFonts w:ascii="Arial" w:hAnsi="Arial" w:cs="Arial"/>
          <w:color w:val="000000"/>
          <w:sz w:val="22"/>
        </w:rPr>
        <w:t>Supplementary Tables</w:t>
      </w:r>
    </w:p>
    <w:p>
      <w:pPr>
        <w:spacing w:before="240"/>
        <w:rPr>
          <w:rFonts w:ascii="Arial" w:hAnsi="Arial" w:cs="Arial"/>
          <w:color w:val="000000"/>
          <w:sz w:val="22"/>
          <w:lang w:eastAsia="zh-CN"/>
        </w:rPr>
      </w:pPr>
      <w:bookmarkStart w:id="4" w:name="OLE_LINK6"/>
      <w:r>
        <w:rPr>
          <w:rFonts w:ascii="Arial" w:hAnsi="Arial" w:cs="Arial"/>
          <w:b/>
          <w:bCs/>
          <w:color w:val="000000"/>
          <w:sz w:val="22"/>
        </w:rPr>
        <w:t>Table S</w:t>
      </w:r>
      <w:r>
        <w:rPr>
          <w:rFonts w:ascii="Arial" w:hAnsi="Arial" w:cs="Arial"/>
          <w:b/>
          <w:bCs/>
          <w:color w:val="000000"/>
          <w:sz w:val="22"/>
          <w:lang w:eastAsia="zh-CN"/>
        </w:rPr>
        <w:t>1</w:t>
      </w:r>
      <w:r>
        <w:rPr>
          <w:rFonts w:ascii="Arial" w:hAnsi="Arial" w:cs="Arial"/>
          <w:color w:val="000000"/>
          <w:sz w:val="22"/>
          <w:lang w:eastAsia="zh-CN"/>
        </w:rPr>
        <w:t xml:space="preserve">. </w:t>
      </w:r>
      <w:bookmarkEnd w:id="4"/>
      <w:r>
        <w:rPr>
          <w:rFonts w:ascii="Arial" w:hAnsi="Arial" w:cs="Arial"/>
          <w:color w:val="000000"/>
          <w:sz w:val="22"/>
          <w:lang w:eastAsia="zh-CN"/>
        </w:rPr>
        <w:t>Collinearity diagnostics steps.</w:t>
      </w:r>
    </w:p>
    <w:tbl>
      <w:tblPr>
        <w:tblStyle w:val="19"/>
        <w:tblW w:w="5295" w:type="dxa"/>
        <w:jc w:val="center"/>
        <w:tblLayout w:type="autofit"/>
        <w:tblCellMar>
          <w:top w:w="0" w:type="dxa"/>
          <w:left w:w="108" w:type="dxa"/>
          <w:bottom w:w="0" w:type="dxa"/>
          <w:right w:w="108" w:type="dxa"/>
        </w:tblCellMar>
      </w:tblPr>
      <w:tblGrid>
        <w:gridCol w:w="3384"/>
        <w:gridCol w:w="1080"/>
        <w:gridCol w:w="1080"/>
      </w:tblGrid>
      <w:tr>
        <w:tblPrEx>
          <w:tblCellMar>
            <w:top w:w="0" w:type="dxa"/>
            <w:left w:w="108" w:type="dxa"/>
            <w:bottom w:w="0" w:type="dxa"/>
            <w:right w:w="108" w:type="dxa"/>
          </w:tblCellMar>
        </w:tblPrEx>
        <w:trPr>
          <w:trHeight w:val="315" w:hRule="atLeast"/>
          <w:jc w:val="center"/>
        </w:trPr>
        <w:tc>
          <w:tcPr>
            <w:tcW w:w="3135" w:type="dxa"/>
            <w:tcBorders>
              <w:top w:val="single" w:color="auto" w:sz="12" w:space="0"/>
              <w:bottom w:val="single" w:color="auto" w:sz="12" w:space="0"/>
            </w:tcBorders>
            <w:shd w:val="clear" w:color="auto" w:fill="auto"/>
            <w:noWrap/>
            <w:vAlign w:val="center"/>
          </w:tcPr>
          <w:p>
            <w:pPr>
              <w:jc w:val="center"/>
              <w:rPr>
                <w:rFonts w:ascii="Arial" w:hAnsi="Arial" w:eastAsia="宋体" w:cs="Arial"/>
                <w:color w:val="000000"/>
                <w:sz w:val="22"/>
              </w:rPr>
            </w:pPr>
          </w:p>
        </w:tc>
        <w:tc>
          <w:tcPr>
            <w:tcW w:w="1080" w:type="dxa"/>
            <w:tcBorders>
              <w:top w:val="single" w:color="auto" w:sz="12" w:space="0"/>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Step 1</w:t>
            </w:r>
          </w:p>
        </w:tc>
        <w:tc>
          <w:tcPr>
            <w:tcW w:w="1080" w:type="dxa"/>
            <w:tcBorders>
              <w:top w:val="single" w:color="auto" w:sz="12" w:space="0"/>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Step 2</w:t>
            </w:r>
          </w:p>
        </w:tc>
      </w:tr>
      <w:tr>
        <w:tblPrEx>
          <w:tblCellMar>
            <w:top w:w="0" w:type="dxa"/>
            <w:left w:w="108" w:type="dxa"/>
            <w:bottom w:w="0" w:type="dxa"/>
            <w:right w:w="108" w:type="dxa"/>
          </w:tblCellMar>
        </w:tblPrEx>
        <w:trPr>
          <w:trHeight w:val="315" w:hRule="atLeast"/>
          <w:jc w:val="center"/>
        </w:trPr>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61</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Sex</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Age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Diabetes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Smoking status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Drinking status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BMI</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46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NA</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WC</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32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NA</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SBP</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2.2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2.2</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DBP</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2.4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2.4</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eGFR</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TC</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1.9</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TG</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HDL-C</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LDL-C</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FPG</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AHI</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ACEIs/ARBs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Beta-blockers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Calcium channel blockers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w:t>
            </w:r>
          </w:p>
        </w:tc>
      </w:tr>
      <w:tr>
        <w:tblPrEx>
          <w:tblCellMar>
            <w:top w:w="0" w:type="dxa"/>
            <w:left w:w="108" w:type="dxa"/>
            <w:bottom w:w="0" w:type="dxa"/>
            <w:right w:w="108" w:type="dxa"/>
          </w:tblCellMar>
        </w:tblPrEx>
        <w:trPr>
          <w:trHeight w:val="31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Diuretics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w:t>
            </w:r>
          </w:p>
        </w:tc>
      </w:tr>
      <w:tr>
        <w:tblPrEx>
          <w:tblCellMar>
            <w:top w:w="0" w:type="dxa"/>
            <w:left w:w="108" w:type="dxa"/>
            <w:bottom w:w="0" w:type="dxa"/>
            <w:right w:w="108" w:type="dxa"/>
          </w:tblCellMar>
        </w:tblPrEx>
        <w:trPr>
          <w:trHeight w:val="55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Aspirins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w:t>
            </w:r>
          </w:p>
        </w:tc>
      </w:tr>
      <w:tr>
        <w:tblPrEx>
          <w:tblCellMar>
            <w:top w:w="0" w:type="dxa"/>
            <w:left w:w="108" w:type="dxa"/>
            <w:bottom w:w="0" w:type="dxa"/>
            <w:right w:w="108" w:type="dxa"/>
          </w:tblCellMar>
        </w:tblPrEx>
        <w:trPr>
          <w:trHeight w:val="300"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Statins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w:t>
            </w:r>
          </w:p>
        </w:tc>
      </w:tr>
      <w:tr>
        <w:tblPrEx>
          <w:tblCellMar>
            <w:top w:w="0" w:type="dxa"/>
            <w:left w:w="108" w:type="dxa"/>
            <w:bottom w:w="0" w:type="dxa"/>
            <w:right w:w="108" w:type="dxa"/>
          </w:tblCellMar>
        </w:tblPrEx>
        <w:trPr>
          <w:trHeight w:val="300"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Antidiabetic drugs</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w:t>
            </w:r>
          </w:p>
        </w:tc>
      </w:tr>
      <w:tr>
        <w:tblPrEx>
          <w:tblCellMar>
            <w:top w:w="0" w:type="dxa"/>
            <w:left w:w="108" w:type="dxa"/>
            <w:bottom w:w="0" w:type="dxa"/>
            <w:right w:w="108" w:type="dxa"/>
          </w:tblCellMar>
        </w:tblPrEx>
        <w:trPr>
          <w:trHeight w:val="300" w:hRule="atLeast"/>
          <w:jc w:val="center"/>
        </w:trPr>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Obstructive sleep apnea therapy</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w:t>
            </w:r>
          </w:p>
        </w:tc>
      </w:tr>
    </w:tbl>
    <w:p>
      <w:pPr>
        <w:spacing w:before="240"/>
        <w:jc w:val="center"/>
        <w:rPr>
          <w:rFonts w:ascii="Arial" w:hAnsi="Arial" w:cs="Arial"/>
          <w:color w:val="000000"/>
          <w:sz w:val="22"/>
        </w:rPr>
      </w:pPr>
    </w:p>
    <w:p>
      <w:pPr>
        <w:spacing w:before="240"/>
        <w:rPr>
          <w:rFonts w:ascii="Arial" w:hAnsi="Arial" w:cs="Arial"/>
          <w:color w:val="000000"/>
          <w:sz w:val="22"/>
        </w:rPr>
      </w:pPr>
      <w:r>
        <w:rPr>
          <w:rFonts w:ascii="Arial" w:hAnsi="Arial" w:cs="Arial"/>
          <w:color w:val="000000"/>
          <w:sz w:val="22"/>
        </w:rPr>
        <w:t>VIF = 1/(1-R</w:t>
      </w:r>
      <w:r>
        <w:rPr>
          <w:rFonts w:ascii="Arial" w:hAnsi="Arial" w:cs="Arial"/>
          <w:color w:val="000000"/>
          <w:sz w:val="22"/>
          <w:vertAlign w:val="superscript"/>
        </w:rPr>
        <w:t>2</w:t>
      </w:r>
      <w:r>
        <w:rPr>
          <w:rFonts w:ascii="Arial" w:hAnsi="Arial" w:cs="Arial"/>
          <w:color w:val="000000"/>
          <w:sz w:val="22"/>
        </w:rPr>
        <w:t>). VIF step-by-step screening method: Calculate the VIF of each variable. If the maximum VIF value is≥</w:t>
      </w:r>
      <w:r>
        <w:rPr>
          <w:rFonts w:ascii="Arial" w:hAnsi="Arial" w:eastAsia="宋体" w:cs="Arial"/>
          <w:color w:val="000000"/>
          <w:sz w:val="22"/>
          <w:lang w:eastAsia="zh-CN"/>
        </w:rPr>
        <w:t>10</w:t>
      </w:r>
      <w:r>
        <w:rPr>
          <w:rFonts w:ascii="Arial" w:hAnsi="Arial" w:cs="Arial"/>
          <w:color w:val="000000"/>
          <w:sz w:val="22"/>
        </w:rPr>
        <w:t>, remove the variable with the maximum VIF value.</w:t>
      </w:r>
    </w:p>
    <w:p>
      <w:pPr>
        <w:spacing w:before="240"/>
        <w:rPr>
          <w:rFonts w:ascii="Arial" w:hAnsi="Arial" w:cs="Arial"/>
          <w:color w:val="000000"/>
          <w:sz w:val="22"/>
        </w:rPr>
      </w:pPr>
      <w:r>
        <w:rPr>
          <w:rFonts w:ascii="Arial" w:hAnsi="Arial" w:cs="Arial"/>
          <w:color w:val="000000"/>
          <w:sz w:val="22"/>
        </w:rPr>
        <w:t>VIF: variance inflation factors.</w:t>
      </w:r>
      <w:r>
        <w:rPr>
          <w:rFonts w:ascii="Arial" w:hAnsi="Arial" w:eastAsia="宋体" w:cs="Arial"/>
          <w:color w:val="000000"/>
          <w:sz w:val="22"/>
          <w:lang w:eastAsia="zh-CN"/>
        </w:rPr>
        <w:t xml:space="preserve"> </w:t>
      </w:r>
      <w:r>
        <w:rPr>
          <w:rFonts w:ascii="Arial" w:hAnsi="Arial" w:eastAsia="等线" w:cs="Arial"/>
          <w:color w:val="000000"/>
          <w:sz w:val="22"/>
          <w:lang w:eastAsia="zh-CN"/>
        </w:rPr>
        <w:t>For other abbreviations, see Table 1.</w:t>
      </w: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p>
    <w:p>
      <w:pPr>
        <w:spacing w:before="240"/>
        <w:rPr>
          <w:rFonts w:ascii="Arial" w:hAnsi="Arial" w:cs="Arial"/>
          <w:color w:val="000000"/>
          <w:sz w:val="22"/>
        </w:rPr>
      </w:pPr>
      <w:r>
        <w:rPr>
          <w:rFonts w:ascii="Arial" w:hAnsi="Arial" w:cs="Arial"/>
          <w:b/>
          <w:bCs/>
          <w:color w:val="000000"/>
          <w:sz w:val="22"/>
        </w:rPr>
        <w:t>Table S</w:t>
      </w:r>
      <w:r>
        <w:rPr>
          <w:rFonts w:ascii="Arial" w:hAnsi="Arial" w:cs="Arial"/>
          <w:b/>
          <w:bCs/>
          <w:color w:val="000000"/>
          <w:sz w:val="22"/>
          <w:lang w:eastAsia="zh-CN"/>
        </w:rPr>
        <w:t>2</w:t>
      </w:r>
      <w:r>
        <w:rPr>
          <w:rFonts w:ascii="Arial" w:hAnsi="Arial" w:cs="Arial"/>
          <w:b/>
          <w:bCs/>
          <w:color w:val="000000"/>
          <w:sz w:val="22"/>
        </w:rPr>
        <w:t>.</w:t>
      </w:r>
      <w:r>
        <w:rPr>
          <w:rFonts w:ascii="Arial" w:hAnsi="Arial" w:cs="Arial"/>
          <w:color w:val="000000"/>
          <w:sz w:val="22"/>
        </w:rPr>
        <w:t xml:space="preserve"> </w:t>
      </w:r>
      <w:r>
        <w:rPr>
          <w:rFonts w:ascii="Arial" w:hAnsi="Arial" w:cs="Arial"/>
          <w:color w:val="000000"/>
          <w:sz w:val="22"/>
          <w:lang w:eastAsia="zh-CN"/>
        </w:rPr>
        <w:t>Comparative analysis of three obesity indicators</w:t>
      </w:r>
      <w:r>
        <w:rPr>
          <w:rFonts w:ascii="Arial" w:hAnsi="Arial" w:cs="Arial"/>
          <w:color w:val="000000"/>
          <w:sz w:val="22"/>
        </w:rPr>
        <w:t>.</w:t>
      </w:r>
    </w:p>
    <w:tbl>
      <w:tblPr>
        <w:tblStyle w:val="19"/>
        <w:tblW w:w="11676" w:type="dxa"/>
        <w:jc w:val="center"/>
        <w:tblLayout w:type="fixed"/>
        <w:tblCellMar>
          <w:top w:w="0" w:type="dxa"/>
          <w:left w:w="108" w:type="dxa"/>
          <w:bottom w:w="0" w:type="dxa"/>
          <w:right w:w="108" w:type="dxa"/>
        </w:tblCellMar>
      </w:tblPr>
      <w:tblGrid>
        <w:gridCol w:w="872"/>
        <w:gridCol w:w="1508"/>
        <w:gridCol w:w="938"/>
        <w:gridCol w:w="963"/>
        <w:gridCol w:w="1360"/>
        <w:gridCol w:w="1281"/>
        <w:gridCol w:w="964"/>
        <w:gridCol w:w="1128"/>
        <w:gridCol w:w="1178"/>
        <w:gridCol w:w="1484"/>
      </w:tblGrid>
      <w:tr>
        <w:tblPrEx>
          <w:tblCellMar>
            <w:top w:w="0" w:type="dxa"/>
            <w:left w:w="108" w:type="dxa"/>
            <w:bottom w:w="0" w:type="dxa"/>
            <w:right w:w="108" w:type="dxa"/>
          </w:tblCellMar>
        </w:tblPrEx>
        <w:trPr>
          <w:trHeight w:val="858" w:hRule="atLeast"/>
          <w:jc w:val="center"/>
        </w:trPr>
        <w:tc>
          <w:tcPr>
            <w:tcW w:w="872" w:type="dxa"/>
            <w:tcBorders>
              <w:top w:val="single" w:color="auto" w:sz="12" w:space="0"/>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Test</w:t>
            </w:r>
          </w:p>
        </w:tc>
        <w:tc>
          <w:tcPr>
            <w:tcW w:w="1508" w:type="dxa"/>
            <w:tcBorders>
              <w:top w:val="single" w:color="auto" w:sz="12" w:space="0"/>
              <w:left w:val="nil"/>
              <w:bottom w:val="single" w:color="auto" w:sz="12" w:space="0"/>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AUC</w:t>
            </w:r>
          </w:p>
        </w:tc>
        <w:tc>
          <w:tcPr>
            <w:tcW w:w="938" w:type="dxa"/>
            <w:tcBorders>
              <w:top w:val="single" w:color="auto" w:sz="12" w:space="0"/>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95%CI low</w:t>
            </w:r>
          </w:p>
        </w:tc>
        <w:tc>
          <w:tcPr>
            <w:tcW w:w="963" w:type="dxa"/>
            <w:tcBorders>
              <w:top w:val="single" w:color="auto" w:sz="12" w:space="0"/>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95%CI up</w:t>
            </w:r>
          </w:p>
        </w:tc>
        <w:tc>
          <w:tcPr>
            <w:tcW w:w="1360" w:type="dxa"/>
            <w:tcBorders>
              <w:top w:val="single" w:color="auto" w:sz="12" w:space="0"/>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Specificity</w:t>
            </w:r>
          </w:p>
        </w:tc>
        <w:tc>
          <w:tcPr>
            <w:tcW w:w="1281" w:type="dxa"/>
            <w:tcBorders>
              <w:top w:val="single" w:color="auto" w:sz="12" w:space="0"/>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Sensitivity</w:t>
            </w:r>
          </w:p>
        </w:tc>
        <w:tc>
          <w:tcPr>
            <w:tcW w:w="964" w:type="dxa"/>
            <w:tcBorders>
              <w:top w:val="single" w:color="auto" w:sz="12" w:space="0"/>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Positive-LR</w:t>
            </w:r>
          </w:p>
        </w:tc>
        <w:tc>
          <w:tcPr>
            <w:tcW w:w="1128" w:type="dxa"/>
            <w:tcBorders>
              <w:top w:val="single" w:color="auto" w:sz="12" w:space="0"/>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Negative-LR</w:t>
            </w:r>
          </w:p>
        </w:tc>
        <w:tc>
          <w:tcPr>
            <w:tcW w:w="1178" w:type="dxa"/>
            <w:tcBorders>
              <w:top w:val="single" w:color="auto" w:sz="12" w:space="0"/>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Postive-pv</w:t>
            </w:r>
          </w:p>
        </w:tc>
        <w:tc>
          <w:tcPr>
            <w:tcW w:w="1484" w:type="dxa"/>
            <w:tcBorders>
              <w:top w:val="single" w:color="auto" w:sz="12" w:space="0"/>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Negative-pv</w:t>
            </w:r>
          </w:p>
        </w:tc>
      </w:tr>
      <w:tr>
        <w:tblPrEx>
          <w:tblCellMar>
            <w:top w:w="0" w:type="dxa"/>
            <w:left w:w="108" w:type="dxa"/>
            <w:bottom w:w="0" w:type="dxa"/>
            <w:right w:w="108" w:type="dxa"/>
          </w:tblCellMar>
        </w:tblPrEx>
        <w:trPr>
          <w:trHeight w:val="714" w:hRule="atLeast"/>
          <w:jc w:val="center"/>
        </w:trPr>
        <w:tc>
          <w:tcPr>
            <w:tcW w:w="872" w:type="dxa"/>
            <w:tcBorders>
              <w:top w:val="single" w:color="auto" w:sz="12" w:space="0"/>
              <w:left w:val="nil"/>
              <w:bottom w:val="nil"/>
              <w:right w:val="nil"/>
            </w:tcBorders>
            <w:shd w:val="clear" w:color="auto" w:fill="auto"/>
            <w:noWrap/>
            <w:vAlign w:val="center"/>
          </w:tcPr>
          <w:p>
            <w:pPr>
              <w:spacing w:line="360" w:lineRule="auto"/>
              <w:textAlignment w:val="center"/>
              <w:rPr>
                <w:rFonts w:ascii="Arial" w:hAnsi="Arial" w:eastAsia="宋体" w:cs="Arial"/>
                <w:b/>
                <w:bCs/>
                <w:color w:val="000000"/>
                <w:sz w:val="21"/>
                <w:szCs w:val="21"/>
                <w:lang w:eastAsia="zh-CN" w:bidi="ar"/>
              </w:rPr>
            </w:pPr>
            <w:r>
              <w:rPr>
                <w:rFonts w:ascii="Arial" w:hAnsi="Arial" w:eastAsia="宋体" w:cs="Arial"/>
                <w:b/>
                <w:bCs/>
                <w:color w:val="000000"/>
                <w:sz w:val="21"/>
                <w:szCs w:val="21"/>
                <w:lang w:eastAsia="zh-CN" w:bidi="ar"/>
              </w:rPr>
              <w:t>CVD</w:t>
            </w:r>
          </w:p>
        </w:tc>
        <w:tc>
          <w:tcPr>
            <w:tcW w:w="1508" w:type="dxa"/>
            <w:tcBorders>
              <w:top w:val="single" w:color="auto" w:sz="12" w:space="0"/>
              <w:left w:val="nil"/>
              <w:bottom w:val="nil"/>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lang w:eastAsia="zh-CN" w:bidi="ar"/>
              </w:rPr>
            </w:pPr>
          </w:p>
        </w:tc>
        <w:tc>
          <w:tcPr>
            <w:tcW w:w="938" w:type="dxa"/>
            <w:tcBorders>
              <w:top w:val="single" w:color="auto" w:sz="12" w:space="0"/>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lang w:eastAsia="zh-CN" w:bidi="ar"/>
              </w:rPr>
            </w:pPr>
          </w:p>
        </w:tc>
        <w:tc>
          <w:tcPr>
            <w:tcW w:w="963" w:type="dxa"/>
            <w:tcBorders>
              <w:top w:val="single" w:color="auto" w:sz="12" w:space="0"/>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lang w:eastAsia="zh-CN" w:bidi="ar"/>
              </w:rPr>
            </w:pPr>
          </w:p>
        </w:tc>
        <w:tc>
          <w:tcPr>
            <w:tcW w:w="1360" w:type="dxa"/>
            <w:tcBorders>
              <w:top w:val="single" w:color="auto" w:sz="12" w:space="0"/>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lang w:eastAsia="zh-CN" w:bidi="ar"/>
              </w:rPr>
            </w:pPr>
          </w:p>
        </w:tc>
        <w:tc>
          <w:tcPr>
            <w:tcW w:w="1281" w:type="dxa"/>
            <w:tcBorders>
              <w:top w:val="single" w:color="auto" w:sz="12" w:space="0"/>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lang w:eastAsia="zh-CN" w:bidi="ar"/>
              </w:rPr>
            </w:pPr>
          </w:p>
        </w:tc>
        <w:tc>
          <w:tcPr>
            <w:tcW w:w="964" w:type="dxa"/>
            <w:tcBorders>
              <w:top w:val="single" w:color="auto" w:sz="12" w:space="0"/>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lang w:eastAsia="zh-CN" w:bidi="ar"/>
              </w:rPr>
            </w:pPr>
          </w:p>
        </w:tc>
        <w:tc>
          <w:tcPr>
            <w:tcW w:w="1128" w:type="dxa"/>
            <w:tcBorders>
              <w:top w:val="single" w:color="auto" w:sz="12" w:space="0"/>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lang w:eastAsia="zh-CN" w:bidi="ar"/>
              </w:rPr>
            </w:pPr>
          </w:p>
        </w:tc>
        <w:tc>
          <w:tcPr>
            <w:tcW w:w="1178" w:type="dxa"/>
            <w:tcBorders>
              <w:top w:val="single" w:color="auto" w:sz="12" w:space="0"/>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lang w:eastAsia="zh-CN" w:bidi="ar"/>
              </w:rPr>
            </w:pPr>
          </w:p>
        </w:tc>
        <w:tc>
          <w:tcPr>
            <w:tcW w:w="1484" w:type="dxa"/>
            <w:tcBorders>
              <w:top w:val="single" w:color="auto" w:sz="12" w:space="0"/>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lang w:eastAsia="zh-CN" w:bidi="ar"/>
              </w:rPr>
            </w:pP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BMI</w:t>
            </w:r>
          </w:p>
        </w:tc>
        <w:tc>
          <w:tcPr>
            <w:tcW w:w="1508" w:type="dxa"/>
            <w:tcBorders>
              <w:top w:val="nil"/>
              <w:left w:val="nil"/>
              <w:bottom w:val="nil"/>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0.591</w:t>
            </w:r>
          </w:p>
        </w:tc>
        <w:tc>
          <w:tcPr>
            <w:tcW w:w="93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0.557</w:t>
            </w:r>
          </w:p>
        </w:tc>
        <w:tc>
          <w:tcPr>
            <w:tcW w:w="963"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0.625</w:t>
            </w:r>
          </w:p>
        </w:tc>
        <w:tc>
          <w:tcPr>
            <w:tcW w:w="1360"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0.457</w:t>
            </w:r>
          </w:p>
        </w:tc>
        <w:tc>
          <w:tcPr>
            <w:tcW w:w="1281"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0.701</w:t>
            </w:r>
          </w:p>
        </w:tc>
        <w:tc>
          <w:tcPr>
            <w:tcW w:w="96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1.290</w:t>
            </w:r>
          </w:p>
        </w:tc>
        <w:tc>
          <w:tcPr>
            <w:tcW w:w="112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0.655</w:t>
            </w:r>
          </w:p>
        </w:tc>
        <w:tc>
          <w:tcPr>
            <w:tcW w:w="117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0.177</w:t>
            </w:r>
          </w:p>
        </w:tc>
        <w:tc>
          <w:tcPr>
            <w:tcW w:w="148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0.901</w:t>
            </w: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WC</w:t>
            </w:r>
          </w:p>
        </w:tc>
        <w:tc>
          <w:tcPr>
            <w:tcW w:w="1508" w:type="dxa"/>
            <w:tcBorders>
              <w:top w:val="nil"/>
              <w:left w:val="nil"/>
              <w:bottom w:val="nil"/>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0.569</w:t>
            </w:r>
          </w:p>
        </w:tc>
        <w:tc>
          <w:tcPr>
            <w:tcW w:w="93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0.536</w:t>
            </w:r>
          </w:p>
        </w:tc>
        <w:tc>
          <w:tcPr>
            <w:tcW w:w="963"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0.60</w:t>
            </w:r>
            <w:r>
              <w:rPr>
                <w:rFonts w:ascii="Arial" w:hAnsi="Arial" w:cs="Arial"/>
                <w:color w:val="000000"/>
                <w:sz w:val="21"/>
                <w:szCs w:val="21"/>
                <w:lang w:eastAsia="zh-CN" w:bidi="ar"/>
              </w:rPr>
              <w:t>3</w:t>
            </w:r>
          </w:p>
        </w:tc>
        <w:tc>
          <w:tcPr>
            <w:tcW w:w="1360"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0.58</w:t>
            </w:r>
            <w:r>
              <w:rPr>
                <w:rFonts w:ascii="Arial" w:hAnsi="Arial" w:cs="Arial"/>
                <w:color w:val="000000"/>
                <w:sz w:val="21"/>
                <w:szCs w:val="21"/>
                <w:lang w:eastAsia="zh-CN" w:bidi="ar"/>
              </w:rPr>
              <w:t>5</w:t>
            </w:r>
          </w:p>
        </w:tc>
        <w:tc>
          <w:tcPr>
            <w:tcW w:w="1281"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0.55</w:t>
            </w:r>
            <w:r>
              <w:rPr>
                <w:rFonts w:ascii="Arial" w:hAnsi="Arial" w:cs="Arial"/>
                <w:color w:val="000000"/>
                <w:sz w:val="21"/>
                <w:szCs w:val="21"/>
                <w:lang w:eastAsia="zh-CN" w:bidi="ar"/>
              </w:rPr>
              <w:t>3</w:t>
            </w:r>
          </w:p>
        </w:tc>
        <w:tc>
          <w:tcPr>
            <w:tcW w:w="96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1.330</w:t>
            </w:r>
          </w:p>
        </w:tc>
        <w:tc>
          <w:tcPr>
            <w:tcW w:w="112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0.765</w:t>
            </w:r>
          </w:p>
        </w:tc>
        <w:tc>
          <w:tcPr>
            <w:tcW w:w="117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0.18</w:t>
            </w:r>
            <w:r>
              <w:rPr>
                <w:rFonts w:ascii="Arial" w:hAnsi="Arial" w:cs="Arial"/>
                <w:color w:val="000000"/>
                <w:sz w:val="21"/>
                <w:szCs w:val="21"/>
                <w:lang w:eastAsia="zh-CN" w:bidi="ar"/>
              </w:rPr>
              <w:t>2</w:t>
            </w:r>
          </w:p>
        </w:tc>
        <w:tc>
          <w:tcPr>
            <w:tcW w:w="148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0.88</w:t>
            </w:r>
            <w:r>
              <w:rPr>
                <w:rFonts w:ascii="Arial" w:hAnsi="Arial" w:cs="Arial"/>
                <w:color w:val="000000"/>
                <w:sz w:val="21"/>
                <w:szCs w:val="21"/>
                <w:lang w:eastAsia="zh-CN" w:bidi="ar"/>
              </w:rPr>
              <w:t>7</w:t>
            </w: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WWI</w:t>
            </w:r>
          </w:p>
        </w:tc>
        <w:tc>
          <w:tcPr>
            <w:tcW w:w="1508" w:type="dxa"/>
            <w:tcBorders>
              <w:top w:val="nil"/>
              <w:left w:val="nil"/>
              <w:bottom w:val="nil"/>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0.622</w:t>
            </w:r>
          </w:p>
        </w:tc>
        <w:tc>
          <w:tcPr>
            <w:tcW w:w="93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0.589</w:t>
            </w:r>
          </w:p>
        </w:tc>
        <w:tc>
          <w:tcPr>
            <w:tcW w:w="963"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0.65</w:t>
            </w:r>
            <w:r>
              <w:rPr>
                <w:rFonts w:ascii="Arial" w:hAnsi="Arial" w:cs="Arial"/>
                <w:color w:val="000000"/>
                <w:sz w:val="21"/>
                <w:szCs w:val="21"/>
                <w:lang w:eastAsia="zh-CN" w:bidi="ar"/>
              </w:rPr>
              <w:t>5</w:t>
            </w:r>
          </w:p>
        </w:tc>
        <w:tc>
          <w:tcPr>
            <w:tcW w:w="1360"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0.651</w:t>
            </w:r>
          </w:p>
        </w:tc>
        <w:tc>
          <w:tcPr>
            <w:tcW w:w="1281"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0.540</w:t>
            </w:r>
          </w:p>
        </w:tc>
        <w:tc>
          <w:tcPr>
            <w:tcW w:w="96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1.54</w:t>
            </w:r>
            <w:r>
              <w:rPr>
                <w:rFonts w:ascii="Arial" w:hAnsi="Arial" w:cs="Arial"/>
                <w:color w:val="000000"/>
                <w:sz w:val="21"/>
                <w:szCs w:val="21"/>
                <w:lang w:eastAsia="zh-CN" w:bidi="ar"/>
              </w:rPr>
              <w:t>9</w:t>
            </w:r>
          </w:p>
        </w:tc>
        <w:tc>
          <w:tcPr>
            <w:tcW w:w="112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0.706</w:t>
            </w:r>
          </w:p>
        </w:tc>
        <w:tc>
          <w:tcPr>
            <w:tcW w:w="117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0.205</w:t>
            </w:r>
          </w:p>
        </w:tc>
        <w:tc>
          <w:tcPr>
            <w:tcW w:w="148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0.89</w:t>
            </w:r>
            <w:r>
              <w:rPr>
                <w:rFonts w:ascii="Arial" w:hAnsi="Arial" w:cs="Arial"/>
                <w:color w:val="000000"/>
                <w:sz w:val="21"/>
                <w:szCs w:val="21"/>
                <w:lang w:eastAsia="zh-CN" w:bidi="ar"/>
              </w:rPr>
              <w:t>5</w:t>
            </w: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b/>
                <w:bCs/>
                <w:color w:val="000000"/>
                <w:sz w:val="21"/>
                <w:szCs w:val="21"/>
                <w:lang w:eastAsia="zh-CN" w:bidi="ar"/>
              </w:rPr>
              <w:t>CHD</w:t>
            </w:r>
          </w:p>
        </w:tc>
        <w:tc>
          <w:tcPr>
            <w:tcW w:w="1508" w:type="dxa"/>
            <w:tcBorders>
              <w:top w:val="nil"/>
              <w:left w:val="nil"/>
              <w:bottom w:val="nil"/>
              <w:right w:val="nil"/>
            </w:tcBorders>
            <w:shd w:val="clear" w:color="auto" w:fill="auto"/>
            <w:noWrap/>
            <w:vAlign w:val="center"/>
          </w:tcPr>
          <w:p>
            <w:pPr>
              <w:spacing w:line="360" w:lineRule="auto"/>
              <w:jc w:val="center"/>
              <w:rPr>
                <w:rFonts w:ascii="Arial" w:hAnsi="Arial" w:eastAsia="宋体" w:cs="Arial"/>
                <w:color w:val="000000"/>
                <w:sz w:val="21"/>
                <w:szCs w:val="21"/>
              </w:rPr>
            </w:pPr>
          </w:p>
        </w:tc>
        <w:tc>
          <w:tcPr>
            <w:tcW w:w="938"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963"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360"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281"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964"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128"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178"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484"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BMI</w:t>
            </w:r>
          </w:p>
        </w:tc>
        <w:tc>
          <w:tcPr>
            <w:tcW w:w="1508" w:type="dxa"/>
            <w:tcBorders>
              <w:top w:val="nil"/>
              <w:left w:val="nil"/>
              <w:bottom w:val="nil"/>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0.577</w:t>
            </w:r>
          </w:p>
        </w:tc>
        <w:tc>
          <w:tcPr>
            <w:tcW w:w="93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0.535</w:t>
            </w:r>
          </w:p>
        </w:tc>
        <w:tc>
          <w:tcPr>
            <w:tcW w:w="963"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0.61</w:t>
            </w:r>
            <w:r>
              <w:rPr>
                <w:rFonts w:ascii="Arial" w:hAnsi="Arial" w:cs="Arial"/>
                <w:color w:val="000000"/>
                <w:sz w:val="21"/>
                <w:szCs w:val="21"/>
                <w:lang w:eastAsia="zh-CN" w:bidi="ar"/>
              </w:rPr>
              <w:t>9</w:t>
            </w:r>
          </w:p>
        </w:tc>
        <w:tc>
          <w:tcPr>
            <w:tcW w:w="1360"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0.673</w:t>
            </w:r>
          </w:p>
        </w:tc>
        <w:tc>
          <w:tcPr>
            <w:tcW w:w="1281"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0.47</w:t>
            </w:r>
            <w:r>
              <w:rPr>
                <w:rFonts w:ascii="Arial" w:hAnsi="Arial" w:cs="Arial"/>
                <w:color w:val="000000"/>
                <w:sz w:val="21"/>
                <w:szCs w:val="21"/>
                <w:lang w:eastAsia="zh-CN" w:bidi="ar"/>
              </w:rPr>
              <w:t>8</w:t>
            </w:r>
          </w:p>
        </w:tc>
        <w:tc>
          <w:tcPr>
            <w:tcW w:w="96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1.46</w:t>
            </w:r>
            <w:r>
              <w:rPr>
                <w:rFonts w:ascii="Arial" w:hAnsi="Arial" w:cs="Arial"/>
                <w:color w:val="000000"/>
                <w:sz w:val="21"/>
                <w:szCs w:val="21"/>
                <w:lang w:eastAsia="zh-CN" w:bidi="ar"/>
              </w:rPr>
              <w:t>3</w:t>
            </w:r>
          </w:p>
        </w:tc>
        <w:tc>
          <w:tcPr>
            <w:tcW w:w="112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0.77</w:t>
            </w:r>
            <w:r>
              <w:rPr>
                <w:rFonts w:ascii="Arial" w:hAnsi="Arial" w:cs="Arial"/>
                <w:color w:val="000000"/>
                <w:sz w:val="21"/>
                <w:szCs w:val="21"/>
                <w:lang w:eastAsia="zh-CN" w:bidi="ar"/>
              </w:rPr>
              <w:t>6</w:t>
            </w:r>
          </w:p>
        </w:tc>
        <w:tc>
          <w:tcPr>
            <w:tcW w:w="117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0.12</w:t>
            </w:r>
            <w:r>
              <w:rPr>
                <w:rFonts w:ascii="Arial" w:hAnsi="Arial" w:cs="Arial"/>
                <w:color w:val="000000"/>
                <w:sz w:val="21"/>
                <w:szCs w:val="21"/>
                <w:lang w:eastAsia="zh-CN" w:bidi="ar"/>
              </w:rPr>
              <w:t>5</w:t>
            </w:r>
          </w:p>
        </w:tc>
        <w:tc>
          <w:tcPr>
            <w:tcW w:w="148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0.9</w:t>
            </w:r>
            <w:r>
              <w:rPr>
                <w:rFonts w:ascii="Arial" w:hAnsi="Arial" w:cs="Arial"/>
                <w:color w:val="000000"/>
                <w:sz w:val="21"/>
                <w:szCs w:val="21"/>
                <w:lang w:eastAsia="zh-CN" w:bidi="ar"/>
              </w:rPr>
              <w:t>30</w:t>
            </w: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WC</w:t>
            </w:r>
          </w:p>
        </w:tc>
        <w:tc>
          <w:tcPr>
            <w:tcW w:w="1508" w:type="dxa"/>
            <w:tcBorders>
              <w:top w:val="nil"/>
              <w:left w:val="nil"/>
              <w:bottom w:val="nil"/>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0.581</w:t>
            </w:r>
          </w:p>
        </w:tc>
        <w:tc>
          <w:tcPr>
            <w:tcW w:w="93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0.542</w:t>
            </w:r>
          </w:p>
        </w:tc>
        <w:tc>
          <w:tcPr>
            <w:tcW w:w="963"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0.62</w:t>
            </w:r>
            <w:r>
              <w:rPr>
                <w:rFonts w:ascii="Arial" w:hAnsi="Arial" w:cs="Arial"/>
                <w:color w:val="000000"/>
                <w:sz w:val="21"/>
                <w:szCs w:val="21"/>
                <w:lang w:eastAsia="zh-CN" w:bidi="ar"/>
              </w:rPr>
              <w:t>0</w:t>
            </w:r>
          </w:p>
        </w:tc>
        <w:tc>
          <w:tcPr>
            <w:tcW w:w="1360"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0.511</w:t>
            </w:r>
          </w:p>
        </w:tc>
        <w:tc>
          <w:tcPr>
            <w:tcW w:w="1281"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0.66</w:t>
            </w:r>
            <w:r>
              <w:rPr>
                <w:rFonts w:ascii="Arial" w:hAnsi="Arial" w:cs="Arial"/>
                <w:color w:val="000000"/>
                <w:sz w:val="21"/>
                <w:szCs w:val="21"/>
                <w:lang w:eastAsia="zh-CN" w:bidi="ar"/>
              </w:rPr>
              <w:t>2</w:t>
            </w:r>
          </w:p>
        </w:tc>
        <w:tc>
          <w:tcPr>
            <w:tcW w:w="96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1.35</w:t>
            </w:r>
            <w:r>
              <w:rPr>
                <w:rFonts w:ascii="Arial" w:hAnsi="Arial" w:cs="Arial"/>
                <w:color w:val="000000"/>
                <w:sz w:val="21"/>
                <w:szCs w:val="21"/>
                <w:lang w:eastAsia="zh-CN" w:bidi="ar"/>
              </w:rPr>
              <w:t>4</w:t>
            </w:r>
          </w:p>
        </w:tc>
        <w:tc>
          <w:tcPr>
            <w:tcW w:w="112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0.66</w:t>
            </w:r>
            <w:r>
              <w:rPr>
                <w:rFonts w:ascii="Arial" w:hAnsi="Arial" w:cs="Arial"/>
                <w:color w:val="000000"/>
                <w:sz w:val="21"/>
                <w:szCs w:val="21"/>
                <w:lang w:eastAsia="zh-CN" w:bidi="ar"/>
              </w:rPr>
              <w:t>2</w:t>
            </w:r>
          </w:p>
        </w:tc>
        <w:tc>
          <w:tcPr>
            <w:tcW w:w="117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0.11</w:t>
            </w:r>
            <w:r>
              <w:rPr>
                <w:rFonts w:ascii="Arial" w:hAnsi="Arial" w:cs="Arial"/>
                <w:color w:val="000000"/>
                <w:sz w:val="21"/>
                <w:szCs w:val="21"/>
                <w:lang w:eastAsia="zh-CN" w:bidi="ar"/>
              </w:rPr>
              <w:t>7</w:t>
            </w:r>
          </w:p>
        </w:tc>
        <w:tc>
          <w:tcPr>
            <w:tcW w:w="148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0.9</w:t>
            </w:r>
            <w:r>
              <w:rPr>
                <w:rFonts w:ascii="Arial" w:hAnsi="Arial" w:cs="Arial"/>
                <w:color w:val="000000"/>
                <w:sz w:val="21"/>
                <w:szCs w:val="21"/>
                <w:lang w:eastAsia="zh-CN" w:bidi="ar"/>
              </w:rPr>
              <w:t>40</w:t>
            </w: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WWI</w:t>
            </w:r>
          </w:p>
        </w:tc>
        <w:tc>
          <w:tcPr>
            <w:tcW w:w="1508" w:type="dxa"/>
            <w:tcBorders>
              <w:top w:val="nil"/>
              <w:left w:val="nil"/>
              <w:bottom w:val="nil"/>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0.610</w:t>
            </w:r>
          </w:p>
        </w:tc>
        <w:tc>
          <w:tcPr>
            <w:tcW w:w="93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0.57</w:t>
            </w:r>
            <w:r>
              <w:rPr>
                <w:rFonts w:ascii="Arial" w:hAnsi="Arial" w:cs="Arial"/>
                <w:color w:val="000000"/>
                <w:sz w:val="21"/>
                <w:szCs w:val="21"/>
                <w:lang w:eastAsia="zh-CN" w:bidi="ar"/>
              </w:rPr>
              <w:t>2</w:t>
            </w:r>
          </w:p>
        </w:tc>
        <w:tc>
          <w:tcPr>
            <w:tcW w:w="963"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0.649</w:t>
            </w:r>
          </w:p>
        </w:tc>
        <w:tc>
          <w:tcPr>
            <w:tcW w:w="1360"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0.59</w:t>
            </w:r>
            <w:r>
              <w:rPr>
                <w:rFonts w:ascii="Arial" w:hAnsi="Arial" w:cs="Arial"/>
                <w:color w:val="000000"/>
                <w:sz w:val="21"/>
                <w:szCs w:val="21"/>
                <w:lang w:eastAsia="zh-CN" w:bidi="ar"/>
              </w:rPr>
              <w:t>3</w:t>
            </w:r>
          </w:p>
        </w:tc>
        <w:tc>
          <w:tcPr>
            <w:tcW w:w="1281"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0.62</w:t>
            </w:r>
            <w:r>
              <w:rPr>
                <w:rFonts w:ascii="Arial" w:hAnsi="Arial" w:cs="Arial"/>
                <w:color w:val="000000"/>
                <w:sz w:val="21"/>
                <w:szCs w:val="21"/>
                <w:lang w:eastAsia="zh-CN" w:bidi="ar"/>
              </w:rPr>
              <w:t>2</w:t>
            </w:r>
          </w:p>
        </w:tc>
        <w:tc>
          <w:tcPr>
            <w:tcW w:w="96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1.526</w:t>
            </w:r>
          </w:p>
        </w:tc>
        <w:tc>
          <w:tcPr>
            <w:tcW w:w="112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0.63</w:t>
            </w:r>
            <w:r>
              <w:rPr>
                <w:rFonts w:ascii="Arial" w:hAnsi="Arial" w:cs="Arial"/>
                <w:color w:val="000000"/>
                <w:sz w:val="21"/>
                <w:szCs w:val="21"/>
                <w:lang w:eastAsia="zh-CN" w:bidi="ar"/>
              </w:rPr>
              <w:t>9</w:t>
            </w:r>
          </w:p>
        </w:tc>
        <w:tc>
          <w:tcPr>
            <w:tcW w:w="117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0.1</w:t>
            </w:r>
            <w:r>
              <w:rPr>
                <w:rFonts w:ascii="Arial" w:hAnsi="Arial" w:cs="Arial"/>
                <w:color w:val="000000"/>
                <w:sz w:val="21"/>
                <w:szCs w:val="21"/>
                <w:lang w:eastAsia="zh-CN" w:bidi="ar"/>
              </w:rPr>
              <w:t>30</w:t>
            </w:r>
          </w:p>
        </w:tc>
        <w:tc>
          <w:tcPr>
            <w:tcW w:w="148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0.941</w:t>
            </w: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b/>
                <w:bCs/>
                <w:color w:val="000000"/>
                <w:sz w:val="21"/>
                <w:szCs w:val="21"/>
                <w:lang w:eastAsia="zh-CN" w:bidi="ar"/>
              </w:rPr>
              <w:t>Stroke</w:t>
            </w:r>
          </w:p>
        </w:tc>
        <w:tc>
          <w:tcPr>
            <w:tcW w:w="1508" w:type="dxa"/>
            <w:tcBorders>
              <w:top w:val="nil"/>
              <w:left w:val="nil"/>
              <w:bottom w:val="nil"/>
              <w:right w:val="nil"/>
            </w:tcBorders>
            <w:shd w:val="clear" w:color="auto" w:fill="auto"/>
            <w:noWrap/>
            <w:vAlign w:val="center"/>
          </w:tcPr>
          <w:p>
            <w:pPr>
              <w:spacing w:line="360" w:lineRule="auto"/>
              <w:jc w:val="center"/>
              <w:rPr>
                <w:rFonts w:ascii="Arial" w:hAnsi="Arial" w:eastAsia="宋体" w:cs="Arial"/>
                <w:color w:val="000000"/>
                <w:sz w:val="21"/>
                <w:szCs w:val="21"/>
              </w:rPr>
            </w:pPr>
          </w:p>
        </w:tc>
        <w:tc>
          <w:tcPr>
            <w:tcW w:w="938"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963"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360"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281"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964"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128"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178"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c>
          <w:tcPr>
            <w:tcW w:w="1484" w:type="dxa"/>
            <w:tcBorders>
              <w:top w:val="nil"/>
              <w:left w:val="nil"/>
              <w:bottom w:val="nil"/>
              <w:right w:val="nil"/>
            </w:tcBorders>
            <w:shd w:val="clear" w:color="auto" w:fill="auto"/>
            <w:noWrap/>
            <w:vAlign w:val="center"/>
          </w:tcPr>
          <w:p>
            <w:pPr>
              <w:spacing w:line="360" w:lineRule="auto"/>
              <w:rPr>
                <w:rFonts w:ascii="Arial" w:hAnsi="Arial" w:eastAsia="宋体" w:cs="Arial"/>
                <w:color w:val="000000"/>
                <w:sz w:val="21"/>
                <w:szCs w:val="21"/>
              </w:rPr>
            </w:pP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BMI</w:t>
            </w:r>
          </w:p>
        </w:tc>
        <w:tc>
          <w:tcPr>
            <w:tcW w:w="1508" w:type="dxa"/>
            <w:tcBorders>
              <w:top w:val="nil"/>
              <w:left w:val="nil"/>
              <w:bottom w:val="nil"/>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0.596</w:t>
            </w:r>
          </w:p>
        </w:tc>
        <w:tc>
          <w:tcPr>
            <w:tcW w:w="93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0.54</w:t>
            </w:r>
            <w:r>
              <w:rPr>
                <w:rFonts w:ascii="Arial" w:hAnsi="Arial" w:cs="Arial"/>
                <w:color w:val="000000"/>
                <w:sz w:val="21"/>
                <w:szCs w:val="21"/>
                <w:lang w:eastAsia="zh-CN" w:bidi="ar"/>
              </w:rPr>
              <w:t>2</w:t>
            </w:r>
          </w:p>
        </w:tc>
        <w:tc>
          <w:tcPr>
            <w:tcW w:w="963"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0.65</w:t>
            </w:r>
            <w:r>
              <w:rPr>
                <w:rFonts w:ascii="Arial" w:hAnsi="Arial" w:cs="Arial"/>
                <w:color w:val="000000"/>
                <w:sz w:val="21"/>
                <w:szCs w:val="21"/>
                <w:lang w:eastAsia="zh-CN" w:bidi="ar"/>
              </w:rPr>
              <w:t>1</w:t>
            </w:r>
          </w:p>
        </w:tc>
        <w:tc>
          <w:tcPr>
            <w:tcW w:w="1360"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0.79</w:t>
            </w:r>
            <w:r>
              <w:rPr>
                <w:rFonts w:ascii="Arial" w:hAnsi="Arial" w:cs="Arial"/>
                <w:color w:val="000000"/>
                <w:sz w:val="21"/>
                <w:szCs w:val="21"/>
                <w:lang w:eastAsia="zh-CN" w:bidi="ar"/>
              </w:rPr>
              <w:t>9</w:t>
            </w:r>
          </w:p>
        </w:tc>
        <w:tc>
          <w:tcPr>
            <w:tcW w:w="1281"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0.382</w:t>
            </w:r>
          </w:p>
        </w:tc>
        <w:tc>
          <w:tcPr>
            <w:tcW w:w="96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1.</w:t>
            </w:r>
            <w:r>
              <w:rPr>
                <w:rFonts w:ascii="Arial" w:hAnsi="Arial" w:cs="Arial"/>
                <w:color w:val="000000"/>
                <w:sz w:val="21"/>
                <w:szCs w:val="21"/>
                <w:lang w:eastAsia="zh-CN" w:bidi="ar"/>
              </w:rPr>
              <w:t>900</w:t>
            </w:r>
          </w:p>
        </w:tc>
        <w:tc>
          <w:tcPr>
            <w:tcW w:w="112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0.77</w:t>
            </w:r>
            <w:r>
              <w:rPr>
                <w:rFonts w:ascii="Arial" w:hAnsi="Arial" w:cs="Arial"/>
                <w:color w:val="000000"/>
                <w:sz w:val="21"/>
                <w:szCs w:val="21"/>
                <w:lang w:eastAsia="zh-CN" w:bidi="ar"/>
              </w:rPr>
              <w:t>4</w:t>
            </w:r>
          </w:p>
        </w:tc>
        <w:tc>
          <w:tcPr>
            <w:tcW w:w="117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0.098</w:t>
            </w:r>
          </w:p>
        </w:tc>
        <w:tc>
          <w:tcPr>
            <w:tcW w:w="148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0.95</w:t>
            </w:r>
            <w:r>
              <w:rPr>
                <w:rFonts w:ascii="Arial" w:hAnsi="Arial" w:cs="Arial"/>
                <w:color w:val="000000"/>
                <w:sz w:val="21"/>
                <w:szCs w:val="21"/>
                <w:lang w:eastAsia="zh-CN" w:bidi="ar"/>
              </w:rPr>
              <w:t>8</w:t>
            </w:r>
          </w:p>
        </w:tc>
      </w:tr>
      <w:tr>
        <w:tblPrEx>
          <w:tblCellMar>
            <w:top w:w="0" w:type="dxa"/>
            <w:left w:w="108" w:type="dxa"/>
            <w:bottom w:w="0" w:type="dxa"/>
            <w:right w:w="108" w:type="dxa"/>
          </w:tblCellMar>
        </w:tblPrEx>
        <w:trPr>
          <w:trHeight w:val="592" w:hRule="atLeast"/>
          <w:jc w:val="center"/>
        </w:trPr>
        <w:tc>
          <w:tcPr>
            <w:tcW w:w="872" w:type="dxa"/>
            <w:tcBorders>
              <w:top w:val="nil"/>
              <w:left w:val="nil"/>
              <w:bottom w:val="nil"/>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WC</w:t>
            </w:r>
          </w:p>
        </w:tc>
        <w:tc>
          <w:tcPr>
            <w:tcW w:w="1508" w:type="dxa"/>
            <w:tcBorders>
              <w:top w:val="nil"/>
              <w:left w:val="nil"/>
              <w:bottom w:val="nil"/>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0.538</w:t>
            </w:r>
          </w:p>
        </w:tc>
        <w:tc>
          <w:tcPr>
            <w:tcW w:w="93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0.483</w:t>
            </w:r>
          </w:p>
        </w:tc>
        <w:tc>
          <w:tcPr>
            <w:tcW w:w="963"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0.593</w:t>
            </w:r>
          </w:p>
        </w:tc>
        <w:tc>
          <w:tcPr>
            <w:tcW w:w="1360"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0.72</w:t>
            </w:r>
            <w:r>
              <w:rPr>
                <w:rFonts w:ascii="Arial" w:hAnsi="Arial" w:cs="Arial"/>
                <w:color w:val="000000"/>
                <w:sz w:val="21"/>
                <w:szCs w:val="21"/>
                <w:lang w:eastAsia="zh-CN" w:bidi="ar"/>
              </w:rPr>
              <w:t>8</w:t>
            </w:r>
          </w:p>
        </w:tc>
        <w:tc>
          <w:tcPr>
            <w:tcW w:w="1281"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0.382</w:t>
            </w:r>
          </w:p>
        </w:tc>
        <w:tc>
          <w:tcPr>
            <w:tcW w:w="96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1.40</w:t>
            </w:r>
            <w:r>
              <w:rPr>
                <w:rFonts w:ascii="Arial" w:hAnsi="Arial" w:cs="Arial"/>
                <w:color w:val="000000"/>
                <w:sz w:val="21"/>
                <w:szCs w:val="21"/>
                <w:lang w:eastAsia="zh-CN" w:bidi="ar"/>
              </w:rPr>
              <w:t>4</w:t>
            </w:r>
          </w:p>
        </w:tc>
        <w:tc>
          <w:tcPr>
            <w:tcW w:w="112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0.84</w:t>
            </w:r>
            <w:r>
              <w:rPr>
                <w:rFonts w:ascii="Arial" w:hAnsi="Arial" w:cs="Arial"/>
                <w:color w:val="000000"/>
                <w:sz w:val="21"/>
                <w:szCs w:val="21"/>
                <w:lang w:eastAsia="zh-CN" w:bidi="ar"/>
              </w:rPr>
              <w:t>9</w:t>
            </w:r>
          </w:p>
        </w:tc>
        <w:tc>
          <w:tcPr>
            <w:tcW w:w="1178"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0.07</w:t>
            </w:r>
            <w:r>
              <w:rPr>
                <w:rFonts w:ascii="Arial" w:hAnsi="Arial" w:cs="Arial"/>
                <w:color w:val="000000"/>
                <w:sz w:val="21"/>
                <w:szCs w:val="21"/>
                <w:lang w:eastAsia="zh-CN" w:bidi="ar"/>
              </w:rPr>
              <w:t>5</w:t>
            </w:r>
          </w:p>
        </w:tc>
        <w:tc>
          <w:tcPr>
            <w:tcW w:w="1484" w:type="dxa"/>
            <w:tcBorders>
              <w:top w:val="nil"/>
              <w:left w:val="nil"/>
              <w:bottom w:val="nil"/>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0.95</w:t>
            </w:r>
            <w:r>
              <w:rPr>
                <w:rFonts w:ascii="Arial" w:hAnsi="Arial" w:cs="Arial"/>
                <w:color w:val="000000"/>
                <w:sz w:val="21"/>
                <w:szCs w:val="21"/>
                <w:lang w:eastAsia="zh-CN" w:bidi="ar"/>
              </w:rPr>
              <w:t>4</w:t>
            </w:r>
          </w:p>
        </w:tc>
      </w:tr>
      <w:tr>
        <w:tblPrEx>
          <w:tblCellMar>
            <w:top w:w="0" w:type="dxa"/>
            <w:left w:w="108" w:type="dxa"/>
            <w:bottom w:w="0" w:type="dxa"/>
            <w:right w:w="108" w:type="dxa"/>
          </w:tblCellMar>
        </w:tblPrEx>
        <w:trPr>
          <w:trHeight w:val="630" w:hRule="atLeast"/>
          <w:jc w:val="center"/>
        </w:trPr>
        <w:tc>
          <w:tcPr>
            <w:tcW w:w="872" w:type="dxa"/>
            <w:tcBorders>
              <w:top w:val="nil"/>
              <w:left w:val="nil"/>
              <w:bottom w:val="single" w:color="auto" w:sz="12" w:space="0"/>
              <w:right w:val="nil"/>
            </w:tcBorders>
            <w:shd w:val="clear" w:color="auto" w:fill="auto"/>
            <w:noWrap/>
            <w:vAlign w:val="center"/>
          </w:tcPr>
          <w:p>
            <w:pPr>
              <w:spacing w:line="360" w:lineRule="auto"/>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WWI</w:t>
            </w:r>
          </w:p>
        </w:tc>
        <w:tc>
          <w:tcPr>
            <w:tcW w:w="1508" w:type="dxa"/>
            <w:tcBorders>
              <w:top w:val="nil"/>
              <w:left w:val="nil"/>
              <w:bottom w:val="single" w:color="auto" w:sz="12" w:space="0"/>
              <w:right w:val="nil"/>
            </w:tcBorders>
            <w:shd w:val="clear" w:color="auto" w:fill="auto"/>
            <w:noWrap/>
            <w:vAlign w:val="center"/>
          </w:tcPr>
          <w:p>
            <w:pPr>
              <w:spacing w:line="360" w:lineRule="auto"/>
              <w:jc w:val="center"/>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0.618</w:t>
            </w:r>
          </w:p>
        </w:tc>
        <w:tc>
          <w:tcPr>
            <w:tcW w:w="938" w:type="dxa"/>
            <w:tcBorders>
              <w:top w:val="nil"/>
              <w:left w:val="nil"/>
              <w:bottom w:val="single" w:color="auto" w:sz="12" w:space="0"/>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0.564</w:t>
            </w:r>
          </w:p>
        </w:tc>
        <w:tc>
          <w:tcPr>
            <w:tcW w:w="963" w:type="dxa"/>
            <w:tcBorders>
              <w:top w:val="nil"/>
              <w:left w:val="nil"/>
              <w:bottom w:val="single" w:color="auto" w:sz="12" w:space="0"/>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0.672</w:t>
            </w:r>
          </w:p>
        </w:tc>
        <w:tc>
          <w:tcPr>
            <w:tcW w:w="1360" w:type="dxa"/>
            <w:tcBorders>
              <w:top w:val="nil"/>
              <w:left w:val="nil"/>
              <w:bottom w:val="single" w:color="auto" w:sz="12" w:space="0"/>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0.790</w:t>
            </w:r>
          </w:p>
        </w:tc>
        <w:tc>
          <w:tcPr>
            <w:tcW w:w="1281" w:type="dxa"/>
            <w:tcBorders>
              <w:top w:val="nil"/>
              <w:left w:val="nil"/>
              <w:bottom w:val="single" w:color="auto" w:sz="12" w:space="0"/>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0.43</w:t>
            </w:r>
            <w:r>
              <w:rPr>
                <w:rFonts w:ascii="Arial" w:hAnsi="Arial" w:cs="Arial"/>
                <w:color w:val="000000"/>
                <w:sz w:val="21"/>
                <w:szCs w:val="21"/>
                <w:lang w:eastAsia="zh-CN" w:bidi="ar"/>
              </w:rPr>
              <w:t>1</w:t>
            </w:r>
          </w:p>
        </w:tc>
        <w:tc>
          <w:tcPr>
            <w:tcW w:w="964" w:type="dxa"/>
            <w:tcBorders>
              <w:top w:val="nil"/>
              <w:left w:val="nil"/>
              <w:bottom w:val="single" w:color="auto" w:sz="12" w:space="0"/>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2.05</w:t>
            </w:r>
            <w:r>
              <w:rPr>
                <w:rFonts w:ascii="Arial" w:hAnsi="Arial" w:cs="Arial"/>
                <w:color w:val="000000"/>
                <w:sz w:val="21"/>
                <w:szCs w:val="21"/>
                <w:lang w:eastAsia="zh-CN" w:bidi="ar"/>
              </w:rPr>
              <w:t>6</w:t>
            </w:r>
          </w:p>
        </w:tc>
        <w:tc>
          <w:tcPr>
            <w:tcW w:w="1128" w:type="dxa"/>
            <w:tcBorders>
              <w:top w:val="nil"/>
              <w:left w:val="nil"/>
              <w:bottom w:val="single" w:color="auto" w:sz="12" w:space="0"/>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0.72</w:t>
            </w:r>
            <w:r>
              <w:rPr>
                <w:rFonts w:ascii="Arial" w:hAnsi="Arial" w:cs="Arial"/>
                <w:color w:val="000000"/>
                <w:sz w:val="21"/>
                <w:szCs w:val="21"/>
                <w:lang w:eastAsia="zh-CN" w:bidi="ar"/>
              </w:rPr>
              <w:t>0</w:t>
            </w:r>
          </w:p>
        </w:tc>
        <w:tc>
          <w:tcPr>
            <w:tcW w:w="1178" w:type="dxa"/>
            <w:tcBorders>
              <w:top w:val="nil"/>
              <w:left w:val="nil"/>
              <w:bottom w:val="single" w:color="auto" w:sz="12" w:space="0"/>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0.10</w:t>
            </w:r>
            <w:r>
              <w:rPr>
                <w:rFonts w:ascii="Arial" w:hAnsi="Arial" w:cs="Arial"/>
                <w:color w:val="000000"/>
                <w:sz w:val="21"/>
                <w:szCs w:val="21"/>
                <w:lang w:eastAsia="zh-CN" w:bidi="ar"/>
              </w:rPr>
              <w:t>6</w:t>
            </w:r>
          </w:p>
        </w:tc>
        <w:tc>
          <w:tcPr>
            <w:tcW w:w="1484" w:type="dxa"/>
            <w:tcBorders>
              <w:top w:val="nil"/>
              <w:left w:val="nil"/>
              <w:bottom w:val="single" w:color="auto" w:sz="12" w:space="0"/>
              <w:right w:val="nil"/>
            </w:tcBorders>
            <w:shd w:val="clear" w:color="auto" w:fill="auto"/>
            <w:noWrap/>
            <w:vAlign w:val="center"/>
          </w:tcPr>
          <w:p>
            <w:pPr>
              <w:spacing w:line="360" w:lineRule="auto"/>
              <w:jc w:val="right"/>
              <w:textAlignment w:val="center"/>
              <w:rPr>
                <w:rFonts w:ascii="Arial" w:hAnsi="Arial" w:eastAsia="宋体" w:cs="Arial"/>
                <w:color w:val="000000"/>
                <w:sz w:val="21"/>
                <w:szCs w:val="21"/>
              </w:rPr>
            </w:pPr>
            <w:r>
              <w:rPr>
                <w:rFonts w:ascii="Arial" w:hAnsi="Arial" w:eastAsia="宋体" w:cs="Arial"/>
                <w:color w:val="000000"/>
                <w:sz w:val="21"/>
                <w:szCs w:val="21"/>
                <w:lang w:eastAsia="zh-CN" w:bidi="ar"/>
              </w:rPr>
              <w:t>0.960</w:t>
            </w:r>
          </w:p>
        </w:tc>
      </w:tr>
    </w:tbl>
    <w:p>
      <w:pPr>
        <w:spacing w:before="240"/>
        <w:rPr>
          <w:rFonts w:ascii="Arial" w:hAnsi="Arial" w:eastAsia="宋体" w:cs="Arial"/>
          <w:b/>
          <w:bCs/>
          <w:color w:val="000000"/>
          <w:sz w:val="22"/>
          <w:lang w:eastAsia="zh-CN"/>
        </w:rPr>
      </w:pPr>
      <w:r>
        <w:rPr>
          <w:rFonts w:ascii="Arial" w:hAnsi="Arial" w:eastAsia="宋体" w:cs="Arial"/>
          <w:bCs/>
          <w:color w:val="000000"/>
          <w:sz w:val="22"/>
          <w:lang w:eastAsia="zh-CN" w:bidi="ar"/>
        </w:rPr>
        <w:t xml:space="preserve">Abbreviations: </w:t>
      </w:r>
      <w:r>
        <w:rPr>
          <w:rFonts w:ascii="Arial" w:hAnsi="Arial" w:eastAsia="宋体" w:cs="Arial"/>
          <w:color w:val="000000"/>
          <w:sz w:val="21"/>
          <w:szCs w:val="21"/>
          <w:lang w:eastAsia="zh-CN" w:bidi="ar"/>
        </w:rPr>
        <w:t>ROC</w:t>
      </w:r>
      <w:r>
        <w:rPr>
          <w:rFonts w:hint="eastAsia" w:ascii="Arial" w:hAnsi="Arial" w:eastAsia="宋体" w:cs="Arial"/>
          <w:color w:val="000000"/>
          <w:sz w:val="21"/>
          <w:szCs w:val="21"/>
          <w:lang w:eastAsia="zh-CN" w:bidi="ar"/>
        </w:rPr>
        <w:t xml:space="preserve">, receiver operating curve; AUC, area under the curve; </w:t>
      </w:r>
      <w:r>
        <w:rPr>
          <w:rFonts w:ascii="Arial" w:hAnsi="Arial" w:cs="Arial"/>
          <w:color w:val="000000"/>
          <w:sz w:val="22"/>
        </w:rPr>
        <w:t>Positive pv</w:t>
      </w:r>
      <w:r>
        <w:rPr>
          <w:rFonts w:hint="eastAsia" w:ascii="Arial" w:hAnsi="Arial" w:eastAsia="宋体" w:cs="Arial"/>
          <w:color w:val="000000"/>
          <w:sz w:val="22"/>
          <w:lang w:eastAsia="zh-CN"/>
        </w:rPr>
        <w:t xml:space="preserve">, Positive predictive value; </w:t>
      </w:r>
      <w:r>
        <w:rPr>
          <w:rFonts w:ascii="Arial" w:hAnsi="Arial" w:cs="Arial"/>
          <w:color w:val="000000"/>
          <w:sz w:val="22"/>
        </w:rPr>
        <w:t>Negative pv</w:t>
      </w:r>
      <w:r>
        <w:rPr>
          <w:rFonts w:hint="eastAsia" w:ascii="Arial" w:hAnsi="Arial" w:eastAsia="宋体" w:cs="Arial"/>
          <w:color w:val="000000"/>
          <w:sz w:val="22"/>
          <w:lang w:eastAsia="zh-CN"/>
        </w:rPr>
        <w:t xml:space="preserve">, Negative predictive value; </w:t>
      </w:r>
      <w:r>
        <w:rPr>
          <w:rFonts w:ascii="Arial" w:hAnsi="Arial" w:cs="Arial"/>
          <w:color w:val="000000"/>
          <w:sz w:val="22"/>
        </w:rPr>
        <w:t>Positive-LR</w:t>
      </w:r>
      <w:r>
        <w:rPr>
          <w:rFonts w:hint="eastAsia" w:ascii="Arial" w:hAnsi="Arial" w:eastAsia="宋体" w:cs="Arial"/>
          <w:color w:val="000000"/>
          <w:sz w:val="22"/>
          <w:lang w:eastAsia="zh-CN"/>
        </w:rPr>
        <w:t xml:space="preserve">, positive likelihood ratio; </w:t>
      </w:r>
      <w:r>
        <w:rPr>
          <w:rFonts w:ascii="Arial" w:hAnsi="Arial" w:cs="Arial"/>
          <w:color w:val="000000"/>
          <w:sz w:val="22"/>
        </w:rPr>
        <w:t>Negative-LR</w:t>
      </w:r>
      <w:r>
        <w:rPr>
          <w:rFonts w:hint="eastAsia" w:ascii="Arial" w:hAnsi="Arial" w:eastAsia="宋体" w:cs="Arial"/>
          <w:color w:val="000000"/>
          <w:sz w:val="22"/>
          <w:lang w:eastAsia="zh-CN"/>
        </w:rPr>
        <w:t>, negative likelihood ratio</w:t>
      </w:r>
    </w:p>
    <w:p>
      <w:pPr>
        <w:spacing w:before="240"/>
        <w:rPr>
          <w:rFonts w:ascii="Arial" w:hAnsi="Arial" w:cs="Arial"/>
          <w:b/>
          <w:bCs/>
          <w:color w:val="000000"/>
          <w:sz w:val="22"/>
        </w:rPr>
      </w:pPr>
    </w:p>
    <w:p>
      <w:pPr>
        <w:spacing w:before="240"/>
        <w:rPr>
          <w:rFonts w:ascii="Arial" w:hAnsi="Arial" w:cs="Arial"/>
          <w:b/>
          <w:bCs/>
          <w:color w:val="000000"/>
          <w:sz w:val="22"/>
        </w:rPr>
      </w:pPr>
    </w:p>
    <w:p>
      <w:pPr>
        <w:spacing w:before="240"/>
        <w:rPr>
          <w:rFonts w:ascii="Arial" w:hAnsi="Arial" w:cs="Arial"/>
          <w:b/>
          <w:bCs/>
          <w:color w:val="000000"/>
          <w:sz w:val="22"/>
        </w:rPr>
      </w:pPr>
    </w:p>
    <w:p>
      <w:pPr>
        <w:spacing w:before="240"/>
        <w:rPr>
          <w:rFonts w:ascii="Arial" w:hAnsi="Arial" w:cs="Arial"/>
          <w:b/>
          <w:bCs/>
          <w:color w:val="000000"/>
          <w:sz w:val="22"/>
        </w:rPr>
      </w:pPr>
    </w:p>
    <w:p>
      <w:pPr>
        <w:spacing w:before="240"/>
        <w:rPr>
          <w:rFonts w:ascii="Arial" w:hAnsi="Arial" w:cs="Arial"/>
          <w:b/>
          <w:bCs/>
          <w:color w:val="000000"/>
          <w:sz w:val="22"/>
        </w:rPr>
      </w:pPr>
    </w:p>
    <w:p>
      <w:pPr>
        <w:spacing w:before="240"/>
        <w:rPr>
          <w:rFonts w:ascii="Arial" w:hAnsi="Arial" w:cs="Arial"/>
          <w:b/>
          <w:bCs/>
          <w:color w:val="000000"/>
          <w:sz w:val="22"/>
        </w:rPr>
      </w:pPr>
    </w:p>
    <w:p>
      <w:pPr>
        <w:spacing w:before="240"/>
        <w:rPr>
          <w:rFonts w:ascii="Arial" w:hAnsi="Arial" w:cs="Arial"/>
          <w:color w:val="000000"/>
          <w:sz w:val="22"/>
        </w:rPr>
      </w:pPr>
      <w:r>
        <w:rPr>
          <w:rFonts w:ascii="Arial" w:hAnsi="Arial" w:cs="Arial"/>
          <w:b/>
          <w:bCs/>
          <w:color w:val="000000"/>
          <w:sz w:val="22"/>
        </w:rPr>
        <w:t>Table S</w:t>
      </w:r>
      <w:r>
        <w:rPr>
          <w:rFonts w:hint="eastAsia" w:ascii="Arial" w:hAnsi="Arial" w:eastAsia="宋体" w:cs="Arial"/>
          <w:b/>
          <w:bCs/>
          <w:color w:val="000000"/>
          <w:sz w:val="22"/>
          <w:lang w:eastAsia="zh-CN"/>
        </w:rPr>
        <w:t>3</w:t>
      </w:r>
      <w:r>
        <w:rPr>
          <w:rFonts w:ascii="Arial" w:hAnsi="Arial" w:cs="Arial"/>
          <w:b/>
          <w:bCs/>
          <w:color w:val="000000"/>
          <w:sz w:val="22"/>
        </w:rPr>
        <w:t>.</w:t>
      </w:r>
      <w:r>
        <w:rPr>
          <w:rFonts w:ascii="Arial" w:hAnsi="Arial" w:cs="Arial"/>
          <w:color w:val="000000"/>
          <w:sz w:val="22"/>
        </w:rPr>
        <w:t xml:space="preserve"> Sensitivity analyses were performed after excluding participants who developed study outcomes within the first two years of follow-up.</w:t>
      </w:r>
    </w:p>
    <w:tbl>
      <w:tblPr>
        <w:tblStyle w:val="19"/>
        <w:tblW w:w="10398" w:type="dxa"/>
        <w:jc w:val="center"/>
        <w:tblLayout w:type="autofit"/>
        <w:tblCellMar>
          <w:top w:w="0" w:type="dxa"/>
          <w:left w:w="108" w:type="dxa"/>
          <w:bottom w:w="0" w:type="dxa"/>
          <w:right w:w="108" w:type="dxa"/>
        </w:tblCellMar>
      </w:tblPr>
      <w:tblGrid>
        <w:gridCol w:w="2978"/>
        <w:gridCol w:w="1831"/>
        <w:gridCol w:w="1831"/>
        <w:gridCol w:w="1831"/>
        <w:gridCol w:w="1831"/>
        <w:gridCol w:w="1831"/>
      </w:tblGrid>
      <w:tr>
        <w:tblPrEx>
          <w:tblCellMar>
            <w:top w:w="0" w:type="dxa"/>
            <w:left w:w="108" w:type="dxa"/>
            <w:bottom w:w="0" w:type="dxa"/>
            <w:right w:w="108" w:type="dxa"/>
          </w:tblCellMar>
        </w:tblPrEx>
        <w:trPr>
          <w:trHeight w:val="483" w:hRule="atLeast"/>
          <w:jc w:val="center"/>
        </w:trPr>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Exposure</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1</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2</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3</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4</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5</w:t>
            </w:r>
          </w:p>
        </w:tc>
      </w:tr>
      <w:tr>
        <w:tblPrEx>
          <w:tblCellMar>
            <w:top w:w="0" w:type="dxa"/>
            <w:left w:w="108" w:type="dxa"/>
            <w:bottom w:w="0" w:type="dxa"/>
            <w:right w:w="108" w:type="dxa"/>
          </w:tblCellMar>
        </w:tblPrEx>
        <w:trPr>
          <w:trHeight w:val="483" w:hRule="atLeast"/>
          <w:jc w:val="center"/>
        </w:trPr>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lang w:eastAsia="zh-CN" w:bidi="ar"/>
              </w:rPr>
            </w:pPr>
          </w:p>
        </w:tc>
        <w:tc>
          <w:tcPr>
            <w:tcW w:w="1683" w:type="dxa"/>
            <w:tcBorders>
              <w:bottom w:val="single" w:color="auto" w:sz="12" w:space="0"/>
            </w:tcBorders>
            <w:shd w:val="clear" w:color="auto" w:fill="auto"/>
            <w:noWrap/>
            <w:vAlign w:val="center"/>
          </w:tcPr>
          <w:p>
            <w:pPr>
              <w:spacing w:before="0" w:after="0" w:line="360" w:lineRule="auto"/>
              <w:jc w:val="center"/>
              <w:textAlignment w:val="center"/>
              <w:rPr>
                <w:rFonts w:ascii="Arial" w:hAnsi="Arial" w:eastAsia="宋体" w:cs="Arial"/>
                <w:color w:val="000000"/>
                <w:sz w:val="22"/>
                <w:lang w:eastAsia="zh-CN" w:bidi="ar"/>
              </w:rPr>
            </w:pPr>
            <w:r>
              <w:rPr>
                <w:rFonts w:ascii="Arial" w:hAnsi="Arial" w:eastAsia="宋体" w:cs="Arial"/>
                <w:color w:val="000000"/>
                <w:sz w:val="22"/>
                <w:lang w:eastAsia="zh-CN" w:bidi="ar"/>
              </w:rPr>
              <w:t>HR (95% CI)</w:t>
            </w:r>
          </w:p>
        </w:tc>
        <w:tc>
          <w:tcPr>
            <w:tcW w:w="1683" w:type="dxa"/>
            <w:tcBorders>
              <w:bottom w:val="single" w:color="auto" w:sz="12" w:space="0"/>
            </w:tcBorders>
            <w:shd w:val="clear" w:color="auto" w:fill="auto"/>
            <w:noWrap/>
            <w:vAlign w:val="center"/>
          </w:tcPr>
          <w:p>
            <w:pPr>
              <w:spacing w:before="0" w:after="0" w:line="360" w:lineRule="auto"/>
              <w:jc w:val="center"/>
              <w:textAlignment w:val="center"/>
              <w:rPr>
                <w:rFonts w:ascii="Arial" w:hAnsi="Arial" w:eastAsia="宋体" w:cs="Arial"/>
                <w:color w:val="000000"/>
                <w:sz w:val="22"/>
                <w:lang w:eastAsia="zh-CN" w:bidi="ar"/>
              </w:rPr>
            </w:pPr>
            <w:r>
              <w:rPr>
                <w:rFonts w:ascii="Arial" w:hAnsi="Arial" w:eastAsia="宋体" w:cs="Arial"/>
                <w:color w:val="000000"/>
                <w:sz w:val="22"/>
                <w:lang w:eastAsia="zh-CN" w:bidi="ar"/>
              </w:rPr>
              <w:t>HR (95% CI)</w:t>
            </w:r>
          </w:p>
        </w:tc>
        <w:tc>
          <w:tcPr>
            <w:tcW w:w="1683" w:type="dxa"/>
            <w:tcBorders>
              <w:bottom w:val="single" w:color="auto" w:sz="12" w:space="0"/>
            </w:tcBorders>
            <w:shd w:val="clear" w:color="auto" w:fill="auto"/>
            <w:noWrap/>
            <w:vAlign w:val="center"/>
          </w:tcPr>
          <w:p>
            <w:pPr>
              <w:spacing w:before="0" w:after="0" w:line="360" w:lineRule="auto"/>
              <w:jc w:val="center"/>
              <w:textAlignment w:val="center"/>
              <w:rPr>
                <w:rFonts w:ascii="Arial" w:hAnsi="Arial" w:eastAsia="宋体" w:cs="Arial"/>
                <w:color w:val="000000"/>
                <w:sz w:val="22"/>
                <w:lang w:eastAsia="zh-CN" w:bidi="ar"/>
              </w:rPr>
            </w:pPr>
            <w:r>
              <w:rPr>
                <w:rFonts w:ascii="Arial" w:hAnsi="Arial" w:eastAsia="宋体" w:cs="Arial"/>
                <w:color w:val="000000"/>
                <w:sz w:val="22"/>
                <w:lang w:eastAsia="zh-CN" w:bidi="ar"/>
              </w:rPr>
              <w:t>HR (95% CI)</w:t>
            </w:r>
          </w:p>
        </w:tc>
        <w:tc>
          <w:tcPr>
            <w:tcW w:w="1683" w:type="dxa"/>
            <w:tcBorders>
              <w:bottom w:val="single" w:color="auto" w:sz="12" w:space="0"/>
            </w:tcBorders>
            <w:shd w:val="clear" w:color="auto" w:fill="auto"/>
            <w:noWrap/>
            <w:vAlign w:val="center"/>
          </w:tcPr>
          <w:p>
            <w:pPr>
              <w:spacing w:before="0" w:after="0" w:line="360" w:lineRule="auto"/>
              <w:jc w:val="center"/>
              <w:textAlignment w:val="center"/>
              <w:rPr>
                <w:rFonts w:ascii="Arial" w:hAnsi="Arial" w:eastAsia="宋体" w:cs="Arial"/>
                <w:color w:val="000000"/>
                <w:sz w:val="22"/>
                <w:lang w:eastAsia="zh-CN" w:bidi="ar"/>
              </w:rPr>
            </w:pPr>
            <w:r>
              <w:rPr>
                <w:rFonts w:ascii="Arial" w:hAnsi="Arial" w:eastAsia="宋体" w:cs="Arial"/>
                <w:color w:val="000000"/>
                <w:sz w:val="22"/>
                <w:lang w:eastAsia="zh-CN" w:bidi="ar"/>
              </w:rPr>
              <w:t>HR (95% CI)</w:t>
            </w:r>
          </w:p>
        </w:tc>
        <w:tc>
          <w:tcPr>
            <w:tcW w:w="1683" w:type="dxa"/>
            <w:tcBorders>
              <w:bottom w:val="single" w:color="auto" w:sz="12" w:space="0"/>
            </w:tcBorders>
            <w:shd w:val="clear" w:color="auto" w:fill="auto"/>
            <w:noWrap/>
            <w:vAlign w:val="center"/>
          </w:tcPr>
          <w:p>
            <w:pPr>
              <w:spacing w:line="360" w:lineRule="auto"/>
              <w:jc w:val="center"/>
              <w:textAlignment w:val="center"/>
              <w:rPr>
                <w:rFonts w:ascii="Arial" w:hAnsi="Arial" w:eastAsia="宋体" w:cs="Arial"/>
                <w:color w:val="000000"/>
                <w:sz w:val="22"/>
                <w:lang w:eastAsia="zh-CN" w:bidi="ar"/>
              </w:rPr>
            </w:pPr>
            <w:r>
              <w:rPr>
                <w:rFonts w:ascii="Arial" w:hAnsi="Arial" w:eastAsia="宋体" w:cs="Arial"/>
                <w:color w:val="000000"/>
                <w:sz w:val="22"/>
                <w:lang w:eastAsia="zh-CN" w:bidi="ar"/>
              </w:rPr>
              <w:t>HR (95% CI)</w:t>
            </w:r>
          </w:p>
        </w:tc>
      </w:tr>
      <w:tr>
        <w:tblPrEx>
          <w:tblCellMar>
            <w:top w:w="0" w:type="dxa"/>
            <w:left w:w="108" w:type="dxa"/>
            <w:bottom w:w="0" w:type="dxa"/>
            <w:right w:w="108" w:type="dxa"/>
          </w:tblCellMar>
        </w:tblPrEx>
        <w:trPr>
          <w:trHeight w:val="483" w:hRule="atLeast"/>
          <w:jc w:val="center"/>
        </w:trPr>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CVD</w:t>
            </w: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Continuous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per 1 cm/√kg increase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(1.16, 1.39)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1.29 (1.18, 1.41)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1.26 (1.16, 1.38)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1.23 (1.12, 1.36)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1.23 (1.12, 1.35)</w:t>
            </w: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quartiles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506"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1.16 (0.80, 1.69)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1.18 (0.81, 1.71)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1.18 (0.81, 1.71)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1.20 (0.83, 1.76)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1.18 (0.81, 1.73)</w:t>
            </w: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1.46 (1.03, 2.08)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1.51 (1.07, 2.15)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1.48 (1.03, 2.10)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1.46 (1.02, 2.10)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1.46 (1.01, 2.10)</w:t>
            </w: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1.80 (1.28, 2.53)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1.88 (1.34, 2.65)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1.78 (1.25, 2.51)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1.59 (1.10, 2.29)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1.56 (1.08, 2.26)</w:t>
            </w: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P for trend</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&lt;0.001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&lt;0.001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 xml:space="preserve">0.010 </w:t>
            </w: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CHD</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Continuous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per 1 cm/√kg increase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1.25 (1.11, 1.39)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(1.13, 1.42)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1.23 (1.10, 1.38)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1.21 (1.07, 1.36)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1.20 (1.06, 1.36)</w:t>
            </w: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quartiles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506"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1.24 (0.78, 1.99)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1.26 (0.79, 2.02)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1.26 (0.79, 2.03)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1.29 (0.80, 2.08)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1.24 (0.77, 2.01)</w:t>
            </w: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1.52 (0.97, 2.37)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1.58 (1.01, 2.48)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1.52 (0.96, 2.39)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1.50 (0.94, 2.38)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1.49 (0.93, 2.39)</w:t>
            </w: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1.75 (1.12, 2.71)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1.84 (1.18, 2.87)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1.72 (1.09, 2.69)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1.54 (0.96, 2.48)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1.50 (0.93, 2.42)</w:t>
            </w: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P for trend</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0.013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0.063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0.075</w:t>
            </w: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Stroke</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Continuous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per 1 cm/√kg increase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1.31 (1.14, 1.51)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1.33 (1.15, 1.53)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1.31 (1.14, 1.52)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(1.09, 1.48)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(1.09, 1.49)</w:t>
            </w:r>
          </w:p>
        </w:tc>
      </w:tr>
      <w:tr>
        <w:tblPrEx>
          <w:tblCellMar>
            <w:top w:w="0" w:type="dxa"/>
            <w:left w:w="108" w:type="dxa"/>
            <w:bottom w:w="0" w:type="dxa"/>
            <w:right w:w="108" w:type="dxa"/>
          </w:tblCellMar>
        </w:tblPrEx>
        <w:trPr>
          <w:trHeight w:val="4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quartiles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506"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1.05 (0.57, 1.91)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1.05 (0.57, 1.92)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1.05 (0.57, 1.92)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1.08 (0.58, 2.00)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1.08 (0.58, 1.99)</w:t>
            </w: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1.39 (0.79, 2.43)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1.41 (0.80, 2.49)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1.40 (0.79, 2.48)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1.43 (0.80, 2.56)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1.42 (0.79, 2.55)</w:t>
            </w:r>
          </w:p>
        </w:tc>
      </w:tr>
      <w:tr>
        <w:tblPrEx>
          <w:tblCellMar>
            <w:top w:w="0" w:type="dxa"/>
            <w:left w:w="108" w:type="dxa"/>
            <w:bottom w:w="0" w:type="dxa"/>
            <w:right w:w="108" w:type="dxa"/>
          </w:tblCellMar>
        </w:tblPrEx>
        <w:trPr>
          <w:trHeight w:val="68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Cambria" w:cs="Arial"/>
                <w:color w:val="000000"/>
                <w:sz w:val="22"/>
              </w:rPr>
            </w:pPr>
            <w:r>
              <w:rPr>
                <w:rFonts w:ascii="Arial" w:hAnsi="Arial" w:eastAsia="Cambria" w:cs="Arial"/>
                <w:color w:val="000000"/>
                <w:sz w:val="22"/>
                <w:lang w:eastAsia="zh-CN" w:bidi="ar"/>
              </w:rPr>
              <w:t>Quartile 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1.89 (1.11, 3.23)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1.94 (1.13, 3.33)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1.86 (1.08, 3.22)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1.66 (0.93, 2.95)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1.65 (0.92, 2.94)</w:t>
            </w:r>
          </w:p>
        </w:tc>
      </w:tr>
      <w:tr>
        <w:tblPrEx>
          <w:tblCellMar>
            <w:top w:w="0" w:type="dxa"/>
            <w:left w:w="108" w:type="dxa"/>
            <w:bottom w:w="0" w:type="dxa"/>
            <w:right w:w="108" w:type="dxa"/>
          </w:tblCellMar>
        </w:tblPrEx>
        <w:trPr>
          <w:trHeight w:val="483" w:hRule="atLeast"/>
          <w:jc w:val="center"/>
        </w:trPr>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P for trend</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 xml:space="preserve">0.010 </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0.007</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0.013</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0.056</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0.059</w:t>
            </w:r>
          </w:p>
        </w:tc>
      </w:tr>
    </w:tbl>
    <w:p>
      <w:pPr>
        <w:spacing w:line="360" w:lineRule="auto"/>
        <w:rPr>
          <w:rFonts w:ascii="Arial" w:hAnsi="Arial" w:eastAsia="宋体" w:cs="Arial"/>
          <w:bCs/>
          <w:color w:val="000000"/>
          <w:sz w:val="22"/>
          <w:lang w:bidi="ar"/>
        </w:rPr>
      </w:pPr>
    </w:p>
    <w:p>
      <w:pPr>
        <w:spacing w:line="360" w:lineRule="auto"/>
        <w:rPr>
          <w:rFonts w:ascii="Arial" w:hAnsi="Arial" w:eastAsia="宋体" w:cs="Arial"/>
          <w:bCs/>
          <w:color w:val="000000"/>
          <w:sz w:val="22"/>
          <w:lang w:eastAsia="zh-CN" w:bidi="ar"/>
        </w:rPr>
      </w:pPr>
      <w:bookmarkStart w:id="5" w:name="OLE_LINK9"/>
      <w:r>
        <w:rPr>
          <w:rFonts w:ascii="Arial" w:hAnsi="Arial" w:eastAsia="宋体" w:cs="Arial"/>
          <w:bCs/>
          <w:color w:val="000000"/>
          <w:sz w:val="22"/>
          <w:lang w:bidi="ar"/>
        </w:rPr>
        <w:t>Model 1: not adjusted (univariate)</w:t>
      </w:r>
      <w:r>
        <w:rPr>
          <w:rFonts w:ascii="Arial" w:hAnsi="Arial" w:eastAsia="宋体" w:cs="Arial"/>
          <w:bCs/>
          <w:color w:val="000000"/>
          <w:sz w:val="22"/>
          <w:lang w:eastAsia="zh-CN" w:bidi="ar"/>
        </w:rPr>
        <w:t>.</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Model 2: adjusted for age and sex.</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 xml:space="preserve">Model </w:t>
      </w:r>
      <w:r>
        <w:rPr>
          <w:rFonts w:ascii="Arial" w:hAnsi="Arial" w:eastAsia="宋体" w:cs="Arial"/>
          <w:bCs/>
          <w:color w:val="000000"/>
          <w:sz w:val="22"/>
          <w:lang w:eastAsia="zh-CN" w:bidi="ar"/>
        </w:rPr>
        <w:t>3</w:t>
      </w:r>
      <w:r>
        <w:rPr>
          <w:rFonts w:ascii="Arial" w:hAnsi="Arial" w:eastAsia="宋体" w:cs="Arial"/>
          <w:bCs/>
          <w:color w:val="000000"/>
          <w:sz w:val="22"/>
          <w:lang w:bidi="ar"/>
        </w:rPr>
        <w:t xml:space="preserve">: Model </w:t>
      </w:r>
      <w:r>
        <w:rPr>
          <w:rFonts w:ascii="Arial" w:hAnsi="Arial" w:eastAsia="宋体" w:cs="Arial"/>
          <w:bCs/>
          <w:color w:val="000000"/>
          <w:sz w:val="22"/>
          <w:lang w:eastAsia="zh-CN" w:bidi="ar"/>
        </w:rPr>
        <w:t>2</w:t>
      </w:r>
      <w:r>
        <w:rPr>
          <w:rFonts w:ascii="Arial" w:hAnsi="Arial" w:eastAsia="宋体" w:cs="Arial"/>
          <w:bCs/>
          <w:color w:val="000000"/>
          <w:sz w:val="22"/>
          <w:lang w:bidi="ar"/>
        </w:rPr>
        <w:t xml:space="preserve"> plus adjustment for smoking status, drinking status, </w:t>
      </w:r>
      <w:r>
        <w:rPr>
          <w:rFonts w:ascii="Arial" w:hAnsi="Arial" w:eastAsia="宋体" w:cs="Arial"/>
          <w:bCs/>
          <w:color w:val="000000"/>
          <w:sz w:val="22"/>
          <w:lang w:eastAsia="zh-CN" w:bidi="ar"/>
        </w:rPr>
        <w:t>SBP</w:t>
      </w:r>
      <w:r>
        <w:rPr>
          <w:rFonts w:ascii="Arial" w:hAnsi="Arial" w:eastAsia="宋体" w:cs="Arial"/>
          <w:bCs/>
          <w:color w:val="000000"/>
          <w:sz w:val="22"/>
          <w:lang w:bidi="ar"/>
        </w:rPr>
        <w:t xml:space="preserve">, </w:t>
      </w:r>
      <w:r>
        <w:rPr>
          <w:rFonts w:ascii="Arial" w:hAnsi="Arial" w:eastAsia="宋体" w:cs="Arial"/>
          <w:bCs/>
          <w:color w:val="000000"/>
          <w:sz w:val="22"/>
          <w:lang w:eastAsia="zh-CN" w:bidi="ar"/>
        </w:rPr>
        <w:t>DBP</w:t>
      </w:r>
      <w:r>
        <w:rPr>
          <w:rFonts w:ascii="Arial" w:hAnsi="Arial" w:eastAsia="宋体" w:cs="Arial"/>
          <w:bCs/>
          <w:color w:val="000000"/>
          <w:sz w:val="22"/>
          <w:lang w:bidi="ar"/>
        </w:rPr>
        <w:t>, and diabetes.</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 xml:space="preserve">Model </w:t>
      </w:r>
      <w:r>
        <w:rPr>
          <w:rFonts w:ascii="Arial" w:hAnsi="Arial" w:eastAsia="宋体" w:cs="Arial"/>
          <w:bCs/>
          <w:color w:val="000000"/>
          <w:sz w:val="22"/>
          <w:lang w:eastAsia="zh-CN" w:bidi="ar"/>
        </w:rPr>
        <w:t>4</w:t>
      </w:r>
      <w:r>
        <w:rPr>
          <w:rFonts w:ascii="Arial" w:hAnsi="Arial" w:eastAsia="宋体" w:cs="Arial"/>
          <w:bCs/>
          <w:color w:val="000000"/>
          <w:sz w:val="22"/>
          <w:lang w:bidi="ar"/>
        </w:rPr>
        <w:t xml:space="preserve">: Model </w:t>
      </w:r>
      <w:r>
        <w:rPr>
          <w:rFonts w:ascii="Arial" w:hAnsi="Arial" w:eastAsia="宋体" w:cs="Arial"/>
          <w:bCs/>
          <w:color w:val="000000"/>
          <w:sz w:val="22"/>
          <w:lang w:eastAsia="zh-CN" w:bidi="ar"/>
        </w:rPr>
        <w:t>3</w:t>
      </w:r>
      <w:r>
        <w:rPr>
          <w:rFonts w:ascii="Arial" w:hAnsi="Arial" w:eastAsia="宋体" w:cs="Arial"/>
          <w:bCs/>
          <w:color w:val="000000"/>
          <w:sz w:val="22"/>
          <w:lang w:bidi="ar"/>
        </w:rPr>
        <w:t xml:space="preserve"> plus adjustment for eGFR, </w:t>
      </w:r>
      <w:r>
        <w:rPr>
          <w:rFonts w:ascii="Arial" w:hAnsi="Arial" w:eastAsia="宋体" w:cs="Arial"/>
          <w:bCs/>
          <w:color w:val="000000"/>
          <w:sz w:val="22"/>
          <w:lang w:eastAsia="zh-CN" w:bidi="ar"/>
        </w:rPr>
        <w:t>TC</w:t>
      </w:r>
      <w:r>
        <w:rPr>
          <w:rFonts w:ascii="Arial" w:hAnsi="Arial" w:eastAsia="宋体" w:cs="Arial"/>
          <w:bCs/>
          <w:color w:val="000000"/>
          <w:sz w:val="22"/>
          <w:lang w:bidi="ar"/>
        </w:rPr>
        <w:t xml:space="preserve">, </w:t>
      </w:r>
      <w:r>
        <w:rPr>
          <w:rFonts w:ascii="Arial" w:hAnsi="Arial" w:eastAsia="宋体" w:cs="Arial"/>
          <w:bCs/>
          <w:color w:val="000000"/>
          <w:sz w:val="22"/>
          <w:lang w:eastAsia="zh-CN" w:bidi="ar"/>
        </w:rPr>
        <w:t>TG</w:t>
      </w:r>
      <w:r>
        <w:rPr>
          <w:rFonts w:ascii="Arial" w:hAnsi="Arial" w:eastAsia="宋体" w:cs="Arial"/>
          <w:bCs/>
          <w:color w:val="000000"/>
          <w:sz w:val="22"/>
          <w:lang w:bidi="ar"/>
        </w:rPr>
        <w:t xml:space="preserve">, HDL-C, LDL-C, </w:t>
      </w:r>
      <w:r>
        <w:rPr>
          <w:rFonts w:ascii="Arial" w:hAnsi="Arial" w:eastAsia="宋体" w:cs="Arial"/>
          <w:bCs/>
          <w:color w:val="000000"/>
          <w:sz w:val="22"/>
          <w:lang w:eastAsia="zh-CN" w:bidi="ar"/>
        </w:rPr>
        <w:t>FPG</w:t>
      </w:r>
      <w:r>
        <w:rPr>
          <w:rFonts w:ascii="Arial" w:hAnsi="Arial" w:eastAsia="宋体" w:cs="Arial"/>
          <w:bCs/>
          <w:color w:val="000000"/>
          <w:sz w:val="22"/>
          <w:lang w:bidi="ar"/>
        </w:rPr>
        <w:t xml:space="preserve">, and </w:t>
      </w:r>
      <w:r>
        <w:rPr>
          <w:rFonts w:ascii="Arial" w:hAnsi="Arial" w:eastAsia="宋体" w:cs="Arial"/>
          <w:bCs/>
          <w:color w:val="000000"/>
          <w:sz w:val="22"/>
          <w:lang w:eastAsia="zh-CN" w:bidi="ar"/>
        </w:rPr>
        <w:t>AHI</w:t>
      </w:r>
      <w:r>
        <w:rPr>
          <w:rFonts w:ascii="Arial" w:hAnsi="Arial" w:eastAsia="宋体" w:cs="Arial"/>
          <w:bCs/>
          <w:color w:val="000000"/>
          <w:sz w:val="22"/>
          <w:lang w:bidi="ar"/>
        </w:rPr>
        <w:t>.</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 xml:space="preserve">Model </w:t>
      </w:r>
      <w:r>
        <w:rPr>
          <w:rFonts w:ascii="Arial" w:hAnsi="Arial" w:eastAsia="宋体" w:cs="Arial"/>
          <w:bCs/>
          <w:color w:val="000000"/>
          <w:sz w:val="22"/>
          <w:lang w:eastAsia="zh-CN" w:bidi="ar"/>
        </w:rPr>
        <w:t>5</w:t>
      </w:r>
      <w:r>
        <w:rPr>
          <w:rFonts w:ascii="Arial" w:hAnsi="Arial" w:eastAsia="宋体" w:cs="Arial"/>
          <w:bCs/>
          <w:color w:val="000000"/>
          <w:sz w:val="22"/>
          <w:lang w:bidi="ar"/>
        </w:rPr>
        <w:t xml:space="preserve">: Model </w:t>
      </w:r>
      <w:r>
        <w:rPr>
          <w:rFonts w:ascii="Arial" w:hAnsi="Arial" w:eastAsia="宋体" w:cs="Arial"/>
          <w:bCs/>
          <w:color w:val="000000"/>
          <w:sz w:val="22"/>
          <w:lang w:eastAsia="zh-CN" w:bidi="ar"/>
        </w:rPr>
        <w:t>4</w:t>
      </w:r>
      <w:r>
        <w:rPr>
          <w:rFonts w:ascii="Arial" w:hAnsi="Arial" w:eastAsia="宋体" w:cs="Arial"/>
          <w:bCs/>
          <w:color w:val="000000"/>
          <w:sz w:val="22"/>
          <w:lang w:bidi="ar"/>
        </w:rPr>
        <w:t xml:space="preserve"> plus adjustment for use of antidiabetic drugs, aspirins, statins, </w:t>
      </w:r>
      <w:r>
        <w:rPr>
          <w:rFonts w:ascii="Arial" w:hAnsi="Arial" w:eastAsia="宋体" w:cs="Arial"/>
          <w:bCs/>
          <w:color w:val="000000"/>
          <w:sz w:val="22"/>
          <w:lang w:eastAsia="zh-CN" w:bidi="ar"/>
        </w:rPr>
        <w:t>OSA</w:t>
      </w:r>
      <w:r>
        <w:rPr>
          <w:rFonts w:ascii="Arial" w:hAnsi="Arial" w:eastAsia="宋体" w:cs="Arial"/>
          <w:bCs/>
          <w:color w:val="000000"/>
          <w:sz w:val="22"/>
          <w:lang w:bidi="ar"/>
        </w:rPr>
        <w:t xml:space="preserve"> therapy, and antihypertensive drugs.</w:t>
      </w:r>
    </w:p>
    <w:p>
      <w:pPr>
        <w:spacing w:line="360" w:lineRule="auto"/>
        <w:rPr>
          <w:rFonts w:ascii="Arial" w:hAnsi="Arial" w:eastAsia="宋体" w:cs="Arial"/>
          <w:bCs/>
          <w:color w:val="000000"/>
          <w:sz w:val="22"/>
          <w:lang w:eastAsia="zh-CN" w:bidi="ar"/>
        </w:rPr>
      </w:pPr>
      <w:bookmarkStart w:id="6" w:name="OLE_LINK4"/>
      <w:r>
        <w:rPr>
          <w:rFonts w:ascii="Arial" w:hAnsi="Arial" w:eastAsia="宋体" w:cs="Arial"/>
          <w:bCs/>
          <w:color w:val="000000"/>
          <w:sz w:val="22"/>
          <w:lang w:eastAsia="zh-CN" w:bidi="ar"/>
        </w:rPr>
        <w:t>Abbreviations:</w:t>
      </w:r>
      <w:bookmarkEnd w:id="6"/>
      <w:r>
        <w:rPr>
          <w:rFonts w:ascii="Arial" w:hAnsi="Arial" w:eastAsia="宋体" w:cs="Arial"/>
          <w:bCs/>
          <w:color w:val="000000"/>
          <w:sz w:val="22"/>
          <w:lang w:eastAsia="zh-CN" w:bidi="ar"/>
        </w:rPr>
        <w:t xml:space="preserve"> SD, standard deviation; HR, hazards ratio; </w:t>
      </w:r>
      <w:r>
        <w:rPr>
          <w:rFonts w:ascii="Arial" w:hAnsi="Arial" w:eastAsia="宋体" w:cs="Arial"/>
          <w:color w:val="000000"/>
          <w:sz w:val="22"/>
          <w:lang w:eastAsia="zh-CN" w:bidi="ar"/>
        </w:rPr>
        <w:t>CI, confidence interval</w:t>
      </w:r>
      <w:r>
        <w:rPr>
          <w:rFonts w:ascii="Arial" w:hAnsi="Arial" w:eastAsia="宋体" w:cs="Arial"/>
          <w:bCs/>
          <w:color w:val="000000"/>
          <w:sz w:val="22"/>
          <w:lang w:eastAsia="zh-CN" w:bidi="ar"/>
        </w:rPr>
        <w:t>.</w:t>
      </w:r>
      <w:bookmarkStart w:id="7" w:name="OLE_LINK11"/>
      <w:r>
        <w:rPr>
          <w:rFonts w:ascii="Arial" w:hAnsi="Arial" w:eastAsia="宋体" w:cs="Arial"/>
          <w:bCs/>
          <w:color w:val="000000"/>
          <w:sz w:val="22"/>
          <w:lang w:eastAsia="zh-CN" w:bidi="ar"/>
        </w:rPr>
        <w:t xml:space="preserve"> Other abbreviations, see Table 1.</w:t>
      </w:r>
      <w:bookmarkEnd w:id="5"/>
      <w:bookmarkEnd w:id="7"/>
    </w:p>
    <w:p>
      <w:pPr>
        <w:rPr>
          <w:rFonts w:ascii="Arial" w:hAnsi="Arial" w:cs="Arial" w:eastAsiaTheme="minorEastAsia"/>
          <w:color w:val="000000"/>
          <w:kern w:val="2"/>
          <w:sz w:val="22"/>
          <w:lang w:eastAsia="zh-CN"/>
        </w:rPr>
      </w:pPr>
    </w:p>
    <w:p>
      <w:pPr>
        <w:rPr>
          <w:rFonts w:ascii="Arial" w:hAnsi="Arial" w:cs="Arial" w:eastAsiaTheme="minorEastAsia"/>
          <w:color w:val="000000"/>
          <w:kern w:val="2"/>
          <w:sz w:val="22"/>
          <w:lang w:eastAsia="zh-CN"/>
        </w:rPr>
      </w:pPr>
    </w:p>
    <w:p>
      <w:pPr>
        <w:spacing w:before="240"/>
        <w:rPr>
          <w:rFonts w:ascii="Arial" w:hAnsi="Arial" w:cs="Arial"/>
          <w:color w:val="000000"/>
          <w:sz w:val="22"/>
          <w:lang w:eastAsia="zh-CN"/>
        </w:rPr>
      </w:pPr>
      <w:r>
        <w:rPr>
          <w:rFonts w:ascii="Arial" w:hAnsi="Arial" w:cs="Arial"/>
          <w:b/>
          <w:bCs/>
          <w:color w:val="000000"/>
          <w:sz w:val="22"/>
        </w:rPr>
        <w:t>Table S</w:t>
      </w:r>
      <w:r>
        <w:rPr>
          <w:rFonts w:hint="eastAsia" w:ascii="Arial" w:hAnsi="Arial" w:eastAsia="宋体" w:cs="Arial"/>
          <w:b/>
          <w:bCs/>
          <w:color w:val="000000"/>
          <w:sz w:val="22"/>
          <w:lang w:eastAsia="zh-CN"/>
        </w:rPr>
        <w:t>4</w:t>
      </w:r>
      <w:r>
        <w:rPr>
          <w:rFonts w:ascii="Arial" w:hAnsi="Arial" w:cs="Arial"/>
          <w:color w:val="000000"/>
          <w:sz w:val="22"/>
        </w:rPr>
        <w:t>.</w:t>
      </w:r>
      <w:bookmarkStart w:id="8" w:name="_Hlk34592423"/>
      <w:r>
        <w:rPr>
          <w:rFonts w:ascii="Arial" w:hAnsi="Arial" w:cs="Arial"/>
          <w:color w:val="000000"/>
          <w:sz w:val="22"/>
        </w:rPr>
        <w:t xml:space="preserve"> </w:t>
      </w:r>
      <w:bookmarkEnd w:id="8"/>
      <w:r>
        <w:rPr>
          <w:rFonts w:ascii="Arial" w:hAnsi="Arial" w:cs="Arial"/>
          <w:color w:val="000000"/>
          <w:sz w:val="22"/>
        </w:rPr>
        <w:t>Sensitivity analyses were conducted using the Fine-Gray competing risk model, considering non-CVD deaths as competing risk events.</w:t>
      </w:r>
    </w:p>
    <w:tbl>
      <w:tblPr>
        <w:tblStyle w:val="19"/>
        <w:tblW w:w="10437" w:type="dxa"/>
        <w:jc w:val="center"/>
        <w:tblLayout w:type="autofit"/>
        <w:tblCellMar>
          <w:top w:w="0" w:type="dxa"/>
          <w:left w:w="108" w:type="dxa"/>
          <w:bottom w:w="0" w:type="dxa"/>
          <w:right w:w="108" w:type="dxa"/>
        </w:tblCellMar>
      </w:tblPr>
      <w:tblGrid>
        <w:gridCol w:w="2978"/>
        <w:gridCol w:w="1831"/>
        <w:gridCol w:w="1831"/>
        <w:gridCol w:w="1831"/>
        <w:gridCol w:w="1831"/>
        <w:gridCol w:w="1831"/>
      </w:tblGrid>
      <w:tr>
        <w:tblPrEx>
          <w:tblCellMar>
            <w:top w:w="0" w:type="dxa"/>
            <w:left w:w="108" w:type="dxa"/>
            <w:bottom w:w="0" w:type="dxa"/>
            <w:right w:w="108" w:type="dxa"/>
          </w:tblCellMar>
        </w:tblPrEx>
        <w:trPr>
          <w:trHeight w:val="533" w:hRule="atLeast"/>
          <w:jc w:val="center"/>
        </w:trPr>
        <w:tc>
          <w:tcPr>
            <w:tcW w:w="0" w:type="auto"/>
            <w:tcBorders>
              <w:top w:val="single" w:color="auto" w:sz="12" w:space="0"/>
            </w:tcBorders>
            <w:shd w:val="clear" w:color="auto" w:fill="auto"/>
            <w:noWrap/>
            <w:vAlign w:val="center"/>
          </w:tcPr>
          <w:p>
            <w:pPr>
              <w:jc w:val="center"/>
              <w:textAlignment w:val="center"/>
              <w:rPr>
                <w:rFonts w:ascii="Arial" w:hAnsi="Arial" w:eastAsia="宋体" w:cs="Arial"/>
                <w:color w:val="000000"/>
                <w:sz w:val="22"/>
              </w:rPr>
            </w:pPr>
            <w:bookmarkStart w:id="9" w:name="OLE_LINK3"/>
            <w:r>
              <w:rPr>
                <w:rFonts w:ascii="Arial" w:hAnsi="Arial" w:eastAsia="宋体" w:cs="Arial"/>
                <w:color w:val="000000"/>
                <w:sz w:val="22"/>
                <w:lang w:eastAsia="zh-CN" w:bidi="ar"/>
              </w:rPr>
              <w:t>Exposure</w:t>
            </w:r>
          </w:p>
        </w:tc>
        <w:tc>
          <w:tcPr>
            <w:tcW w:w="0" w:type="auto"/>
            <w:tcBorders>
              <w:top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1</w:t>
            </w:r>
          </w:p>
        </w:tc>
        <w:tc>
          <w:tcPr>
            <w:tcW w:w="0" w:type="auto"/>
            <w:tcBorders>
              <w:top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2</w:t>
            </w:r>
          </w:p>
        </w:tc>
        <w:tc>
          <w:tcPr>
            <w:tcW w:w="0" w:type="auto"/>
            <w:tcBorders>
              <w:top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3</w:t>
            </w:r>
          </w:p>
        </w:tc>
        <w:tc>
          <w:tcPr>
            <w:tcW w:w="0" w:type="auto"/>
            <w:tcBorders>
              <w:top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4</w:t>
            </w:r>
          </w:p>
        </w:tc>
        <w:tc>
          <w:tcPr>
            <w:tcW w:w="0" w:type="auto"/>
            <w:tcBorders>
              <w:top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5</w:t>
            </w:r>
          </w:p>
        </w:tc>
      </w:tr>
      <w:tr>
        <w:tblPrEx>
          <w:tblCellMar>
            <w:top w:w="0" w:type="dxa"/>
            <w:left w:w="108" w:type="dxa"/>
            <w:bottom w:w="0" w:type="dxa"/>
            <w:right w:w="108" w:type="dxa"/>
          </w:tblCellMar>
        </w:tblPrEx>
        <w:trPr>
          <w:trHeight w:val="533" w:hRule="atLeast"/>
          <w:jc w:val="center"/>
        </w:trPr>
        <w:tc>
          <w:tcPr>
            <w:tcW w:w="0" w:type="auto"/>
            <w:tcBorders>
              <w:bottom w:val="single" w:color="auto" w:sz="12" w:space="0"/>
            </w:tcBorders>
            <w:shd w:val="clear" w:color="auto" w:fill="auto"/>
            <w:noWrap/>
            <w:vAlign w:val="center"/>
          </w:tcPr>
          <w:p>
            <w:pPr>
              <w:jc w:val="center"/>
              <w:rPr>
                <w:rFonts w:ascii="Arial" w:hAnsi="Arial" w:eastAsia="宋体" w:cs="Arial"/>
                <w:color w:val="000000"/>
                <w:sz w:val="22"/>
              </w:rPr>
            </w:pP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SHR (95% CI)</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SHR (95% CI)</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SHR (95% CI)</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SHR (95% CI)</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SHR (95% CI)</w:t>
            </w:r>
          </w:p>
        </w:tc>
      </w:tr>
      <w:tr>
        <w:tblPrEx>
          <w:tblCellMar>
            <w:top w:w="0" w:type="dxa"/>
            <w:left w:w="108" w:type="dxa"/>
            <w:bottom w:w="0" w:type="dxa"/>
            <w:right w:w="108" w:type="dxa"/>
          </w:tblCellMar>
        </w:tblPrEx>
        <w:trPr>
          <w:trHeight w:val="533" w:hRule="atLeast"/>
          <w:jc w:val="center"/>
        </w:trPr>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CVD</w:t>
            </w: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Continuous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per 1 cm/√kg increase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1.25 (1.15, 1.35)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(1.17, 1.38)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1.26 (1.16, 1.37)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1.22 (1.12, 1.34)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1.22 (1.12, 1.34)</w:t>
            </w: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quartiles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1.15 (0.82, 1.62)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1.16 (0.82, 1.63)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1.16 (0.82, 1.64)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1.19 (0.84, 1.68)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1.16 (0.82, 1.65)</w:t>
            </w: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1.34 (0.97, 1.86)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1.40 (1.00, 1.94)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1.38 (0.99, 1.93)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1.36 (0.97, 1.92)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1.37 (0.97, 1.93)</w:t>
            </w: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1.78 (1.30, 2.44)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1.88 (1.37, 2.58)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1.82 (1.32, 2.52)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1.64 (1.17, 2.30)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1.62 (1.15, 2.27)</w:t>
            </w: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P for trend</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&lt;0.001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&lt;0.001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&lt;0.001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0.004</w:t>
            </w: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CHD</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Continuous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per 1 cm/√kg increase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1.21 (1.09, 1.34)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1.24 (1.11, 1.37)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1.22 (1.10, 1.36)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1.20 (1.07, 1.34)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1.19 (1.07, 1.34)</w:t>
            </w: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quartiles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1.20 (0.78, 1.85)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1.22 (0.79, 1.88)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1.23 (0.80, 1.89)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1.24 (0.80, 1.93)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1.20 (0.78, 1.87)</w:t>
            </w: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1.39 (0.92, 2.10)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1.46 (0.96, 2.22)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1.44 (0.94, 2.18)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1.41 (0.92, 2.17)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1.42 (0.92, 2.19)</w:t>
            </w: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1.68 (1.12, 2.51)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1.79 (1.19, 2.70)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1.73 (1.15, 2.62)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1.58 (1.02, 2.44)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1.55 (1.00, 2.40)</w:t>
            </w: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P for trend</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0.035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0.039</w:t>
            </w: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Stroke</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Continuous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per 1 cm/√kg increase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1.31 (1.15, 1.49)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1.33 (1.16, 1.52)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1.32 (1.15, 1.51)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(1.10, 1.47)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(1.10, 1.47)</w:t>
            </w:r>
          </w:p>
        </w:tc>
      </w:tr>
      <w:tr>
        <w:tblPrEx>
          <w:tblCellMar>
            <w:top w:w="0" w:type="dxa"/>
            <w:left w:w="108" w:type="dxa"/>
            <w:bottom w:w="0" w:type="dxa"/>
            <w:right w:w="108" w:type="dxa"/>
          </w:tblCellMar>
        </w:tblPrEx>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quartiles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rPr>
          <w:trHeight w:val="53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1.06 (0.60, 1.87)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1.06 (0.60, 1.87)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1.06 (0.60, 1.87)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1.09 (0.61, 1.94)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1.08 (0.61, 1.92)</w:t>
            </w: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(0.74, 2.17)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1.30 (0.75, 2.22)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1.30 (0.75, 2.23)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1.30 (0.74, 2.27)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1.29 (0.74, 2.26)</w:t>
            </w:r>
          </w:p>
        </w:tc>
      </w:tr>
      <w:tr>
        <w:tblPrEx>
          <w:tblCellMar>
            <w:top w:w="0" w:type="dxa"/>
            <w:left w:w="108" w:type="dxa"/>
            <w:bottom w:w="0" w:type="dxa"/>
            <w:right w:w="108" w:type="dxa"/>
          </w:tblCellMar>
        </w:tblPrEx>
        <w:trPr>
          <w:trHeight w:val="753"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1.95 (1.18, 3.22)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2.02 (1.22, 3.34)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1.97 (1.18, 3.28)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1.73 (1.01, 2.97)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1.72 (1.00, 2.96)</w:t>
            </w:r>
          </w:p>
        </w:tc>
      </w:tr>
      <w:tr>
        <w:tblPrEx>
          <w:tblCellMar>
            <w:top w:w="0" w:type="dxa"/>
            <w:left w:w="108" w:type="dxa"/>
            <w:bottom w:w="0" w:type="dxa"/>
            <w:right w:w="108" w:type="dxa"/>
          </w:tblCellMar>
        </w:tblPrEx>
        <w:trPr>
          <w:trHeight w:val="533" w:hRule="atLeast"/>
          <w:jc w:val="center"/>
        </w:trPr>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P for trend</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0.005</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0.003</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0.005</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0.036</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0.038</w:t>
            </w:r>
          </w:p>
        </w:tc>
      </w:tr>
    </w:tbl>
    <w:p>
      <w:pPr>
        <w:spacing w:before="240"/>
        <w:rPr>
          <w:rFonts w:ascii="Arial" w:hAnsi="Arial" w:cs="Arial" w:eastAsiaTheme="minorEastAsia"/>
          <w:color w:val="000000"/>
          <w:kern w:val="2"/>
          <w:sz w:val="22"/>
          <w:lang w:eastAsia="zh-CN"/>
        </w:rPr>
      </w:pPr>
    </w:p>
    <w:p>
      <w:pPr>
        <w:spacing w:line="360" w:lineRule="auto"/>
        <w:rPr>
          <w:rFonts w:ascii="Arial" w:hAnsi="Arial" w:eastAsia="宋体" w:cs="Arial"/>
          <w:bCs/>
          <w:color w:val="000000"/>
          <w:sz w:val="22"/>
          <w:lang w:eastAsia="zh-CN" w:bidi="ar"/>
        </w:rPr>
      </w:pPr>
      <w:r>
        <w:rPr>
          <w:rFonts w:ascii="Arial" w:hAnsi="Arial" w:eastAsia="宋体" w:cs="Arial"/>
          <w:bCs/>
          <w:color w:val="000000"/>
          <w:sz w:val="22"/>
          <w:lang w:bidi="ar"/>
        </w:rPr>
        <w:t>Model 1: not adjusted (univariate)</w:t>
      </w:r>
      <w:r>
        <w:rPr>
          <w:rFonts w:ascii="Arial" w:hAnsi="Arial" w:eastAsia="宋体" w:cs="Arial"/>
          <w:bCs/>
          <w:color w:val="000000"/>
          <w:sz w:val="22"/>
          <w:lang w:eastAsia="zh-CN" w:bidi="ar"/>
        </w:rPr>
        <w:t>.</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Model 2: adjusted for age and sex.</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 xml:space="preserve">Model </w:t>
      </w:r>
      <w:r>
        <w:rPr>
          <w:rFonts w:ascii="Arial" w:hAnsi="Arial" w:eastAsia="宋体" w:cs="Arial"/>
          <w:bCs/>
          <w:color w:val="000000"/>
          <w:sz w:val="22"/>
          <w:lang w:eastAsia="zh-CN" w:bidi="ar"/>
        </w:rPr>
        <w:t>3</w:t>
      </w:r>
      <w:r>
        <w:rPr>
          <w:rFonts w:ascii="Arial" w:hAnsi="Arial" w:eastAsia="宋体" w:cs="Arial"/>
          <w:bCs/>
          <w:color w:val="000000"/>
          <w:sz w:val="22"/>
          <w:lang w:bidi="ar"/>
        </w:rPr>
        <w:t xml:space="preserve">: Model </w:t>
      </w:r>
      <w:r>
        <w:rPr>
          <w:rFonts w:ascii="Arial" w:hAnsi="Arial" w:eastAsia="宋体" w:cs="Arial"/>
          <w:bCs/>
          <w:color w:val="000000"/>
          <w:sz w:val="22"/>
          <w:lang w:eastAsia="zh-CN" w:bidi="ar"/>
        </w:rPr>
        <w:t>2</w:t>
      </w:r>
      <w:r>
        <w:rPr>
          <w:rFonts w:ascii="Arial" w:hAnsi="Arial" w:eastAsia="宋体" w:cs="Arial"/>
          <w:bCs/>
          <w:color w:val="000000"/>
          <w:sz w:val="22"/>
          <w:lang w:bidi="ar"/>
        </w:rPr>
        <w:t xml:space="preserve"> plus adjustment for smoking status, drinking status, </w:t>
      </w:r>
      <w:r>
        <w:rPr>
          <w:rFonts w:ascii="Arial" w:hAnsi="Arial" w:eastAsia="宋体" w:cs="Arial"/>
          <w:bCs/>
          <w:color w:val="000000"/>
          <w:sz w:val="22"/>
          <w:lang w:eastAsia="zh-CN" w:bidi="ar"/>
        </w:rPr>
        <w:t>SBP</w:t>
      </w:r>
      <w:r>
        <w:rPr>
          <w:rFonts w:ascii="Arial" w:hAnsi="Arial" w:eastAsia="宋体" w:cs="Arial"/>
          <w:bCs/>
          <w:color w:val="000000"/>
          <w:sz w:val="22"/>
          <w:lang w:bidi="ar"/>
        </w:rPr>
        <w:t xml:space="preserve">, </w:t>
      </w:r>
      <w:r>
        <w:rPr>
          <w:rFonts w:ascii="Arial" w:hAnsi="Arial" w:eastAsia="宋体" w:cs="Arial"/>
          <w:bCs/>
          <w:color w:val="000000"/>
          <w:sz w:val="22"/>
          <w:lang w:eastAsia="zh-CN" w:bidi="ar"/>
        </w:rPr>
        <w:t>DBP</w:t>
      </w:r>
      <w:r>
        <w:rPr>
          <w:rFonts w:ascii="Arial" w:hAnsi="Arial" w:eastAsia="宋体" w:cs="Arial"/>
          <w:bCs/>
          <w:color w:val="000000"/>
          <w:sz w:val="22"/>
          <w:lang w:bidi="ar"/>
        </w:rPr>
        <w:t>, and diabetes.</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 xml:space="preserve">Model </w:t>
      </w:r>
      <w:r>
        <w:rPr>
          <w:rFonts w:ascii="Arial" w:hAnsi="Arial" w:eastAsia="宋体" w:cs="Arial"/>
          <w:bCs/>
          <w:color w:val="000000"/>
          <w:sz w:val="22"/>
          <w:lang w:eastAsia="zh-CN" w:bidi="ar"/>
        </w:rPr>
        <w:t>4</w:t>
      </w:r>
      <w:r>
        <w:rPr>
          <w:rFonts w:ascii="Arial" w:hAnsi="Arial" w:eastAsia="宋体" w:cs="Arial"/>
          <w:bCs/>
          <w:color w:val="000000"/>
          <w:sz w:val="22"/>
          <w:lang w:bidi="ar"/>
        </w:rPr>
        <w:t xml:space="preserve">: Model </w:t>
      </w:r>
      <w:r>
        <w:rPr>
          <w:rFonts w:ascii="Arial" w:hAnsi="Arial" w:eastAsia="宋体" w:cs="Arial"/>
          <w:bCs/>
          <w:color w:val="000000"/>
          <w:sz w:val="22"/>
          <w:lang w:eastAsia="zh-CN" w:bidi="ar"/>
        </w:rPr>
        <w:t>3</w:t>
      </w:r>
      <w:r>
        <w:rPr>
          <w:rFonts w:ascii="Arial" w:hAnsi="Arial" w:eastAsia="宋体" w:cs="Arial"/>
          <w:bCs/>
          <w:color w:val="000000"/>
          <w:sz w:val="22"/>
          <w:lang w:bidi="ar"/>
        </w:rPr>
        <w:t xml:space="preserve"> plus adjustment for eGFR, </w:t>
      </w:r>
      <w:r>
        <w:rPr>
          <w:rFonts w:ascii="Arial" w:hAnsi="Arial" w:eastAsia="宋体" w:cs="Arial"/>
          <w:bCs/>
          <w:color w:val="000000"/>
          <w:sz w:val="22"/>
          <w:lang w:eastAsia="zh-CN" w:bidi="ar"/>
        </w:rPr>
        <w:t>TC</w:t>
      </w:r>
      <w:r>
        <w:rPr>
          <w:rFonts w:ascii="Arial" w:hAnsi="Arial" w:eastAsia="宋体" w:cs="Arial"/>
          <w:bCs/>
          <w:color w:val="000000"/>
          <w:sz w:val="22"/>
          <w:lang w:bidi="ar"/>
        </w:rPr>
        <w:t xml:space="preserve">, </w:t>
      </w:r>
      <w:r>
        <w:rPr>
          <w:rFonts w:ascii="Arial" w:hAnsi="Arial" w:eastAsia="宋体" w:cs="Arial"/>
          <w:bCs/>
          <w:color w:val="000000"/>
          <w:sz w:val="22"/>
          <w:lang w:eastAsia="zh-CN" w:bidi="ar"/>
        </w:rPr>
        <w:t>TG</w:t>
      </w:r>
      <w:r>
        <w:rPr>
          <w:rFonts w:ascii="Arial" w:hAnsi="Arial" w:eastAsia="宋体" w:cs="Arial"/>
          <w:bCs/>
          <w:color w:val="000000"/>
          <w:sz w:val="22"/>
          <w:lang w:bidi="ar"/>
        </w:rPr>
        <w:t xml:space="preserve">, HDL-C, LDL-C, </w:t>
      </w:r>
      <w:r>
        <w:rPr>
          <w:rFonts w:ascii="Arial" w:hAnsi="Arial" w:eastAsia="宋体" w:cs="Arial"/>
          <w:bCs/>
          <w:color w:val="000000"/>
          <w:sz w:val="22"/>
          <w:lang w:eastAsia="zh-CN" w:bidi="ar"/>
        </w:rPr>
        <w:t>FPG</w:t>
      </w:r>
      <w:r>
        <w:rPr>
          <w:rFonts w:ascii="Arial" w:hAnsi="Arial" w:eastAsia="宋体" w:cs="Arial"/>
          <w:bCs/>
          <w:color w:val="000000"/>
          <w:sz w:val="22"/>
          <w:lang w:bidi="ar"/>
        </w:rPr>
        <w:t xml:space="preserve">, and </w:t>
      </w:r>
      <w:r>
        <w:rPr>
          <w:rFonts w:ascii="Arial" w:hAnsi="Arial" w:eastAsia="宋体" w:cs="Arial"/>
          <w:bCs/>
          <w:color w:val="000000"/>
          <w:sz w:val="22"/>
          <w:lang w:eastAsia="zh-CN" w:bidi="ar"/>
        </w:rPr>
        <w:t>AHI</w:t>
      </w:r>
      <w:r>
        <w:rPr>
          <w:rFonts w:ascii="Arial" w:hAnsi="Arial" w:eastAsia="宋体" w:cs="Arial"/>
          <w:bCs/>
          <w:color w:val="000000"/>
          <w:sz w:val="22"/>
          <w:lang w:bidi="ar"/>
        </w:rPr>
        <w:t>.</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 xml:space="preserve">Model </w:t>
      </w:r>
      <w:r>
        <w:rPr>
          <w:rFonts w:ascii="Arial" w:hAnsi="Arial" w:eastAsia="宋体" w:cs="Arial"/>
          <w:bCs/>
          <w:color w:val="000000"/>
          <w:sz w:val="22"/>
          <w:lang w:eastAsia="zh-CN" w:bidi="ar"/>
        </w:rPr>
        <w:t>5</w:t>
      </w:r>
      <w:r>
        <w:rPr>
          <w:rFonts w:ascii="Arial" w:hAnsi="Arial" w:eastAsia="宋体" w:cs="Arial"/>
          <w:bCs/>
          <w:color w:val="000000"/>
          <w:sz w:val="22"/>
          <w:lang w:bidi="ar"/>
        </w:rPr>
        <w:t xml:space="preserve">: Model </w:t>
      </w:r>
      <w:r>
        <w:rPr>
          <w:rFonts w:ascii="Arial" w:hAnsi="Arial" w:eastAsia="宋体" w:cs="Arial"/>
          <w:bCs/>
          <w:color w:val="000000"/>
          <w:sz w:val="22"/>
          <w:lang w:eastAsia="zh-CN" w:bidi="ar"/>
        </w:rPr>
        <w:t>4</w:t>
      </w:r>
      <w:r>
        <w:rPr>
          <w:rFonts w:ascii="Arial" w:hAnsi="Arial" w:eastAsia="宋体" w:cs="Arial"/>
          <w:bCs/>
          <w:color w:val="000000"/>
          <w:sz w:val="22"/>
          <w:lang w:bidi="ar"/>
        </w:rPr>
        <w:t xml:space="preserve"> plus adjustment for use of antidiabetic drugs, aspirins, statins, </w:t>
      </w:r>
      <w:r>
        <w:rPr>
          <w:rFonts w:ascii="Arial" w:hAnsi="Arial" w:eastAsia="宋体" w:cs="Arial"/>
          <w:bCs/>
          <w:color w:val="000000"/>
          <w:sz w:val="22"/>
          <w:lang w:eastAsia="zh-CN" w:bidi="ar"/>
        </w:rPr>
        <w:t>OSA</w:t>
      </w:r>
      <w:r>
        <w:rPr>
          <w:rFonts w:ascii="Arial" w:hAnsi="Arial" w:eastAsia="宋体" w:cs="Arial"/>
          <w:bCs/>
          <w:color w:val="000000"/>
          <w:sz w:val="22"/>
          <w:lang w:bidi="ar"/>
        </w:rPr>
        <w:t xml:space="preserve"> therapy, and antihypertensive drugs.</w:t>
      </w:r>
    </w:p>
    <w:p>
      <w:pPr>
        <w:spacing w:line="360" w:lineRule="auto"/>
        <w:rPr>
          <w:rFonts w:ascii="Arial" w:hAnsi="Arial" w:eastAsia="宋体" w:cs="Arial"/>
          <w:bCs/>
          <w:color w:val="000000"/>
          <w:sz w:val="22"/>
          <w:lang w:eastAsia="zh-CN" w:bidi="ar"/>
        </w:rPr>
      </w:pPr>
      <w:r>
        <w:rPr>
          <w:rFonts w:ascii="Arial" w:hAnsi="Arial" w:eastAsia="宋体" w:cs="Arial"/>
          <w:bCs/>
          <w:color w:val="000000"/>
          <w:sz w:val="22"/>
          <w:lang w:eastAsia="zh-CN" w:bidi="ar"/>
        </w:rPr>
        <w:t xml:space="preserve">Abbreviations: SD, standard deviation; SHR, sub-hazard ratio; </w:t>
      </w:r>
      <w:r>
        <w:rPr>
          <w:rFonts w:ascii="Arial" w:hAnsi="Arial" w:eastAsia="宋体" w:cs="Arial"/>
          <w:color w:val="000000"/>
          <w:sz w:val="22"/>
          <w:lang w:eastAsia="zh-CN" w:bidi="ar"/>
        </w:rPr>
        <w:t>CI, confidence interval</w:t>
      </w:r>
      <w:r>
        <w:rPr>
          <w:rFonts w:ascii="Arial" w:hAnsi="Arial" w:eastAsia="宋体" w:cs="Arial"/>
          <w:bCs/>
          <w:color w:val="000000"/>
          <w:sz w:val="22"/>
          <w:lang w:eastAsia="zh-CN" w:bidi="ar"/>
        </w:rPr>
        <w:t>. Other abbreviations, see Table 1.</w:t>
      </w:r>
    </w:p>
    <w:p>
      <w:pPr>
        <w:spacing w:line="360" w:lineRule="auto"/>
        <w:rPr>
          <w:rFonts w:ascii="Arial" w:hAnsi="Arial" w:eastAsia="宋体" w:cs="Arial"/>
          <w:bCs/>
          <w:color w:val="000000"/>
          <w:sz w:val="22"/>
          <w:lang w:eastAsia="zh-CN" w:bidi="ar"/>
        </w:rPr>
      </w:pPr>
    </w:p>
    <w:bookmarkEnd w:id="9"/>
    <w:p>
      <w:pPr>
        <w:spacing w:before="240"/>
        <w:rPr>
          <w:rFonts w:ascii="Arial" w:hAnsi="Arial" w:cs="Arial"/>
          <w:color w:val="000000"/>
          <w:sz w:val="22"/>
          <w:lang w:eastAsia="zh-CN"/>
        </w:rPr>
      </w:pPr>
      <w:r>
        <w:rPr>
          <w:rFonts w:ascii="Arial" w:hAnsi="Arial" w:cs="Arial"/>
          <w:b/>
          <w:bCs/>
          <w:color w:val="000000"/>
          <w:sz w:val="22"/>
        </w:rPr>
        <w:t>Table S</w:t>
      </w:r>
      <w:r>
        <w:rPr>
          <w:rFonts w:hint="eastAsia" w:ascii="Arial" w:hAnsi="Arial" w:eastAsia="宋体" w:cs="Arial"/>
          <w:b/>
          <w:bCs/>
          <w:color w:val="000000"/>
          <w:sz w:val="22"/>
          <w:lang w:eastAsia="zh-CN"/>
        </w:rPr>
        <w:t>5</w:t>
      </w:r>
      <w:r>
        <w:rPr>
          <w:rFonts w:ascii="Arial" w:hAnsi="Arial" w:cs="Arial"/>
          <w:color w:val="000000"/>
          <w:sz w:val="22"/>
        </w:rPr>
        <w:t xml:space="preserve">. Sensitivity analyses were performed after excluding </w:t>
      </w:r>
      <w:bookmarkStart w:id="10" w:name="OLE_LINK5"/>
      <w:bookmarkStart w:id="11" w:name="OLE_LINK8"/>
      <w:r>
        <w:rPr>
          <w:rFonts w:ascii="Arial" w:hAnsi="Arial" w:cs="Arial"/>
          <w:color w:val="000000"/>
          <w:sz w:val="22"/>
        </w:rPr>
        <w:t>patients on OSA therapy</w:t>
      </w:r>
      <w:bookmarkEnd w:id="10"/>
      <w:r>
        <w:rPr>
          <w:rFonts w:ascii="Arial" w:hAnsi="Arial" w:cs="Arial"/>
          <w:color w:val="000000"/>
          <w:sz w:val="22"/>
        </w:rPr>
        <w:t>.</w:t>
      </w:r>
      <w:bookmarkEnd w:id="11"/>
    </w:p>
    <w:tbl>
      <w:tblPr>
        <w:tblStyle w:val="19"/>
        <w:tblW w:w="10617" w:type="dxa"/>
        <w:jc w:val="center"/>
        <w:tblLayout w:type="autofit"/>
        <w:tblCellMar>
          <w:top w:w="0" w:type="dxa"/>
          <w:left w:w="108" w:type="dxa"/>
          <w:bottom w:w="0" w:type="dxa"/>
          <w:right w:w="108" w:type="dxa"/>
        </w:tblCellMar>
      </w:tblPr>
      <w:tblGrid>
        <w:gridCol w:w="2978"/>
        <w:gridCol w:w="1831"/>
        <w:gridCol w:w="1831"/>
        <w:gridCol w:w="1831"/>
        <w:gridCol w:w="1831"/>
        <w:gridCol w:w="1831"/>
      </w:tblGrid>
      <w:tr>
        <w:tblPrEx>
          <w:tblCellMar>
            <w:top w:w="0" w:type="dxa"/>
            <w:left w:w="108" w:type="dxa"/>
            <w:bottom w:w="0" w:type="dxa"/>
            <w:right w:w="108" w:type="dxa"/>
          </w:tblCellMar>
        </w:tblPrEx>
        <w:trPr>
          <w:trHeight w:val="448" w:hRule="atLeast"/>
          <w:jc w:val="center"/>
        </w:trPr>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Exposure</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1</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2</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3</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4</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Model 5</w:t>
            </w:r>
          </w:p>
        </w:tc>
      </w:tr>
      <w:tr>
        <w:tblPrEx>
          <w:tblCellMar>
            <w:top w:w="0" w:type="dxa"/>
            <w:left w:w="108" w:type="dxa"/>
            <w:bottom w:w="0" w:type="dxa"/>
            <w:right w:w="108" w:type="dxa"/>
          </w:tblCellMar>
        </w:tblPrEx>
        <w:trPr>
          <w:trHeight w:val="448" w:hRule="atLeast"/>
          <w:jc w:val="center"/>
        </w:trPr>
        <w:tc>
          <w:tcPr>
            <w:tcW w:w="0" w:type="auto"/>
            <w:tcBorders>
              <w:bottom w:val="single" w:color="auto" w:sz="12" w:space="0"/>
            </w:tcBorders>
            <w:shd w:val="clear" w:color="auto" w:fill="auto"/>
            <w:noWrap/>
            <w:vAlign w:val="center"/>
          </w:tcPr>
          <w:p>
            <w:pPr>
              <w:jc w:val="center"/>
              <w:rPr>
                <w:rFonts w:ascii="Arial" w:hAnsi="Arial" w:eastAsia="宋体" w:cs="Arial"/>
                <w:color w:val="000000"/>
                <w:sz w:val="22"/>
              </w:rPr>
            </w:pP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HR (95% CI)</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HR (95% CI)</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HR (95% CI)</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HR (95% CI)</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HR (95% CI)</w:t>
            </w:r>
          </w:p>
        </w:tc>
      </w:tr>
      <w:tr>
        <w:tblPrEx>
          <w:tblCellMar>
            <w:top w:w="0" w:type="dxa"/>
            <w:left w:w="108" w:type="dxa"/>
            <w:bottom w:w="0" w:type="dxa"/>
            <w:right w:w="108" w:type="dxa"/>
          </w:tblCellMar>
        </w:tblPrEx>
        <w:trPr>
          <w:trHeight w:val="448" w:hRule="atLeast"/>
          <w:jc w:val="center"/>
        </w:trPr>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CVD</w:t>
            </w: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op w:val="single" w:color="auto" w:sz="12" w:space="0"/>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Continuous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per 1 cm/√kg increase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1.25 (1.15, 1.36)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1.28 (1.17, 1.39)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1.26 (1.16, 1.37)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1.22 (1.12, 1.34)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1.22 (1.11, 1.33)</w:t>
            </w: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quartiles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46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1.12 (0.79, 1.59)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1.13 (0.80, 1.61)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1.14 (0.80, 1.62)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1.19 (0.84, 1.68)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1.16 (0.82, 1.64)</w:t>
            </w: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1.37 (0.98, 1.91)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1.43 (1.02, 2.00)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1.41 (1.01, 1.98)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1.36 (0.97, 1.92)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1.35 (0.96, 1.90)</w:t>
            </w: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1.82 (1.32, 2.50)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1.92 (1.39, 2.65)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1.85 (1.33, 2.56)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1.64 (1.17, 2.30)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1.60 (1.14, 2.24)</w:t>
            </w: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P for trend</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&lt;0.001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&lt;0.001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&lt;0.001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0.005</w:t>
            </w: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CHD</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Continuous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per 1 cm/√kg increase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1.22 (1.10, 1.36)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1.25 (1.12, 1.39)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1.23 (1.11, 1.37)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1.20 (1.07, 1.34)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1.19 (1.06, 1.33)</w:t>
            </w: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quartiles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46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1.18 (0.77, 1.82)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1.19 (0.77, 1.84)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1.20 (0.78, 1.86)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1.24 (0.80, 1.93)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1.20 (0.77, 1.86)</w:t>
            </w: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1.34 (0.88, 2.05)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1.40 (0.91, 2.15)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1.38 (0.90, 2.12)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1.41 (0.92, 2.17)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1.39 (0.90, 2.14)</w:t>
            </w: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1.73 (1.15, 2.60)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1.83 (1.21, 2.75)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1.77 (1.17, 2.68)</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1.58 (1.02, 2.44)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1.52 (0.98, 2.36)</w:t>
            </w: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P for trend</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0.035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0.047</w:t>
            </w: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Stroke</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Continuous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per 1 cm/√kg increase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1.31 (1.14, 1.50)</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1.33 (1.16, 1.52)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1.31 (1.14, 1.51)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(1.10, 1.47)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1.27 (1.10, 1.47)</w:t>
            </w:r>
          </w:p>
        </w:tc>
      </w:tr>
      <w:tr>
        <w:tblPrEx>
          <w:tblCellMar>
            <w:top w:w="0" w:type="dxa"/>
            <w:left w:w="108" w:type="dxa"/>
            <w:bottom w:w="0" w:type="dxa"/>
            <w:right w:w="108" w:type="dxa"/>
          </w:tblCellMar>
        </w:tblPrEx>
        <w:trPr>
          <w:trHeight w:val="448"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WWI quartiles</w:t>
            </w: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c>
          <w:tcPr>
            <w:tcW w:w="0" w:type="auto"/>
            <w:tcBorders>
              <w:tl2br w:val="nil"/>
              <w:tr2bl w:val="nil"/>
            </w:tcBorders>
            <w:shd w:val="clear" w:color="auto" w:fill="auto"/>
            <w:noWrap/>
            <w:vAlign w:val="center"/>
          </w:tcPr>
          <w:p>
            <w:pPr>
              <w:jc w:val="center"/>
              <w:rPr>
                <w:rFonts w:ascii="Arial" w:hAnsi="Arial" w:eastAsia="宋体" w:cs="Arial"/>
                <w:color w:val="000000"/>
                <w:sz w:val="22"/>
              </w:rPr>
            </w:pPr>
          </w:p>
        </w:tc>
      </w:tr>
      <w:tr>
        <w:tblPrEx>
          <w:tblCellMar>
            <w:top w:w="0" w:type="dxa"/>
            <w:left w:w="108" w:type="dxa"/>
            <w:bottom w:w="0" w:type="dxa"/>
            <w:right w:w="108" w:type="dxa"/>
          </w:tblCellMar>
        </w:tblPrEx>
        <w:trPr>
          <w:trHeight w:val="465"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Reference</w:t>
            </w: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2</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1.02 (0.57, 1.83)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1.04 (0.58, 1.87)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1.03 (0.57, 1.86)</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1.09 (0.61, 1.94)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1.08 (0.61, 1.92)</w:t>
            </w: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3</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1.42 (0.82, 2.44)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1.48 (0.85, 2.55)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1.47 (0.85, 2.55)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1.30 (0.74, 2.27)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1.28 (0.73, 2.24)</w:t>
            </w:r>
          </w:p>
        </w:tc>
      </w:tr>
      <w:tr>
        <w:tblPrEx>
          <w:tblCellMar>
            <w:top w:w="0" w:type="dxa"/>
            <w:left w:w="108" w:type="dxa"/>
            <w:bottom w:w="0" w:type="dxa"/>
            <w:right w:w="108" w:type="dxa"/>
          </w:tblCellMar>
        </w:tblPrEx>
        <w:trPr>
          <w:trHeight w:val="634"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Quartile 4</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1.98 (1.18, 3.31)</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2.07 (1.23, 3.49)</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1.98 (1.17, 3.35)</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1.73 (1.01, 2.97)</w:t>
            </w:r>
          </w:p>
        </w:tc>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1.71 (0.99, 2.94)</w:t>
            </w:r>
          </w:p>
        </w:tc>
      </w:tr>
      <w:tr>
        <w:tblPrEx>
          <w:tblCellMar>
            <w:top w:w="0" w:type="dxa"/>
            <w:left w:w="108" w:type="dxa"/>
            <w:bottom w:w="0" w:type="dxa"/>
            <w:right w:w="108" w:type="dxa"/>
          </w:tblCellMar>
        </w:tblPrEx>
        <w:trPr>
          <w:trHeight w:val="448" w:hRule="atLeast"/>
          <w:jc w:val="center"/>
        </w:trPr>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P for trend</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0.004</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0.002</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0.005</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0.036</w:t>
            </w:r>
          </w:p>
        </w:tc>
        <w:tc>
          <w:tcPr>
            <w:tcW w:w="0" w:type="auto"/>
            <w:tcBorders>
              <w:bottom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 xml:space="preserve">0.040 </w:t>
            </w:r>
          </w:p>
        </w:tc>
      </w:tr>
    </w:tbl>
    <w:p>
      <w:pPr>
        <w:spacing w:line="360" w:lineRule="auto"/>
        <w:jc w:val="both"/>
        <w:rPr>
          <w:rFonts w:ascii="Arial" w:hAnsi="Arial" w:eastAsia="等线" w:cs="Arial"/>
          <w:color w:val="000000"/>
          <w:sz w:val="22"/>
        </w:rPr>
      </w:pPr>
    </w:p>
    <w:p>
      <w:pPr>
        <w:spacing w:line="360" w:lineRule="auto"/>
        <w:rPr>
          <w:rFonts w:ascii="Arial" w:hAnsi="Arial" w:eastAsia="宋体" w:cs="Arial"/>
          <w:bCs/>
          <w:color w:val="000000"/>
          <w:sz w:val="22"/>
          <w:lang w:eastAsia="zh-CN" w:bidi="ar"/>
        </w:rPr>
      </w:pPr>
      <w:r>
        <w:rPr>
          <w:rFonts w:ascii="Arial" w:hAnsi="Arial" w:eastAsia="宋体" w:cs="Arial"/>
          <w:bCs/>
          <w:color w:val="000000"/>
          <w:sz w:val="22"/>
          <w:lang w:bidi="ar"/>
        </w:rPr>
        <w:t>Model 1: not adjusted (univariate)</w:t>
      </w:r>
      <w:r>
        <w:rPr>
          <w:rFonts w:ascii="Arial" w:hAnsi="Arial" w:eastAsia="宋体" w:cs="Arial"/>
          <w:bCs/>
          <w:color w:val="000000"/>
          <w:sz w:val="22"/>
          <w:lang w:eastAsia="zh-CN" w:bidi="ar"/>
        </w:rPr>
        <w:t>.</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Model 2: adjusted for age and sex.</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 xml:space="preserve">Model </w:t>
      </w:r>
      <w:r>
        <w:rPr>
          <w:rFonts w:ascii="Arial" w:hAnsi="Arial" w:eastAsia="宋体" w:cs="Arial"/>
          <w:bCs/>
          <w:color w:val="000000"/>
          <w:sz w:val="22"/>
          <w:lang w:eastAsia="zh-CN" w:bidi="ar"/>
        </w:rPr>
        <w:t>3</w:t>
      </w:r>
      <w:r>
        <w:rPr>
          <w:rFonts w:ascii="Arial" w:hAnsi="Arial" w:eastAsia="宋体" w:cs="Arial"/>
          <w:bCs/>
          <w:color w:val="000000"/>
          <w:sz w:val="22"/>
          <w:lang w:bidi="ar"/>
        </w:rPr>
        <w:t xml:space="preserve">: Model </w:t>
      </w:r>
      <w:r>
        <w:rPr>
          <w:rFonts w:ascii="Arial" w:hAnsi="Arial" w:eastAsia="宋体" w:cs="Arial"/>
          <w:bCs/>
          <w:color w:val="000000"/>
          <w:sz w:val="22"/>
          <w:lang w:eastAsia="zh-CN" w:bidi="ar"/>
        </w:rPr>
        <w:t>2</w:t>
      </w:r>
      <w:r>
        <w:rPr>
          <w:rFonts w:ascii="Arial" w:hAnsi="Arial" w:eastAsia="宋体" w:cs="Arial"/>
          <w:bCs/>
          <w:color w:val="000000"/>
          <w:sz w:val="22"/>
          <w:lang w:bidi="ar"/>
        </w:rPr>
        <w:t xml:space="preserve"> plus adjustment for smoking status, drinking status, </w:t>
      </w:r>
      <w:r>
        <w:rPr>
          <w:rFonts w:ascii="Arial" w:hAnsi="Arial" w:eastAsia="宋体" w:cs="Arial"/>
          <w:bCs/>
          <w:color w:val="000000"/>
          <w:sz w:val="22"/>
          <w:lang w:eastAsia="zh-CN" w:bidi="ar"/>
        </w:rPr>
        <w:t>SBP</w:t>
      </w:r>
      <w:r>
        <w:rPr>
          <w:rFonts w:ascii="Arial" w:hAnsi="Arial" w:eastAsia="宋体" w:cs="Arial"/>
          <w:bCs/>
          <w:color w:val="000000"/>
          <w:sz w:val="22"/>
          <w:lang w:bidi="ar"/>
        </w:rPr>
        <w:t xml:space="preserve">, </w:t>
      </w:r>
      <w:r>
        <w:rPr>
          <w:rFonts w:ascii="Arial" w:hAnsi="Arial" w:eastAsia="宋体" w:cs="Arial"/>
          <w:bCs/>
          <w:color w:val="000000"/>
          <w:sz w:val="22"/>
          <w:lang w:eastAsia="zh-CN" w:bidi="ar"/>
        </w:rPr>
        <w:t>DBP</w:t>
      </w:r>
      <w:r>
        <w:rPr>
          <w:rFonts w:ascii="Arial" w:hAnsi="Arial" w:eastAsia="宋体" w:cs="Arial"/>
          <w:bCs/>
          <w:color w:val="000000"/>
          <w:sz w:val="22"/>
          <w:lang w:bidi="ar"/>
        </w:rPr>
        <w:t>, and diabetes.</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 xml:space="preserve">Model </w:t>
      </w:r>
      <w:r>
        <w:rPr>
          <w:rFonts w:ascii="Arial" w:hAnsi="Arial" w:eastAsia="宋体" w:cs="Arial"/>
          <w:bCs/>
          <w:color w:val="000000"/>
          <w:sz w:val="22"/>
          <w:lang w:eastAsia="zh-CN" w:bidi="ar"/>
        </w:rPr>
        <w:t>4</w:t>
      </w:r>
      <w:r>
        <w:rPr>
          <w:rFonts w:ascii="Arial" w:hAnsi="Arial" w:eastAsia="宋体" w:cs="Arial"/>
          <w:bCs/>
          <w:color w:val="000000"/>
          <w:sz w:val="22"/>
          <w:lang w:bidi="ar"/>
        </w:rPr>
        <w:t xml:space="preserve">: Model </w:t>
      </w:r>
      <w:r>
        <w:rPr>
          <w:rFonts w:ascii="Arial" w:hAnsi="Arial" w:eastAsia="宋体" w:cs="Arial"/>
          <w:bCs/>
          <w:color w:val="000000"/>
          <w:sz w:val="22"/>
          <w:lang w:eastAsia="zh-CN" w:bidi="ar"/>
        </w:rPr>
        <w:t>3</w:t>
      </w:r>
      <w:r>
        <w:rPr>
          <w:rFonts w:ascii="Arial" w:hAnsi="Arial" w:eastAsia="宋体" w:cs="Arial"/>
          <w:bCs/>
          <w:color w:val="000000"/>
          <w:sz w:val="22"/>
          <w:lang w:bidi="ar"/>
        </w:rPr>
        <w:t xml:space="preserve"> plus adjustment for eGFR, </w:t>
      </w:r>
      <w:r>
        <w:rPr>
          <w:rFonts w:ascii="Arial" w:hAnsi="Arial" w:eastAsia="宋体" w:cs="Arial"/>
          <w:bCs/>
          <w:color w:val="000000"/>
          <w:sz w:val="22"/>
          <w:lang w:eastAsia="zh-CN" w:bidi="ar"/>
        </w:rPr>
        <w:t>TC</w:t>
      </w:r>
      <w:r>
        <w:rPr>
          <w:rFonts w:ascii="Arial" w:hAnsi="Arial" w:eastAsia="宋体" w:cs="Arial"/>
          <w:bCs/>
          <w:color w:val="000000"/>
          <w:sz w:val="22"/>
          <w:lang w:bidi="ar"/>
        </w:rPr>
        <w:t xml:space="preserve">, </w:t>
      </w:r>
      <w:r>
        <w:rPr>
          <w:rFonts w:ascii="Arial" w:hAnsi="Arial" w:eastAsia="宋体" w:cs="Arial"/>
          <w:bCs/>
          <w:color w:val="000000"/>
          <w:sz w:val="22"/>
          <w:lang w:eastAsia="zh-CN" w:bidi="ar"/>
        </w:rPr>
        <w:t>TG</w:t>
      </w:r>
      <w:r>
        <w:rPr>
          <w:rFonts w:ascii="Arial" w:hAnsi="Arial" w:eastAsia="宋体" w:cs="Arial"/>
          <w:bCs/>
          <w:color w:val="000000"/>
          <w:sz w:val="22"/>
          <w:lang w:bidi="ar"/>
        </w:rPr>
        <w:t xml:space="preserve">, HDL-C, LDL-C, </w:t>
      </w:r>
      <w:r>
        <w:rPr>
          <w:rFonts w:ascii="Arial" w:hAnsi="Arial" w:eastAsia="宋体" w:cs="Arial"/>
          <w:bCs/>
          <w:color w:val="000000"/>
          <w:sz w:val="22"/>
          <w:lang w:eastAsia="zh-CN" w:bidi="ar"/>
        </w:rPr>
        <w:t>FPG</w:t>
      </w:r>
      <w:r>
        <w:rPr>
          <w:rFonts w:ascii="Arial" w:hAnsi="Arial" w:eastAsia="宋体" w:cs="Arial"/>
          <w:bCs/>
          <w:color w:val="000000"/>
          <w:sz w:val="22"/>
          <w:lang w:bidi="ar"/>
        </w:rPr>
        <w:t xml:space="preserve">, and </w:t>
      </w:r>
      <w:r>
        <w:rPr>
          <w:rFonts w:ascii="Arial" w:hAnsi="Arial" w:eastAsia="宋体" w:cs="Arial"/>
          <w:bCs/>
          <w:color w:val="000000"/>
          <w:sz w:val="22"/>
          <w:lang w:eastAsia="zh-CN" w:bidi="ar"/>
        </w:rPr>
        <w:t>AHI</w:t>
      </w:r>
      <w:r>
        <w:rPr>
          <w:rFonts w:ascii="Arial" w:hAnsi="Arial" w:eastAsia="宋体" w:cs="Arial"/>
          <w:bCs/>
          <w:color w:val="000000"/>
          <w:sz w:val="22"/>
          <w:lang w:bidi="ar"/>
        </w:rPr>
        <w:t>.</w:t>
      </w:r>
    </w:p>
    <w:p>
      <w:pPr>
        <w:spacing w:line="360" w:lineRule="auto"/>
        <w:rPr>
          <w:rFonts w:ascii="Arial" w:hAnsi="Arial" w:eastAsia="宋体" w:cs="Arial"/>
          <w:bCs/>
          <w:color w:val="000000"/>
          <w:sz w:val="22"/>
          <w:lang w:bidi="ar"/>
        </w:rPr>
      </w:pPr>
      <w:r>
        <w:rPr>
          <w:rFonts w:ascii="Arial" w:hAnsi="Arial" w:eastAsia="宋体" w:cs="Arial"/>
          <w:bCs/>
          <w:color w:val="000000"/>
          <w:sz w:val="22"/>
          <w:lang w:bidi="ar"/>
        </w:rPr>
        <w:t xml:space="preserve">Model </w:t>
      </w:r>
      <w:r>
        <w:rPr>
          <w:rFonts w:ascii="Arial" w:hAnsi="Arial" w:eastAsia="宋体" w:cs="Arial"/>
          <w:bCs/>
          <w:color w:val="000000"/>
          <w:sz w:val="22"/>
          <w:lang w:eastAsia="zh-CN" w:bidi="ar"/>
        </w:rPr>
        <w:t>5</w:t>
      </w:r>
      <w:r>
        <w:rPr>
          <w:rFonts w:ascii="Arial" w:hAnsi="Arial" w:eastAsia="宋体" w:cs="Arial"/>
          <w:bCs/>
          <w:color w:val="000000"/>
          <w:sz w:val="22"/>
          <w:lang w:bidi="ar"/>
        </w:rPr>
        <w:t xml:space="preserve">: Model </w:t>
      </w:r>
      <w:r>
        <w:rPr>
          <w:rFonts w:ascii="Arial" w:hAnsi="Arial" w:eastAsia="宋体" w:cs="Arial"/>
          <w:bCs/>
          <w:color w:val="000000"/>
          <w:sz w:val="22"/>
          <w:lang w:eastAsia="zh-CN" w:bidi="ar"/>
        </w:rPr>
        <w:t>4</w:t>
      </w:r>
      <w:r>
        <w:rPr>
          <w:rFonts w:ascii="Arial" w:hAnsi="Arial" w:eastAsia="宋体" w:cs="Arial"/>
          <w:bCs/>
          <w:color w:val="000000"/>
          <w:sz w:val="22"/>
          <w:lang w:bidi="ar"/>
        </w:rPr>
        <w:t xml:space="preserve"> plus adjustment for use of antidiabetic drugs, aspirins, statins, </w:t>
      </w:r>
      <w:r>
        <w:rPr>
          <w:rFonts w:ascii="Arial" w:hAnsi="Arial" w:eastAsia="宋体" w:cs="Arial"/>
          <w:bCs/>
          <w:color w:val="000000"/>
          <w:sz w:val="22"/>
          <w:lang w:eastAsia="zh-CN" w:bidi="ar"/>
        </w:rPr>
        <w:t>OSA</w:t>
      </w:r>
      <w:r>
        <w:rPr>
          <w:rFonts w:ascii="Arial" w:hAnsi="Arial" w:eastAsia="宋体" w:cs="Arial"/>
          <w:bCs/>
          <w:color w:val="000000"/>
          <w:sz w:val="22"/>
          <w:lang w:bidi="ar"/>
        </w:rPr>
        <w:t xml:space="preserve"> therapy, and antihypertensive drugs.</w:t>
      </w:r>
    </w:p>
    <w:p>
      <w:pPr>
        <w:spacing w:before="240" w:line="360" w:lineRule="auto"/>
        <w:rPr>
          <w:rFonts w:ascii="Arial" w:hAnsi="Arial" w:cs="Arial" w:eastAsiaTheme="minorEastAsia"/>
          <w:color w:val="000000"/>
          <w:kern w:val="2"/>
          <w:sz w:val="22"/>
          <w:lang w:eastAsia="zh-CN"/>
        </w:rPr>
      </w:pPr>
      <w:r>
        <w:rPr>
          <w:rFonts w:ascii="Arial" w:hAnsi="Arial" w:eastAsia="宋体" w:cs="Arial"/>
          <w:bCs/>
          <w:color w:val="000000"/>
          <w:sz w:val="22"/>
          <w:lang w:eastAsia="zh-CN" w:bidi="ar"/>
        </w:rPr>
        <w:t xml:space="preserve">Abbreviations: SD, standard deviation; HR, hazards ratio; </w:t>
      </w:r>
      <w:r>
        <w:rPr>
          <w:rFonts w:ascii="Arial" w:hAnsi="Arial" w:eastAsia="宋体" w:cs="Arial"/>
          <w:color w:val="000000"/>
          <w:sz w:val="22"/>
          <w:lang w:eastAsia="zh-CN" w:bidi="ar"/>
        </w:rPr>
        <w:t>CI, confidence interval</w:t>
      </w:r>
      <w:r>
        <w:rPr>
          <w:rFonts w:ascii="Arial" w:hAnsi="Arial" w:eastAsia="宋体" w:cs="Arial"/>
          <w:bCs/>
          <w:color w:val="000000"/>
          <w:sz w:val="22"/>
          <w:lang w:eastAsia="zh-CN" w:bidi="ar"/>
        </w:rPr>
        <w:t>. Other abbreviations, see Table 1.</w:t>
      </w:r>
    </w:p>
    <w:p>
      <w:pPr>
        <w:spacing w:before="240"/>
        <w:rPr>
          <w:rFonts w:ascii="Arial" w:hAnsi="Arial" w:cs="Arial" w:eastAsiaTheme="minorEastAsia"/>
          <w:color w:val="000000"/>
          <w:kern w:val="2"/>
          <w:sz w:val="22"/>
          <w:lang w:eastAsia="zh-CN"/>
        </w:rPr>
      </w:pPr>
    </w:p>
    <w:p>
      <w:pPr>
        <w:spacing w:before="240"/>
        <w:rPr>
          <w:rFonts w:ascii="Arial" w:hAnsi="Arial" w:cs="Arial" w:eastAsiaTheme="minorEastAsia"/>
          <w:color w:val="000000"/>
          <w:kern w:val="2"/>
          <w:sz w:val="22"/>
          <w:lang w:eastAsia="zh-CN"/>
        </w:rPr>
      </w:pPr>
    </w:p>
    <w:p>
      <w:pPr>
        <w:spacing w:before="240"/>
        <w:rPr>
          <w:rFonts w:ascii="Arial" w:hAnsi="Arial" w:cs="Arial" w:eastAsiaTheme="minorEastAsia"/>
          <w:color w:val="000000"/>
          <w:kern w:val="2"/>
          <w:sz w:val="22"/>
          <w:lang w:eastAsia="zh-CN"/>
        </w:rPr>
      </w:pPr>
    </w:p>
    <w:p>
      <w:pPr>
        <w:spacing w:before="240"/>
        <w:rPr>
          <w:rFonts w:ascii="Arial" w:hAnsi="Arial" w:cs="Arial"/>
          <w:color w:val="000000"/>
          <w:sz w:val="22"/>
        </w:rPr>
      </w:pPr>
      <w:bookmarkStart w:id="12" w:name="OLE_LINK7"/>
    </w:p>
    <w:p>
      <w:pPr>
        <w:spacing w:before="240"/>
        <w:rPr>
          <w:rFonts w:ascii="Arial" w:hAnsi="Arial" w:cs="Arial"/>
          <w:color w:val="000000"/>
          <w:sz w:val="22"/>
        </w:rPr>
      </w:pPr>
    </w:p>
    <w:bookmarkEnd w:id="12"/>
    <w:p>
      <w:pPr>
        <w:spacing w:before="240"/>
        <w:rPr>
          <w:rFonts w:ascii="Arial" w:hAnsi="Arial" w:cs="Arial"/>
          <w:b/>
          <w:bCs/>
          <w:color w:val="000000"/>
          <w:sz w:val="22"/>
        </w:rPr>
      </w:pPr>
      <w:bookmarkStart w:id="13" w:name="OLE_LINK2"/>
      <w:r>
        <w:rPr>
          <w:rFonts w:ascii="Arial" w:hAnsi="Arial" w:cs="Arial"/>
          <w:b/>
          <w:bCs/>
          <w:color w:val="000000"/>
          <w:sz w:val="22"/>
        </w:rPr>
        <w:t>Table S</w:t>
      </w:r>
      <w:r>
        <w:rPr>
          <w:rFonts w:hint="eastAsia" w:ascii="Arial" w:hAnsi="Arial" w:eastAsia="宋体" w:cs="Arial"/>
          <w:b/>
          <w:bCs/>
          <w:color w:val="000000"/>
          <w:sz w:val="22"/>
          <w:lang w:eastAsia="zh-CN"/>
        </w:rPr>
        <w:t>6</w:t>
      </w:r>
      <w:r>
        <w:rPr>
          <w:rFonts w:ascii="Arial" w:hAnsi="Arial" w:cs="Arial"/>
          <w:color w:val="000000"/>
          <w:sz w:val="22"/>
        </w:rPr>
        <w:t xml:space="preserve">. </w:t>
      </w:r>
      <w:bookmarkEnd w:id="13"/>
      <w:r>
        <w:rPr>
          <w:rFonts w:ascii="Arial" w:hAnsi="Arial" w:cs="Arial"/>
          <w:color w:val="000000"/>
          <w:sz w:val="22"/>
        </w:rPr>
        <w:t>E-values for the observed associations between WWI and clinical outcomes.</w:t>
      </w:r>
    </w:p>
    <w:tbl>
      <w:tblPr>
        <w:tblStyle w:val="19"/>
        <w:tblW w:w="10099"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8"/>
        <w:gridCol w:w="1831"/>
        <w:gridCol w:w="1831"/>
        <w:gridCol w:w="183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bottom w:val="single" w:color="auto" w:sz="12" w:space="0"/>
            </w:tcBorders>
            <w:shd w:val="clear" w:color="auto" w:fill="auto"/>
            <w:noWrap/>
            <w:vAlign w:val="center"/>
          </w:tcPr>
          <w:p>
            <w:pPr>
              <w:jc w:val="center"/>
              <w:rPr>
                <w:rFonts w:ascii="Arial" w:hAnsi="Arial" w:eastAsia="宋体" w:cs="Arial"/>
                <w:color w:val="000000"/>
                <w:sz w:val="22"/>
              </w:rPr>
            </w:pP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b/>
                <w:bCs/>
                <w:color w:val="000000"/>
                <w:sz w:val="22"/>
              </w:rPr>
            </w:pPr>
            <w:r>
              <w:rPr>
                <w:rFonts w:ascii="Arial" w:hAnsi="Arial" w:eastAsia="宋体" w:cs="Arial"/>
                <w:b/>
                <w:bCs/>
                <w:color w:val="000000"/>
                <w:sz w:val="22"/>
                <w:lang w:eastAsia="zh-CN" w:bidi="ar"/>
              </w:rPr>
              <w:t>CVD</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b/>
                <w:bCs/>
                <w:color w:val="000000"/>
                <w:sz w:val="22"/>
              </w:rPr>
            </w:pPr>
            <w:r>
              <w:rPr>
                <w:rFonts w:ascii="Arial" w:hAnsi="Arial" w:eastAsia="宋体" w:cs="Arial"/>
                <w:b/>
                <w:bCs/>
                <w:color w:val="000000"/>
                <w:sz w:val="22"/>
                <w:lang w:eastAsia="zh-CN" w:bidi="ar"/>
              </w:rPr>
              <w:t>CHD</w:t>
            </w:r>
          </w:p>
        </w:tc>
        <w:tc>
          <w:tcPr>
            <w:tcW w:w="0" w:type="auto"/>
            <w:tcBorders>
              <w:bottom w:val="single" w:color="auto" w:sz="12" w:space="0"/>
            </w:tcBorders>
            <w:shd w:val="clear" w:color="auto" w:fill="auto"/>
            <w:noWrap/>
            <w:vAlign w:val="center"/>
          </w:tcPr>
          <w:p>
            <w:pPr>
              <w:jc w:val="center"/>
              <w:textAlignment w:val="center"/>
              <w:rPr>
                <w:rFonts w:ascii="Arial" w:hAnsi="Arial" w:eastAsia="宋体" w:cs="Arial"/>
                <w:b/>
                <w:bCs/>
                <w:color w:val="000000"/>
                <w:sz w:val="22"/>
              </w:rPr>
            </w:pPr>
            <w:r>
              <w:rPr>
                <w:rFonts w:ascii="Arial" w:hAnsi="Arial" w:eastAsia="宋体" w:cs="Arial"/>
                <w:b/>
                <w:bCs/>
                <w:color w:val="000000"/>
                <w:sz w:val="22"/>
                <w:lang w:eastAsia="zh-CN" w:bidi="ar"/>
              </w:rPr>
              <w:t>Stroke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Observed association* (per 1 cm/√kg increase)</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1.22 (1.12, 1.34)</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1.20 (1.07, 1.34)</w:t>
            </w:r>
          </w:p>
        </w:tc>
        <w:tc>
          <w:tcPr>
            <w:tcW w:w="0" w:type="auto"/>
            <w:tcBorders>
              <w:top w:val="single" w:color="auto" w:sz="12" w:space="0"/>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1.26 (1.09, 1.46)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l2br w:val="nil"/>
              <w:tr2bl w:val="nil"/>
            </w:tcBorders>
            <w:shd w:val="clear" w:color="auto" w:fill="auto"/>
            <w:noWrap/>
            <w:vAlign w:val="center"/>
          </w:tcPr>
          <w:p>
            <w:pPr>
              <w:jc w:val="center"/>
              <w:textAlignment w:val="center"/>
              <w:rPr>
                <w:rFonts w:ascii="Arial" w:hAnsi="Arial" w:eastAsia="宋体" w:cs="Arial"/>
                <w:color w:val="000000"/>
                <w:sz w:val="22"/>
              </w:rPr>
            </w:pPr>
            <w:r>
              <w:rPr>
                <w:rFonts w:ascii="Arial" w:hAnsi="Arial" w:eastAsia="宋体" w:cs="Arial"/>
                <w:color w:val="000000"/>
                <w:sz w:val="22"/>
                <w:lang w:eastAsia="zh-CN" w:bidi="ar"/>
              </w:rPr>
              <w:t>E-value for point estimate</w:t>
            </w:r>
          </w:p>
        </w:tc>
        <w:tc>
          <w:tcPr>
            <w:tcW w:w="0" w:type="auto"/>
            <w:tcBorders>
              <w:tl2br w:val="nil"/>
              <w:tr2bl w:val="nil"/>
            </w:tcBorders>
            <w:shd w:val="clear" w:color="auto" w:fill="auto"/>
            <w:noWrap/>
            <w:vAlign w:val="center"/>
          </w:tcPr>
          <w:p>
            <w:pPr>
              <w:jc w:val="center"/>
              <w:textAlignment w:val="center"/>
              <w:rPr>
                <w:rFonts w:ascii="Arial" w:hAnsi="Arial" w:eastAsia="宋体" w:cs="Arial"/>
                <w:b w:val="0"/>
                <w:bCs w:val="0"/>
                <w:color w:val="000000"/>
                <w:sz w:val="22"/>
              </w:rPr>
            </w:pPr>
            <w:r>
              <w:rPr>
                <w:rFonts w:ascii="Arial" w:hAnsi="Arial" w:eastAsia="宋体" w:cs="Arial"/>
                <w:b w:val="0"/>
                <w:bCs w:val="0"/>
                <w:color w:val="000000"/>
                <w:sz w:val="22"/>
                <w:lang w:eastAsia="zh-CN" w:bidi="ar"/>
              </w:rPr>
              <w:t>1.74</w:t>
            </w:r>
          </w:p>
        </w:tc>
        <w:tc>
          <w:tcPr>
            <w:tcW w:w="0" w:type="auto"/>
            <w:tcBorders>
              <w:tl2br w:val="nil"/>
              <w:tr2bl w:val="nil"/>
            </w:tcBorders>
            <w:shd w:val="clear" w:color="auto" w:fill="auto"/>
            <w:noWrap/>
            <w:vAlign w:val="center"/>
          </w:tcPr>
          <w:p>
            <w:pPr>
              <w:jc w:val="center"/>
              <w:textAlignment w:val="center"/>
              <w:rPr>
                <w:rFonts w:ascii="Arial" w:hAnsi="Arial" w:eastAsia="宋体" w:cs="Arial"/>
                <w:b w:val="0"/>
                <w:bCs w:val="0"/>
                <w:color w:val="000000"/>
                <w:sz w:val="22"/>
              </w:rPr>
            </w:pPr>
            <w:r>
              <w:rPr>
                <w:rFonts w:ascii="Arial" w:hAnsi="Arial" w:eastAsia="宋体" w:cs="Arial"/>
                <w:b w:val="0"/>
                <w:bCs w:val="0"/>
                <w:color w:val="000000"/>
                <w:sz w:val="22"/>
                <w:lang w:eastAsia="zh-CN" w:bidi="ar"/>
              </w:rPr>
              <w:t xml:space="preserve">1.69 </w:t>
            </w:r>
          </w:p>
        </w:tc>
        <w:tc>
          <w:tcPr>
            <w:tcW w:w="0" w:type="auto"/>
            <w:tcBorders>
              <w:tl2br w:val="nil"/>
              <w:tr2bl w:val="nil"/>
            </w:tcBorders>
            <w:shd w:val="clear" w:color="auto" w:fill="auto"/>
            <w:noWrap/>
            <w:vAlign w:val="center"/>
          </w:tcPr>
          <w:p>
            <w:pPr>
              <w:jc w:val="center"/>
              <w:textAlignment w:val="center"/>
              <w:rPr>
                <w:rFonts w:ascii="Arial" w:hAnsi="Arial" w:eastAsia="宋体" w:cs="Arial"/>
                <w:b w:val="0"/>
                <w:bCs w:val="0"/>
                <w:color w:val="000000"/>
                <w:sz w:val="22"/>
              </w:rPr>
            </w:pPr>
            <w:r>
              <w:rPr>
                <w:rFonts w:ascii="Arial" w:hAnsi="Arial" w:eastAsia="宋体" w:cs="Arial"/>
                <w:b w:val="0"/>
                <w:bCs w:val="0"/>
                <w:color w:val="000000"/>
                <w:sz w:val="22"/>
                <w:lang w:eastAsia="zh-CN" w:bidi="ar"/>
              </w:rPr>
              <w:t xml:space="preserve">1.83 </w:t>
            </w:r>
          </w:p>
        </w:tc>
      </w:tr>
    </w:tbl>
    <w:p>
      <w:pPr>
        <w:spacing w:before="240"/>
        <w:rPr>
          <w:rFonts w:ascii="Arial" w:hAnsi="Arial" w:cs="Arial"/>
          <w:color w:val="000000"/>
          <w:sz w:val="22"/>
        </w:rPr>
      </w:pPr>
    </w:p>
    <w:p>
      <w:pPr>
        <w:spacing w:before="240"/>
        <w:rPr>
          <w:rFonts w:ascii="Arial" w:hAnsi="Arial" w:cs="Arial"/>
          <w:color w:val="000000"/>
          <w:sz w:val="22"/>
        </w:rPr>
      </w:pPr>
      <w:r>
        <w:rPr>
          <w:rFonts w:ascii="Arial" w:hAnsi="Arial" w:cs="Arial"/>
          <w:color w:val="000000"/>
          <w:sz w:val="22"/>
        </w:rPr>
        <w:t>*The observed associations are the fully adjusted hazard ratios (95% confidence intervals) shown in Table 2 and are presented here for reference.</w:t>
      </w:r>
    </w:p>
    <w:p>
      <w:pPr>
        <w:spacing w:before="240"/>
        <w:rPr>
          <w:rFonts w:ascii="Arial" w:hAnsi="Arial" w:cs="Arial"/>
          <w:color w:val="000000"/>
          <w:sz w:val="22"/>
        </w:rPr>
      </w:pPr>
    </w:p>
    <w:p>
      <w:pPr>
        <w:spacing w:before="240"/>
        <w:rPr>
          <w:color w:val="000000"/>
        </w:rPr>
      </w:pPr>
      <w:bookmarkStart w:id="14" w:name="_GoBack"/>
      <w:bookmarkEnd w:id="14"/>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spacing w:before="240"/>
        <w:rPr>
          <w:color w:val="000000"/>
        </w:rPr>
      </w:pPr>
    </w:p>
    <w:p>
      <w:pPr>
        <w:pStyle w:val="3"/>
        <w:numPr>
          <w:ilvl w:val="1"/>
          <w:numId w:val="0"/>
        </w:numPr>
        <w:tabs>
          <w:tab w:val="left" w:pos="487"/>
          <w:tab w:val="clear" w:pos="567"/>
        </w:tabs>
        <w:rPr>
          <w:rFonts w:ascii="Arial" w:hAnsi="Arial" w:cs="Arial"/>
          <w:color w:val="000000"/>
        </w:rPr>
      </w:pPr>
      <w:r>
        <w:rPr>
          <w:rFonts w:ascii="Arial" w:hAnsi="Arial" w:eastAsia="宋体" w:cs="Arial"/>
          <w:color w:val="000000"/>
          <w:lang w:eastAsia="zh-CN"/>
        </w:rPr>
        <w:t>2.2</w:t>
      </w:r>
      <w:r>
        <w:rPr>
          <w:rFonts w:ascii="Arial" w:hAnsi="Arial" w:eastAsia="宋体" w:cs="Arial"/>
          <w:color w:val="000000"/>
          <w:lang w:eastAsia="zh-CN"/>
        </w:rPr>
        <w:tab/>
      </w:r>
      <w:r>
        <w:rPr>
          <w:rFonts w:ascii="Arial" w:hAnsi="Arial" w:cs="Arial"/>
          <w:color w:val="000000"/>
        </w:rPr>
        <w:t>Supplementary Figures</w:t>
      </w:r>
    </w:p>
    <w:p>
      <w:pPr>
        <w:ind w:left="-720" w:leftChars="-300" w:right="-542" w:rightChars="-226"/>
        <w:jc w:val="center"/>
        <w:rPr>
          <w:rFonts w:eastAsia="宋体" w:cs="Times New Roman"/>
          <w:color w:val="000000"/>
          <w:szCs w:val="24"/>
          <w:lang w:eastAsia="zh-CN"/>
        </w:rPr>
      </w:pPr>
    </w:p>
    <w:p>
      <w:pPr>
        <w:jc w:val="both"/>
        <w:rPr>
          <w:rFonts w:eastAsia="宋体"/>
          <w:b/>
          <w:color w:val="000000"/>
          <w:szCs w:val="24"/>
          <w:lang w:eastAsia="zh-CN"/>
        </w:rPr>
      </w:pPr>
      <w:r>
        <w:rPr>
          <w:rFonts w:hint="eastAsia" w:eastAsia="宋体"/>
          <w:b/>
          <w:color w:val="000000"/>
          <w:szCs w:val="24"/>
          <w:lang w:eastAsia="zh-CN"/>
        </w:rPr>
        <w:drawing>
          <wp:inline distT="0" distB="0" distL="114300" distR="114300">
            <wp:extent cx="6204585" cy="3843655"/>
            <wp:effectExtent l="0" t="0" r="5715" b="4445"/>
            <wp:docPr id="6" name="图片 6"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流程图"/>
                    <pic:cNvPicPr>
                      <a:picLocks noChangeAspect="1"/>
                    </pic:cNvPicPr>
                  </pic:nvPicPr>
                  <pic:blipFill>
                    <a:blip r:embed="rId10"/>
                    <a:stretch>
                      <a:fillRect/>
                    </a:stretch>
                  </pic:blipFill>
                  <pic:spPr>
                    <a:xfrm>
                      <a:off x="0" y="0"/>
                      <a:ext cx="6204585" cy="3843655"/>
                    </a:xfrm>
                    <a:prstGeom prst="rect">
                      <a:avLst/>
                    </a:prstGeom>
                  </pic:spPr>
                </pic:pic>
              </a:graphicData>
            </a:graphic>
          </wp:inline>
        </w:drawing>
      </w:r>
    </w:p>
    <w:p>
      <w:pPr>
        <w:jc w:val="both"/>
        <w:rPr>
          <w:rFonts w:ascii="Arial" w:hAnsi="Arial" w:cs="Arial"/>
          <w:color w:val="000000"/>
          <w:szCs w:val="24"/>
        </w:rPr>
      </w:pPr>
      <w:r>
        <w:rPr>
          <w:rFonts w:ascii="Arial" w:hAnsi="Arial" w:eastAsia="宋体" w:cs="Arial"/>
          <w:b/>
          <w:color w:val="000000"/>
          <w:szCs w:val="24"/>
        </w:rPr>
        <w:t xml:space="preserve">Figure </w:t>
      </w:r>
      <w:r>
        <w:rPr>
          <w:rFonts w:ascii="Arial" w:hAnsi="Arial" w:eastAsia="宋体" w:cs="Arial"/>
          <w:b/>
          <w:color w:val="000000"/>
          <w:szCs w:val="24"/>
          <w:lang w:eastAsia="zh-CN"/>
        </w:rPr>
        <w:t xml:space="preserve">S1     </w:t>
      </w:r>
      <w:r>
        <w:rPr>
          <w:rStyle w:val="27"/>
          <w:rFonts w:ascii="Arial" w:hAnsi="Arial" w:cs="Arial"/>
          <w:color w:val="000000"/>
          <w:szCs w:val="24"/>
          <w:u w:val="none"/>
          <w:lang w:eastAsia="zh-CN"/>
        </w:rPr>
        <w:t>Flowchart of the study</w:t>
      </w:r>
      <w:r>
        <w:rPr>
          <w:rFonts w:ascii="Arial" w:hAnsi="Arial" w:cs="Arial"/>
          <w:color w:val="000000"/>
          <w:szCs w:val="24"/>
        </w:rPr>
        <w:t>.</w:t>
      </w:r>
    </w:p>
    <w:p>
      <w:pPr>
        <w:spacing w:before="240"/>
        <w:ind w:left="720" w:hanging="720" w:hangingChars="300"/>
        <w:jc w:val="both"/>
        <w:rPr>
          <w:color w:val="000000"/>
        </w:rPr>
      </w:pPr>
    </w:p>
    <w:p>
      <w:pPr>
        <w:spacing w:before="240"/>
        <w:ind w:left="720" w:hanging="720" w:hangingChars="300"/>
        <w:jc w:val="both"/>
        <w:rPr>
          <w:color w:val="000000"/>
        </w:rPr>
      </w:pPr>
    </w:p>
    <w:p>
      <w:pPr>
        <w:spacing w:before="240"/>
        <w:ind w:left="720" w:hanging="720" w:hangingChars="300"/>
        <w:jc w:val="both"/>
        <w:rPr>
          <w:color w:val="000000"/>
        </w:rPr>
      </w:pPr>
    </w:p>
    <w:p>
      <w:pPr>
        <w:spacing w:before="240"/>
        <w:ind w:left="720" w:hanging="720" w:hangingChars="300"/>
        <w:jc w:val="both"/>
        <w:rPr>
          <w:color w:val="000000"/>
        </w:rPr>
      </w:pPr>
    </w:p>
    <w:p>
      <w:pPr>
        <w:spacing w:before="240"/>
        <w:ind w:left="720" w:hanging="720" w:hangingChars="300"/>
        <w:jc w:val="both"/>
        <w:rPr>
          <w:color w:val="000000"/>
        </w:rPr>
      </w:pPr>
    </w:p>
    <w:p>
      <w:pPr>
        <w:spacing w:before="240"/>
        <w:ind w:left="720" w:hanging="720" w:hangingChars="300"/>
        <w:jc w:val="both"/>
        <w:rPr>
          <w:color w:val="000000"/>
        </w:rPr>
      </w:pPr>
    </w:p>
    <w:p>
      <w:pPr>
        <w:spacing w:before="240"/>
        <w:ind w:left="720" w:hanging="720" w:hangingChars="300"/>
        <w:jc w:val="both"/>
        <w:rPr>
          <w:color w:val="000000"/>
        </w:rPr>
      </w:pPr>
    </w:p>
    <w:p>
      <w:pPr>
        <w:spacing w:before="240"/>
        <w:ind w:left="720" w:hanging="720" w:hangingChars="300"/>
        <w:jc w:val="both"/>
        <w:rPr>
          <w:color w:val="000000"/>
        </w:rPr>
      </w:pPr>
    </w:p>
    <w:p>
      <w:pPr>
        <w:spacing w:before="240"/>
        <w:ind w:left="720" w:hanging="720" w:hangingChars="300"/>
        <w:jc w:val="both"/>
        <w:rPr>
          <w:color w:val="000000"/>
        </w:rPr>
      </w:pPr>
    </w:p>
    <w:p>
      <w:pPr>
        <w:spacing w:before="240"/>
        <w:jc w:val="center"/>
        <w:rPr>
          <w:rStyle w:val="27"/>
          <w:rFonts w:cs="Times New Roman"/>
          <w:color w:val="000000"/>
          <w:szCs w:val="24"/>
          <w:u w:val="none"/>
          <w:lang w:eastAsia="zh-CN"/>
        </w:rPr>
      </w:pPr>
      <w:r>
        <w:rPr>
          <w:rStyle w:val="27"/>
          <w:rFonts w:cs="Times New Roman"/>
          <w:color w:val="000000"/>
          <w:szCs w:val="24"/>
          <w:u w:val="none"/>
          <w:lang w:eastAsia="zh-CN"/>
        </w:rPr>
        <w:drawing>
          <wp:inline distT="0" distB="0" distL="114300" distR="114300">
            <wp:extent cx="3451860" cy="7780655"/>
            <wp:effectExtent l="0" t="0" r="15240" b="10795"/>
            <wp:docPr id="7" name="图片 7" descr="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H-1"/>
                    <pic:cNvPicPr>
                      <a:picLocks noChangeAspect="1"/>
                    </pic:cNvPicPr>
                  </pic:nvPicPr>
                  <pic:blipFill>
                    <a:blip r:embed="rId11"/>
                    <a:stretch>
                      <a:fillRect/>
                    </a:stretch>
                  </pic:blipFill>
                  <pic:spPr>
                    <a:xfrm>
                      <a:off x="0" y="0"/>
                      <a:ext cx="3451860" cy="7780655"/>
                    </a:xfrm>
                    <a:prstGeom prst="rect">
                      <a:avLst/>
                    </a:prstGeom>
                  </pic:spPr>
                </pic:pic>
              </a:graphicData>
            </a:graphic>
          </wp:inline>
        </w:drawing>
      </w:r>
    </w:p>
    <w:p>
      <w:pPr>
        <w:spacing w:before="240"/>
        <w:ind w:left="723" w:hanging="723" w:hangingChars="300"/>
        <w:jc w:val="both"/>
        <w:rPr>
          <w:rStyle w:val="27"/>
          <w:rFonts w:ascii="Arial" w:hAnsi="Arial" w:cs="Arial"/>
          <w:color w:val="000000"/>
          <w:szCs w:val="24"/>
          <w:u w:val="none"/>
          <w:lang w:eastAsia="zh-CN"/>
        </w:rPr>
      </w:pPr>
      <w:r>
        <w:rPr>
          <w:rFonts w:ascii="Arial" w:hAnsi="Arial" w:eastAsia="宋体" w:cs="Arial"/>
          <w:b/>
          <w:color w:val="000000"/>
          <w:szCs w:val="24"/>
        </w:rPr>
        <w:t xml:space="preserve">Figure </w:t>
      </w:r>
      <w:r>
        <w:rPr>
          <w:rFonts w:ascii="Arial" w:hAnsi="Arial" w:eastAsia="宋体" w:cs="Arial"/>
          <w:b/>
          <w:color w:val="000000"/>
          <w:szCs w:val="24"/>
          <w:lang w:eastAsia="zh-CN"/>
        </w:rPr>
        <w:t xml:space="preserve">S2     </w:t>
      </w:r>
      <w:r>
        <w:rPr>
          <w:rStyle w:val="27"/>
          <w:rFonts w:ascii="Arial" w:hAnsi="Arial" w:cs="Arial"/>
          <w:color w:val="000000"/>
          <w:szCs w:val="24"/>
          <w:u w:val="none"/>
          <w:lang w:eastAsia="zh-CN"/>
        </w:rPr>
        <w:t>Plot of Schoenfeld residuals against time in the Cox regression model. (a) cardiovascular disease, (b) coronary heart disease, and (c) stroke.</w:t>
      </w:r>
    </w:p>
    <w:p>
      <w:pPr>
        <w:spacing w:before="240"/>
        <w:jc w:val="both"/>
        <w:rPr>
          <w:rStyle w:val="27"/>
          <w:rFonts w:cs="Times New Roman"/>
          <w:color w:val="000000"/>
          <w:szCs w:val="24"/>
          <w:u w:val="none"/>
          <w:lang w:eastAsia="zh-CN"/>
        </w:rPr>
      </w:pPr>
      <w:r>
        <w:rPr>
          <w:rStyle w:val="27"/>
          <w:rFonts w:cs="Times New Roman"/>
          <w:color w:val="000000"/>
          <w:szCs w:val="24"/>
          <w:u w:val="none"/>
          <w:lang w:eastAsia="zh-CN"/>
        </w:rPr>
        <w:drawing>
          <wp:inline distT="0" distB="0" distL="114300" distR="114300">
            <wp:extent cx="6199505" cy="6199505"/>
            <wp:effectExtent l="0" t="0" r="3175" b="3175"/>
            <wp:docPr id="2" name="图片 2" descr="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OC"/>
                    <pic:cNvPicPr>
                      <a:picLocks noChangeAspect="1"/>
                    </pic:cNvPicPr>
                  </pic:nvPicPr>
                  <pic:blipFill>
                    <a:blip r:embed="rId12"/>
                    <a:stretch>
                      <a:fillRect/>
                    </a:stretch>
                  </pic:blipFill>
                  <pic:spPr>
                    <a:xfrm>
                      <a:off x="0" y="0"/>
                      <a:ext cx="6199505" cy="6199505"/>
                    </a:xfrm>
                    <a:prstGeom prst="rect">
                      <a:avLst/>
                    </a:prstGeom>
                  </pic:spPr>
                </pic:pic>
              </a:graphicData>
            </a:graphic>
          </wp:inline>
        </w:drawing>
      </w:r>
    </w:p>
    <w:p>
      <w:pPr>
        <w:spacing w:before="240"/>
        <w:jc w:val="both"/>
        <w:rPr>
          <w:rStyle w:val="27"/>
          <w:rFonts w:cs="Times New Roman"/>
          <w:color w:val="000000"/>
          <w:szCs w:val="24"/>
          <w:u w:val="none"/>
          <w:lang w:eastAsia="zh-CN"/>
        </w:rPr>
      </w:pPr>
      <w:r>
        <w:rPr>
          <w:rFonts w:ascii="Arial" w:hAnsi="Arial" w:eastAsia="宋体" w:cs="Arial"/>
          <w:b/>
          <w:color w:val="000000"/>
          <w:szCs w:val="24"/>
        </w:rPr>
        <w:t xml:space="preserve">Figure </w:t>
      </w:r>
      <w:r>
        <w:rPr>
          <w:rFonts w:ascii="Arial" w:hAnsi="Arial" w:eastAsia="宋体" w:cs="Arial"/>
          <w:b/>
          <w:color w:val="000000"/>
          <w:szCs w:val="24"/>
          <w:lang w:eastAsia="zh-CN"/>
        </w:rPr>
        <w:t>S</w:t>
      </w:r>
      <w:r>
        <w:rPr>
          <w:rFonts w:hint="eastAsia" w:ascii="Arial" w:hAnsi="Arial" w:eastAsia="宋体" w:cs="Arial"/>
          <w:b/>
          <w:color w:val="000000"/>
          <w:szCs w:val="24"/>
          <w:lang w:eastAsia="zh-CN"/>
        </w:rPr>
        <w:t>3</w:t>
      </w:r>
      <w:r>
        <w:rPr>
          <w:rFonts w:ascii="Arial" w:hAnsi="Arial" w:eastAsia="宋体" w:cs="Arial"/>
          <w:b/>
          <w:color w:val="000000"/>
          <w:szCs w:val="24"/>
          <w:lang w:eastAsia="zh-CN"/>
        </w:rPr>
        <w:t xml:space="preserve">    </w:t>
      </w:r>
      <w:r>
        <w:rPr>
          <w:rFonts w:ascii="Arial" w:hAnsi="Arial" w:eastAsia="宋体" w:cs="Arial"/>
          <w:bCs/>
          <w:color w:val="000000"/>
          <w:szCs w:val="24"/>
          <w:lang w:eastAsia="zh-CN"/>
        </w:rPr>
        <w:t xml:space="preserve"> Comparative analysis between WWI, BMI and WC</w:t>
      </w:r>
      <w:r>
        <w:rPr>
          <w:rStyle w:val="27"/>
          <w:rFonts w:ascii="Arial" w:hAnsi="Arial" w:cs="Arial"/>
          <w:color w:val="000000"/>
          <w:szCs w:val="24"/>
          <w:u w:val="none"/>
          <w:lang w:eastAsia="zh-CN"/>
        </w:rPr>
        <w:t>. (a) cardiovascular disease, (b) coronary heart disease, and (c) stroke.</w:t>
      </w:r>
    </w:p>
    <w:p>
      <w:pPr>
        <w:spacing w:before="240"/>
        <w:jc w:val="both"/>
        <w:rPr>
          <w:rStyle w:val="27"/>
          <w:rFonts w:cs="Times New Roman"/>
          <w:color w:val="000000"/>
          <w:szCs w:val="24"/>
          <w:u w:val="none"/>
          <w:lang w:eastAsia="zh-CN"/>
        </w:rPr>
      </w:pPr>
    </w:p>
    <w:p>
      <w:pPr>
        <w:pStyle w:val="57"/>
        <w:spacing w:after="0" w:line="360" w:lineRule="auto"/>
        <w:rPr>
          <w:rFonts w:ascii="Arial" w:hAnsi="Arial" w:cs="Arial"/>
          <w:b/>
          <w:color w:val="000000"/>
          <w:sz w:val="32"/>
          <w:szCs w:val="32"/>
        </w:rPr>
      </w:pPr>
      <w:r>
        <w:rPr>
          <w:rFonts w:ascii="Arial" w:hAnsi="Arial" w:cs="Arial"/>
          <w:b/>
          <w:color w:val="000000"/>
          <w:sz w:val="32"/>
          <w:szCs w:val="32"/>
        </w:rPr>
        <w:t>References</w:t>
      </w:r>
    </w:p>
    <w:p>
      <w:pPr>
        <w:pStyle w:val="57"/>
        <w:rPr>
          <w:rFonts w:ascii="Arial" w:hAnsi="Arial" w:cs="Arial"/>
          <w:color w:val="000000"/>
        </w:rPr>
      </w:pPr>
      <w:r>
        <w:rPr>
          <w:rFonts w:ascii="Arial" w:hAnsi="Arial" w:cs="Arial"/>
          <w:color w:val="000000"/>
        </w:rPr>
        <w:t>[1]</w:t>
      </w:r>
      <w:r>
        <w:rPr>
          <w:rFonts w:ascii="Arial" w:hAnsi="Arial" w:cs="Arial"/>
          <w:color w:val="000000"/>
        </w:rPr>
        <w:tab/>
      </w:r>
      <w:r>
        <w:rPr>
          <w:rFonts w:ascii="Arial" w:hAnsi="Arial" w:cs="Arial"/>
          <w:color w:val="000000"/>
          <w:lang w:eastAsia="zh-CN"/>
        </w:rPr>
        <w:t>Berry RB, Budhiraja R, Gottlieb DJ, et al. Rules for scoring respiratory events in sleep: update of the 2007 AASM Manual for the Scoring of Sleep and Associated Events. Deliberations of the Sleep Apnea Definitions Task Force of the American Academy of Sleep Medicine. J Clin Sleep Med. 2012. 8(5): 597-619</w:t>
      </w:r>
      <w:r>
        <w:rPr>
          <w:rFonts w:ascii="Arial" w:hAnsi="Arial" w:cs="Arial"/>
          <w:color w:val="000000"/>
        </w:rPr>
        <w:t>.</w:t>
      </w:r>
    </w:p>
    <w:p>
      <w:pPr>
        <w:pStyle w:val="57"/>
        <w:rPr>
          <w:rFonts w:ascii="Arial" w:hAnsi="Arial" w:cs="Arial"/>
          <w:color w:val="000000"/>
        </w:rPr>
      </w:pPr>
      <w:r>
        <w:rPr>
          <w:rFonts w:ascii="Arial" w:hAnsi="Arial" w:cs="Arial"/>
          <w:color w:val="000000"/>
        </w:rPr>
        <w:t>[2]</w:t>
      </w:r>
      <w:r>
        <w:rPr>
          <w:rFonts w:ascii="Arial" w:hAnsi="Arial" w:cs="Arial"/>
          <w:color w:val="000000"/>
        </w:rPr>
        <w:tab/>
      </w:r>
      <w:r>
        <w:rPr>
          <w:rFonts w:ascii="Arial" w:hAnsi="Arial" w:cs="Arial"/>
          <w:color w:val="000000"/>
        </w:rPr>
        <w:t>Rechtschaffen A, Kales A (1968) A manual of standardized terminology, techniques and scoring system for sleep stages of human subjects. National Institutes of Health, Washington DC.</w:t>
      </w:r>
    </w:p>
    <w:p>
      <w:pPr>
        <w:pStyle w:val="57"/>
        <w:rPr>
          <w:rFonts w:ascii="Arial" w:hAnsi="Arial" w:cs="Arial"/>
          <w:color w:val="000000"/>
        </w:rPr>
      </w:pPr>
      <w:r>
        <w:rPr>
          <w:rFonts w:ascii="Arial" w:hAnsi="Arial" w:cs="Arial"/>
          <w:color w:val="000000"/>
        </w:rPr>
        <w:t>[3]</w:t>
      </w:r>
      <w:r>
        <w:rPr>
          <w:rFonts w:ascii="Arial" w:hAnsi="Arial" w:cs="Arial"/>
          <w:color w:val="000000"/>
        </w:rPr>
        <w:tab/>
      </w:r>
      <w:r>
        <w:rPr>
          <w:rFonts w:ascii="Arial" w:hAnsi="Arial" w:cs="Arial"/>
          <w:color w:val="000000"/>
        </w:rPr>
        <w:t>Iber C, Ancoli-Israel S, Chesson A (2007) The AASM manual for the scoring of sleep and associated events: rules, terminology, and technical specifications, 1st edn. American Academy of Sleep Medicine, Westchester.</w:t>
      </w:r>
    </w:p>
    <w:p>
      <w:pPr>
        <w:pStyle w:val="57"/>
        <w:rPr>
          <w:rFonts w:ascii="Arial" w:hAnsi="Arial" w:cs="Arial"/>
          <w:color w:val="000000"/>
        </w:rPr>
      </w:pPr>
      <w:r>
        <w:rPr>
          <w:rFonts w:ascii="Arial" w:hAnsi="Arial" w:cs="Arial"/>
          <w:color w:val="000000"/>
        </w:rPr>
        <w:t>[4]</w:t>
      </w:r>
      <w:r>
        <w:rPr>
          <w:rFonts w:ascii="Arial" w:hAnsi="Arial" w:cs="Arial"/>
          <w:color w:val="000000"/>
        </w:rPr>
        <w:tab/>
      </w:r>
      <w:r>
        <w:rPr>
          <w:rFonts w:ascii="Arial" w:hAnsi="Arial" w:cs="Arial"/>
          <w:color w:val="000000"/>
          <w:lang w:eastAsia="zh-CN"/>
        </w:rPr>
        <w:t>EEG arousals: scoring rules and examples: a preliminary report from the Sleep Disorders Atlas Task Force of the American Sleep Disorders Association. Sleep. 1992. 15(2): 173-84</w:t>
      </w:r>
      <w:r>
        <w:rPr>
          <w:rFonts w:ascii="Arial" w:hAnsi="Arial" w:cs="Arial"/>
          <w:color w:val="000000"/>
        </w:rPr>
        <w:t>.</w:t>
      </w:r>
    </w:p>
    <w:p>
      <w:pPr>
        <w:pStyle w:val="57"/>
        <w:rPr>
          <w:rFonts w:ascii="Arial" w:hAnsi="Arial" w:cs="Arial"/>
          <w:color w:val="000000"/>
        </w:rPr>
      </w:pPr>
      <w:r>
        <w:rPr>
          <w:rFonts w:ascii="Arial" w:hAnsi="Arial" w:cs="Arial"/>
          <w:color w:val="000000"/>
        </w:rPr>
        <w:t>[</w:t>
      </w:r>
      <w:r>
        <w:rPr>
          <w:rFonts w:ascii="Arial" w:hAnsi="Arial" w:cs="Arial"/>
          <w:color w:val="000000"/>
          <w:lang w:eastAsia="zh-CN"/>
        </w:rPr>
        <w:t>5</w:t>
      </w:r>
      <w:r>
        <w:rPr>
          <w:rFonts w:ascii="Arial" w:hAnsi="Arial" w:cs="Arial"/>
          <w:color w:val="000000"/>
        </w:rPr>
        <w:t>]</w:t>
      </w:r>
      <w:r>
        <w:rPr>
          <w:rFonts w:ascii="Arial" w:hAnsi="Arial" w:cs="Arial"/>
          <w:color w:val="000000"/>
          <w:lang w:eastAsia="zh-CN"/>
        </w:rPr>
        <w:tab/>
      </w:r>
      <w:r>
        <w:rPr>
          <w:rFonts w:ascii="Arial" w:hAnsi="Arial" w:cs="Arial"/>
          <w:color w:val="000000"/>
          <w:lang w:eastAsia="zh-CN"/>
        </w:rPr>
        <w:t>Myocardial infarction redefined--a consensus document of The Joint European Society of Cardiology/American College of Cardiology Committee for the redefinition of myocardial infarction. Eur Heart J. 2000. 21(18): 1502-13</w:t>
      </w:r>
      <w:r>
        <w:rPr>
          <w:rFonts w:ascii="Arial" w:hAnsi="Arial" w:cs="Arial"/>
          <w:color w:val="000000"/>
        </w:rPr>
        <w:t>.</w:t>
      </w:r>
    </w:p>
    <w:p>
      <w:pPr>
        <w:spacing w:before="240"/>
        <w:ind w:left="720" w:hanging="720" w:hangingChars="300"/>
        <w:jc w:val="both"/>
        <w:rPr>
          <w:rStyle w:val="27"/>
          <w:rFonts w:cs="Times New Roman"/>
          <w:color w:val="000000"/>
          <w:szCs w:val="24"/>
          <w:u w:val="none"/>
          <w:lang w:eastAsia="zh-CN"/>
        </w:rPr>
      </w:pPr>
    </w:p>
    <w:sectPr>
      <w:headerReference r:id="rId5" w:type="first"/>
      <w:footerReference r:id="rId8" w:type="first"/>
      <w:footerReference r:id="rId6" w:type="default"/>
      <w:headerReference r:id="rId4" w:type="even"/>
      <w:footerReference r:id="rId7" w:type="even"/>
      <w:pgSz w:w="12240" w:h="15840"/>
      <w:pgMar w:top="1138" w:right="1181" w:bottom="1138" w:left="1282" w:header="720" w:footer="720" w:gutter="0"/>
      <w:lnNumType w:countBy="1" w:restart="continuou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Rockwell">
    <w:panose1 w:val="02060603020205020403"/>
    <w:charset w:val="00"/>
    <w:family w:val="roman"/>
    <w:pitch w:val="default"/>
    <w:sig w:usb0="00000003" w:usb1="00000000" w:usb2="00000000" w:usb3="00000000" w:csb0="200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0" distR="0" simplePos="0" relativeHeight="251663360" behindDoc="0" locked="0" layoutInCell="1" allowOverlap="1">
              <wp:simplePos x="0" y="0"/>
              <wp:positionH relativeFrom="page">
                <wp:align>left</wp:align>
              </wp:positionH>
              <wp:positionV relativeFrom="page">
                <wp:align>bottom</wp:align>
              </wp:positionV>
              <wp:extent cx="2085975" cy="400685"/>
              <wp:effectExtent l="0" t="0" r="9525" b="0"/>
              <wp:wrapNone/>
              <wp:docPr id="706726880" name="Text Box 5" descr="Information Classification: General"/>
              <wp:cNvGraphicFramePr/>
              <a:graphic xmlns:a="http://schemas.openxmlformats.org/drawingml/2006/main">
                <a:graphicData uri="http://schemas.microsoft.com/office/word/2010/wordprocessingShape">
                  <wps:wsp>
                    <wps:cNvSpPr txBox="1"/>
                    <wps:spPr>
                      <a:xfrm>
                        <a:off x="0" y="0"/>
                        <a:ext cx="2085975" cy="400685"/>
                      </a:xfrm>
                      <a:prstGeom prst="rect">
                        <a:avLst/>
                      </a:prstGeom>
                      <a:noFill/>
                      <a:ln>
                        <a:noFill/>
                      </a:ln>
                    </wps:spPr>
                    <wps:txbx>
                      <w:txbxContent>
                        <w:p>
                          <w:pPr>
                            <w:spacing w:after="0"/>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5" o:spid="_x0000_s1026" o:spt="202" alt="Information Classification: General" type="#_x0000_t202" style="position:absolute;left:0pt;height:31.55pt;width:164.25pt;mso-position-horizontal:left;mso-position-horizontal-relative:page;mso-position-vertical:bottom;mso-position-vertical-relative:page;mso-wrap-style:none;z-index:251663360;v-text-anchor:bottom;mso-width-relative:page;mso-height-relative:page;" filled="f" stroked="f" coordsize="21600,21600" o:gfxdata="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vG58NMAAAAEAQAADwAAAAAAAAABACAAAAAiAAAAZHJz&#10;L2Rvd25yZXYueG1sUEsBAhQAFAAAAAgAh07iQCfnU2RCAgAAiAQAAA4AAAAAAAAAAQAgAAAAIgEA&#10;AGRycy9lMm9Eb2MueG1sUEsFBgAAAAAGAAYAWQEAANYFAAAAAA==&#10;">
              <v:fill on="f" focussize="0,0"/>
              <v:stroke on="f"/>
              <v:imagedata o:title=""/>
              <o:lock v:ext="edit" aspectratio="f"/>
              <v:textbox inset="20pt,0mm,0mm,15pt" style="mso-fit-shape-to-text:t;">
                <w:txbxContent>
                  <w:p>
                    <w:pPr>
                      <w:spacing w:after="0"/>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0" distR="0" simplePos="0" relativeHeight="251662336" behindDoc="0" locked="0" layoutInCell="1" allowOverlap="1">
              <wp:simplePos x="0" y="0"/>
              <wp:positionH relativeFrom="page">
                <wp:align>left</wp:align>
              </wp:positionH>
              <wp:positionV relativeFrom="page">
                <wp:align>bottom</wp:align>
              </wp:positionV>
              <wp:extent cx="2085975" cy="400685"/>
              <wp:effectExtent l="0" t="0" r="9525" b="0"/>
              <wp:wrapNone/>
              <wp:docPr id="532149812" name="Text Box 4" descr="Information Classification: General"/>
              <wp:cNvGraphicFramePr/>
              <a:graphic xmlns:a="http://schemas.openxmlformats.org/drawingml/2006/main">
                <a:graphicData uri="http://schemas.microsoft.com/office/word/2010/wordprocessingShape">
                  <wps:wsp>
                    <wps:cNvSpPr txBox="1"/>
                    <wps:spPr>
                      <a:xfrm>
                        <a:off x="0" y="0"/>
                        <a:ext cx="2085975" cy="400685"/>
                      </a:xfrm>
                      <a:prstGeom prst="rect">
                        <a:avLst/>
                      </a:prstGeom>
                      <a:noFill/>
                      <a:ln>
                        <a:noFill/>
                      </a:ln>
                    </wps:spPr>
                    <wps:txbx>
                      <w:txbxContent>
                        <w:p>
                          <w:pPr>
                            <w:spacing w:after="0"/>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4" o:spid="_x0000_s1026" o:spt="202" alt="Information Classification: General" type="#_x0000_t202" style="position:absolute;left:0pt;height:31.55pt;width:164.25pt;mso-position-horizontal:left;mso-position-horizontal-relative:page;mso-position-vertical:bottom;mso-position-vertical-relative:page;mso-wrap-style:none;z-index:251662336;v-text-anchor:bottom;mso-width-relative:page;mso-height-relative:page;" filled="f" stroked="f" coordsize="21600,21600" o:gfxdata="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LxufDTAAAABAEAAA8AAAAAAAAAAQAgAAAAIgAAAGRy&#10;cy9kb3ducmV2LnhtbFBLAQIUABQAAAAIAIdO4kBqmEb+QwIAAIgEAAAOAAAAAAAAAAEAIAAAACIB&#10;AABkcnMvZTJvRG9jLnhtbFBLBQYAAAAABgAGAFkBAADXBQAAAAA=&#10;">
              <v:fill on="f" focussize="0,0"/>
              <v:stroke on="f"/>
              <v:imagedata o:title=""/>
              <o:lock v:ext="edit" aspectratio="f"/>
              <v:textbox inset="20pt,0mm,0mm,15pt" style="mso-fit-shape-to-text:t;">
                <w:txbxContent>
                  <w:p>
                    <w:pPr>
                      <w:spacing w:after="0"/>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bottom</wp:align>
              </wp:positionV>
              <wp:extent cx="2085975" cy="400685"/>
              <wp:effectExtent l="0" t="0" r="9525" b="0"/>
              <wp:wrapNone/>
              <wp:docPr id="1679311204" name="Text Box 3" descr="Information Classification: General"/>
              <wp:cNvGraphicFramePr/>
              <a:graphic xmlns:a="http://schemas.openxmlformats.org/drawingml/2006/main">
                <a:graphicData uri="http://schemas.microsoft.com/office/word/2010/wordprocessingShape">
                  <wps:wsp>
                    <wps:cNvSpPr txBox="1"/>
                    <wps:spPr>
                      <a:xfrm>
                        <a:off x="0" y="0"/>
                        <a:ext cx="2085975" cy="400685"/>
                      </a:xfrm>
                      <a:prstGeom prst="rect">
                        <a:avLst/>
                      </a:prstGeom>
                      <a:noFill/>
                      <a:ln>
                        <a:noFill/>
                      </a:ln>
                    </wps:spPr>
                    <wps:txbx>
                      <w:txbxContent>
                        <w:p>
                          <w:pPr>
                            <w:spacing w:after="0"/>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3" o:spid="_x0000_s1026" o:spt="202" alt="Information Classification: General" type="#_x0000_t202" style="position:absolute;left:0pt;height:31.55pt;width:164.25pt;mso-position-horizontal:left;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LxufDTAAAABAEAAA8AAAAAAAAAAQAgAAAAIgAAAGRy&#10;cy9kb3ducmV2LnhtbFBLAQIUABQAAAAIAIdO4kClPDd+QwIAAIkEAAAOAAAAAAAAAAEAIAAAACIB&#10;AABkcnMvZTJvRG9jLnhtbFBLBQYAAAAABgAGAFkBAADXBQAAAAA=&#10;">
              <v:fill on="f" focussize="0,0"/>
              <v:stroke on="f"/>
              <v:imagedata o:title=""/>
              <o:lock v:ext="edit" aspectratio="f"/>
              <v:textbox inset="20pt,0mm,0mm,15pt" style="mso-fit-shape-to-text:t;">
                <w:txbxContent>
                  <w:p>
                    <w:pPr>
                      <w:spacing w:after="0"/>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3"/>
      <w:lvlText w:val="%1.%2"/>
      <w:lvlJc w:val="left"/>
      <w:pPr>
        <w:tabs>
          <w:tab w:val="left" w:pos="567"/>
        </w:tabs>
        <w:ind w:left="567" w:hanging="567"/>
      </w:pPr>
      <w:rPr>
        <w:rFonts w:hint="default"/>
      </w:rPr>
    </w:lvl>
    <w:lvl w:ilvl="2" w:tentative="0">
      <w:start w:val="1"/>
      <w:numFmt w:val="decimal"/>
      <w:pStyle w:val="4"/>
      <w:lvlText w:val="%1.%2.%3"/>
      <w:lvlJc w:val="left"/>
      <w:pPr>
        <w:tabs>
          <w:tab w:val="left" w:pos="567"/>
        </w:tabs>
        <w:ind w:left="567" w:hanging="567"/>
      </w:pPr>
      <w:rPr>
        <w:rFonts w:hint="default"/>
      </w:rPr>
    </w:lvl>
    <w:lvl w:ilvl="3" w:tentative="0">
      <w:start w:val="1"/>
      <w:numFmt w:val="decimal"/>
      <w:pStyle w:val="5"/>
      <w:lvlText w:val="%1.%2.%3.%4"/>
      <w:lvlJc w:val="left"/>
      <w:pPr>
        <w:tabs>
          <w:tab w:val="left" w:pos="567"/>
        </w:tabs>
        <w:ind w:left="567" w:hanging="567"/>
      </w:pPr>
      <w:rPr>
        <w:rFonts w:hint="default"/>
      </w:rPr>
    </w:lvl>
    <w:lvl w:ilvl="4" w:tentative="0">
      <w:start w:val="1"/>
      <w:numFmt w:val="decimal"/>
      <w:pStyle w:val="6"/>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42"/>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Formatting/>
  <w:attachedTemplate r:id="rId1"/>
  <w:documentProtection w:enforcement="0"/>
  <w:defaultTabStop w:val="720"/>
  <w:evenAndOddHeaders w:val="1"/>
  <w:noPunctuationKerning w:val="1"/>
  <w:characterSpacingControl w:val="doNotCompress"/>
  <w:footnotePr>
    <w:footnote w:id="0"/>
    <w:footnote w:id="1"/>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1NjVlY2UxMjhiNDc0ZTQxODIwNWY5ZWJlOWU2MzUifQ=="/>
    <w:docVar w:name="KY.MR.DATA{79ED638B-C5CB-4580-B34B-B9FBAB3F6131}2800" w:val="&lt;KyMRNote dbid=&quot;{79ED638B-C5CB-4580-B34B-B9FBAB3F6131}&quot; recid=&quot;2800&quot;&gt;&lt;Data&gt;&lt;Field id=&quot;AccessNum&quot;&gt;30676631&lt;/Field&gt;&lt;Field id=&quot;Author&quot;&gt;Haneuse S;VanderWeele TJ;Arterburn D&lt;/Field&gt;&lt;Field id=&quot;AuthorTrans&quot;&gt;&lt;/Field&gt;&lt;Field id=&quot;DOI&quot;&gt;10.1001/jama.2018.21554&lt;/Field&gt;&lt;Field id=&quot;Editor&quot;&gt;&lt;/Field&gt;&lt;Field id=&quot;FmtTitle&quot;&gt;&lt;/Field&gt;&lt;Field id=&quot;Issue&quot;&gt;6&lt;/Field&gt;&lt;Field id=&quot;LIID&quot;&gt;2800&lt;/Field&gt;&lt;Field id=&quot;Magazine&quot;&gt;JAMA&lt;/Field&gt;&lt;Field id=&quot;MagazineAB&quot;&gt;JAMA&lt;/Field&gt;&lt;Field id=&quot;MagazineTrans&quot;&gt;&lt;/Field&gt;&lt;Field id=&quot;PageNum&quot;&gt;602-603&lt;/Field&gt;&lt;Field id=&quot;PubDate&quot;&gt;Feb 12&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Using the E-Value to Assess the Potential Effect of Unmeasured Confounding in Observational Studies.&lt;/Field&gt;&lt;Field id=&quot;Translator&quot;&gt;&lt;/Field&gt;&lt;Field id=&quot;Type&quot;&gt;{041D4F77-279E-4405-0002-4388361B9CFF}&lt;/Field&gt;&lt;Field id=&quot;Version&quot;&gt;&lt;/Field&gt;&lt;Field id=&quot;Vol&quot;&gt;321&lt;/Field&gt;&lt;Field id=&quot;Author2&quot;&gt;Haneuse,S;VanderWeele,TJ;Arterburn,D;&lt;/Field&gt;&lt;/Data&gt;&lt;Ref&gt;&lt;Display&gt;&lt;Text StringText=&quot;「RefIndex」&quot; StringTextOri=&quot;「RefIndex」&quot;/&gt;&lt;/Display&gt;&lt;/Ref&gt;&lt;Doc&gt;&lt;Display&gt;&lt;Text StringText=&quot;Haneuse S, VanderWeele TJ, Arterburn D&quot; StringGroup=&quot;Author&quot;/&gt;&lt;Text StringText=&quot;. &quot; StringGroup=&quot;Author&quot;/&gt;&lt;Text StringText=&quot;Using the E-Value to Assess the Potential Effect of Unmeasured Confounding in Observational Studies&quot; StringGroup=&quot;Title&quot;/&gt;&lt;Text StringText=&quot;. &quot; StringGroup=&quot;Title&quot;/&gt;&lt;Text StringText=&quot;JAMA&quot; StringGroup=&quot;Magazine&quot; Italic=&quot;true&quot;/&gt;&lt;Text StringText=&quot;. &quot; StringGroup=&quot;Magazine&quot;/&gt;&lt;Text StringText=&quot;(&quot; StringGroup=&quot;PubYear&quot;/&gt;&lt;Text StringText=&quot;2019&quot; StringGroup=&quot;PubYear&quot;/&gt;&lt;Text StringText=&quot;) &quot; StringGroup=&quot;PubYear&quot;/&gt;&lt;Text StringText=&quot;321&quot; StringGroup=&quot;Vol&quot;/&gt;&lt;Text StringText=&quot;:&quot; StringGroup=&quot;PageNum&quot;/&gt;&lt;Text StringText=&quot;602-3&quot; StringGroup=&quot;PageNum&quot;/&gt;&lt;Text StringText=&quot;. &quot; StringGroup=&quot;none&quot;/&gt;&lt;Text StringText=&quot;doi: &quot; StringGroup=&quot;DOI&quot;/&gt;&lt;Text StringText=&quot;10.1001/jama.2018.21554&quot; StringGroup=&quot;DOI&quot;/&gt;&lt;/Display&gt;&lt;/Doc&gt;&lt;/KyMRNote&gt;"/>
    <w:docVar w:name="KY.MR.DATA{79ED638B-C5CB-4580-B34B-B9FBAB3F6131}2829" w:val="&lt;KyMRNote dbid=&quot;{79ED638B-C5CB-4580-B34B-B9FBAB3F6131}&quot; recid=&quot;2829&quot;&gt;&lt;Data&gt;&lt;Field id=&quot;AccessNum&quot;&gt;8026046&lt;/Field&gt;&lt;Field id=&quot;Author&quot;&gt;Tunstall-Pedoe H;Kuulasmaa K;Amouyel P;Arveiler D;Rajakangas AM;Pajak A&lt;/Field&gt;&lt;Field id=&quot;AuthorTrans&quot;&gt;&lt;/Field&gt;&lt;Field id=&quot;DOI&quot;&gt;10.1161/01.cir.90.1.583&lt;/Field&gt;&lt;Field id=&quot;Editor&quot;&gt;&lt;/Field&gt;&lt;Field id=&quot;FmtTitle&quot;&gt;&lt;/Field&gt;&lt;Field id=&quot;Issue&quot;&gt;1&lt;/Field&gt;&lt;Field id=&quot;LIID&quot;&gt;2829&lt;/Field&gt;&lt;Field id=&quot;Magazine&quot;&gt;Circulation&lt;/Field&gt;&lt;Field id=&quot;MagazineAB&quot;&gt;Circulation&lt;/Field&gt;&lt;Field id=&quot;MagazineTrans&quot;&gt;&lt;/Field&gt;&lt;Field id=&quot;PageNum&quot;&gt;583-612&lt;/Field&gt;&lt;Field id=&quot;PubDate&quot;&gt;Jul&lt;/Field&gt;&lt;Field id=&quot;PubPlace&quot;&gt;United States&lt;/Field&gt;&lt;Field id=&quot;PubPlaceTrans&quot;&gt;&lt;/Field&gt;&lt;Field id=&quot;PubYear&quot;&gt;1994&lt;/Field&gt;&lt;Field id=&quot;Publisher&quot;&gt;&lt;/Field&gt;&lt;Field id=&quot;PublisherTrans&quot;&gt;&lt;/Field&gt;&lt;Field id=&quot;TITrans&quot;&gt;&lt;/Field&gt;&lt;Field id=&quot;Title&quot;&gt;Myocardial infarction and coronary deaths in the World Health Organization MONICA Project. Registration procedures, event rates, and case-fatality rates in 38 populations from 21 countries in four continents.&lt;/Field&gt;&lt;Field id=&quot;Translator&quot;&gt;&lt;/Field&gt;&lt;Field id=&quot;Type&quot;&gt;{041D4F77-279E-4405-0002-4388361B9CFF}&lt;/Field&gt;&lt;Field id=&quot;Version&quot;&gt;&lt;/Field&gt;&lt;Field id=&quot;Vol&quot;&gt;90&lt;/Field&gt;&lt;Field id=&quot;Author2&quot;&gt;Tunstall-Pedoe,H;Kuulasmaa,K;Amouyel,P;Arveiler,D;Rajakangas,AM;Pajak,A;&lt;/Field&gt;&lt;/Data&gt;&lt;Ref&gt;&lt;Display&gt;&lt;Text StringText=&quot;「RefIndex」&quot; StringTextOri=&quot;「RefIndex」&quot;/&gt;&lt;/Display&gt;&lt;/Ref&gt;&lt;Doc&gt;&lt;Display&gt;&lt;Text StringText=&quot;Tunstall-Pedoe H, Kuulasmaa K, Amouyel P, Arveiler D, Rajakangas AM, Pajak A&quot; StringGroup=&quot;Author&quot;/&gt;&lt;Text StringText=&quot;. &quot; StringGroup=&quot;Author&quot;/&gt;&lt;Text StringText=&quot;Myocardial infarction and coronary deaths in the World Health Organization MONICA Project. Registration procedures, event rates, and case-fatality rates in 38 populations from 21 countries in four continents&quot; StringGroup=&quot;Title&quot;/&gt;&lt;Text StringText=&quot;. &quot; StringGroup=&quot;Title&quot;/&gt;&lt;Text StringText=&quot;Circulation&quot; StringGroup=&quot;Magazine&quot; Italic=&quot;true&quot;/&gt;&lt;Text StringText=&quot;. &quot; StringGroup=&quot;Magazine&quot;/&gt;&lt;Text StringText=&quot;(&quot; StringGroup=&quot;PubYear&quot;/&gt;&lt;Text StringText=&quot;1994&quot; StringGroup=&quot;PubYear&quot;/&gt;&lt;Text StringText=&quot;) &quot; StringGroup=&quot;PubYear&quot;/&gt;&lt;Text StringText=&quot;90&quot; StringGroup=&quot;Vol&quot;/&gt;&lt;Text StringText=&quot;:&quot; StringGroup=&quot;PageNum&quot;/&gt;&lt;Text StringText=&quot;583-612&quot; StringGroup=&quot;PageNum&quot;/&gt;&lt;Text StringText=&quot;. &quot; StringGroup=&quot;none&quot;/&gt;&lt;Text StringText=&quot;doi: &quot; StringGroup=&quot;DOI&quot;/&gt;&lt;Text StringText=&quot;10.1161/01.cir.90.1.583&quot; StringGroup=&quot;DOI&quot;/&gt;&lt;/Display&gt;&lt;/Doc&gt;&lt;/KyMRNote&gt;"/>
    <w:docVar w:name="KY.MR.DATA{79ED638B-C5CB-4580-B34B-B9FBAB3F6131}2830" w:val="&lt;KyMRNote dbid=&quot;{79ED638B-C5CB-4580-B34B-B9FBAB3F6131}&quot; recid=&quot;2830&quot;&gt;&lt;Data&gt;&lt;Field id=&quot;AccessNum&quot;&gt;2799873&lt;/Field&gt;&lt;Field id=&quot;Author&quot;&gt;&lt;/Field&gt;&lt;Field id=&quot;AuthorTrans&quot;&gt;&lt;/Field&gt;&lt;Field id=&quot;DOI&quot;&gt;10.1161/01.str.20.10.1407&lt;/Field&gt;&lt;Field id=&quot;Editor&quot;&gt;&lt;/Field&gt;&lt;Field id=&quot;FmtTitle&quot;&gt;&lt;/Field&gt;&lt;Field id=&quot;Issue&quot;&gt;10&lt;/Field&gt;&lt;Field id=&quot;LIID&quot;&gt;2830&lt;/Field&gt;&lt;Field id=&quot;Magazine&quot;&gt;Stroke&lt;/Field&gt;&lt;Field id=&quot;MagazineAB&quot;&gt;Stroke&lt;/Field&gt;&lt;Field id=&quot;MagazineTrans&quot;&gt;&lt;/Field&gt;&lt;Field id=&quot;PageNum&quot;&gt;1407-31&lt;/Field&gt;&lt;Field id=&quot;PubDate&quot;&gt;Oct&lt;/Field&gt;&lt;Field id=&quot;PubPlace&quot;&gt;United States&lt;/Field&gt;&lt;Field id=&quot;PubPlaceTrans&quot;&gt;&lt;/Field&gt;&lt;Field id=&quot;PubYear&quot;&gt;1989&lt;/Field&gt;&lt;Field id=&quot;Publisher&quot;&gt;&lt;/Field&gt;&lt;Field id=&quot;PublisherTrans&quot;&gt;&lt;/Field&gt;&lt;Field id=&quot;TITrans&quot;&gt;&lt;/Field&gt;&lt;Field id=&quot;Title&quot;&gt;Stroke--1989. Recommendations on stroke prevention, diagnosis, and therapy. Report of the WHO Task Force on Stroke and other Cerebrovascular Disorders.&lt;/Field&gt;&lt;Field id=&quot;Translator&quot;&gt;&lt;/Field&gt;&lt;Field id=&quot;Type&quot;&gt;{041D4F77-279E-4405-0002-4388361B9CFF}&lt;/Field&gt;&lt;Field id=&quot;Version&quot;&gt;&lt;/Field&gt;&lt;Field id=&quot;Vol&quot;&gt;20&lt;/Field&gt;&lt;/Data&gt;&lt;Ref&gt;&lt;Display&gt;&lt;Text StringText=&quot;「RefIndex」&quot; StringTextOri=&quot;「RefIndex」&quot;/&gt;&lt;/Display&gt;&lt;/Ref&gt;&lt;Doc&gt;&lt;Display&gt;&lt;Text StringText=&quot;Stroke--1989. Recommendations on stroke prevention, diagnosis, and therapy. Report of the WHO Task Force on Stroke and other Cerebrovascular Disorders&quot; StringGroup=&quot;Title&quot;/&gt;&lt;Text StringText=&quot;. &quot; StringGroup=&quot;Title&quot;/&gt;&lt;Text StringText=&quot;Stroke&quot; StringGroup=&quot;Magazine&quot; Italic=&quot;true&quot;/&gt;&lt;Text StringText=&quot;. &quot; StringGroup=&quot;Magazine&quot;/&gt;&lt;Text StringText=&quot;(&quot; StringGroup=&quot;PubYear&quot;/&gt;&lt;Text StringText=&quot;1989&quot; StringGroup=&quot;PubYear&quot;/&gt;&lt;Text StringText=&quot;) &quot; StringGroup=&quot;PubYear&quot;/&gt;&lt;Text StringText=&quot;20&quot; StringGroup=&quot;Vol&quot;/&gt;&lt;Text StringText=&quot;:&quot; StringGroup=&quot;PageNum&quot;/&gt;&lt;Text StringText=&quot;1407-31&quot; StringGroup=&quot;PageNum&quot;/&gt;&lt;Text StringText=&quot;. &quot; StringGroup=&quot;none&quot;/&gt;&lt;Text StringText=&quot;doi: &quot; StringGroup=&quot;DOI&quot;/&gt;&lt;Text StringText=&quot;10.1161/01.str.20.10.1407&quot; StringGroup=&quot;DOI&quot;/&gt;&lt;/Display&gt;&lt;/Doc&gt;&lt;/KyMRNote&gt;"/>
    <w:docVar w:name="KY.MR.DATA{79ED638B-C5CB-4580-B34B-B9FBAB3F6131}2831" w:val="&lt;KyMRNote dbid=&quot;{79ED638B-C5CB-4580-B34B-B9FBAB3F6131}&quot; recid=&quot;2831&quot;&gt;&lt;Data&gt;&lt;Field id=&quot;AccessNum&quot;&gt;31150075&lt;/Field&gt;&lt;Field id=&quot;Author&quot;&gt;Wu S;An S;Li W;Lichtenstein AH;Gao J;Kris-Etherton PM;Wu Y;Jin C;Huang S;Hu FB;Gao X&lt;/Field&gt;&lt;Field id=&quot;AuthorTrans&quot;&gt;&lt;/Field&gt;&lt;Field id=&quot;DOI&quot;&gt;10.1001/jamanetworkopen.2019.4758&lt;/Field&gt;&lt;Field id=&quot;Editor&quot;&gt;&lt;/Field&gt;&lt;Field id=&quot;FmtTitle&quot;&gt;&lt;/Field&gt;&lt;Field id=&quot;Issue&quot;&gt;5&lt;/Field&gt;&lt;Field id=&quot;LIID&quot;&gt;2831&lt;/Field&gt;&lt;Field id=&quot;Magazine&quot;&gt;JAMA network open&lt;/Field&gt;&lt;Field id=&quot;MagazineAB&quot;&gt;JAMA Netw Open&lt;/Field&gt;&lt;Field id=&quot;MagazineTrans&quot;&gt;&lt;/Field&gt;&lt;Field id=&quot;PageNum&quot;&gt;e194758&lt;/Field&gt;&lt;Field id=&quot;PubDate&quot;&gt;May 03&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Association of Trajectory of Cardiovascular Health Score and Incident Cardiovascular Disease.&lt;/Field&gt;&lt;Field id=&quot;Translator&quot;&gt;&lt;/Field&gt;&lt;Field id=&quot;Type&quot;&gt;{041D4F77-279E-4405-0002-4388361B9CFF}&lt;/Field&gt;&lt;Field id=&quot;Version&quot;&gt;&lt;/Field&gt;&lt;Field id=&quot;Vol&quot;&gt;2&lt;/Field&gt;&lt;Field id=&quot;Author2&quot;&gt;Wu,S;An,S;Li,W;Lichtenstein,AH;Gao,J;Kris-Etherton,PM;&lt;/Field&gt;&lt;/Data&gt;&lt;Ref&gt;&lt;Display&gt;&lt;Text StringText=&quot;「RefIndex」&quot; StringTextOri=&quot;「RefIndex」&quot;/&gt;&lt;/Display&gt;&lt;/Ref&gt;&lt;Doc&gt;&lt;Display&gt;&lt;Text StringText=&quot;Wu S, An S, Li W, Lichtenstein AH, Gao J, Kris-Etherton PM, et al.&quot; StringGroup=&quot;Author&quot;/&gt;&lt;Text StringText=&quot; &quot; StringGroup=&quot;Author&quot;/&gt;&lt;Text StringText=&quot;Association of Trajectory of Cardiovascular Health Score and Incident Cardiovascular Disease&quot; StringGroup=&quot;Title&quot;/&gt;&lt;Text StringText=&quot;. &quot; StringGroup=&quot;Title&quot;/&gt;&lt;Text StringText=&quot;JAMA Netw Open&quot; StringGroup=&quot;Magazine&quot; Italic=&quot;true&quot;/&gt;&lt;Text StringText=&quot;. &quot; StringGroup=&quot;Magazine&quot;/&gt;&lt;Text StringText=&quot;(&quot; StringGroup=&quot;PubYear&quot;/&gt;&lt;Text StringText=&quot;2019&quot; StringGroup=&quot;PubYear&quot;/&gt;&lt;Text StringText=&quot;) &quot; StringGroup=&quot;PubYear&quot;/&gt;&lt;Text StringText=&quot;2&quot; StringGroup=&quot;Vol&quot;/&gt;&lt;Text StringText=&quot;:&quot; StringGroup=&quot;PageNum&quot;/&gt;&lt;Text StringText=&quot;e194758&quot; StringGroup=&quot;PageNum&quot;/&gt;&lt;Text StringText=&quot;. &quot; StringGroup=&quot;none&quot;/&gt;&lt;Text StringText=&quot;doi: &quot; StringGroup=&quot;DOI&quot;/&gt;&lt;Text StringText=&quot;10.1001/jamanetworkopen.2019.4758&quot; StringGroup=&quot;DOI&quot;/&gt;&lt;/Display&gt;&lt;/Doc&gt;&lt;/KyMRNote&gt;"/>
    <w:docVar w:name="KY_MEDREF_CITTEMPLATE" w:val="{E7E23957-7D68-4C88-9296-46E15919CAAC}"/>
    <w:docVar w:name="KY_MEDREF_DOCUID" w:val="{EB7CB35D-F6CB-4BC8-99F0-FAB9AAB96A2F}"/>
    <w:docVar w:name="KY_MEDREF_VERSION" w:val="3"/>
  </w:docVars>
  <w:rsids>
    <w:rsidRoot w:val="00ED20B5"/>
    <w:rsid w:val="0001436A"/>
    <w:rsid w:val="00034304"/>
    <w:rsid w:val="00035434"/>
    <w:rsid w:val="00052A14"/>
    <w:rsid w:val="00077D53"/>
    <w:rsid w:val="00105FD9"/>
    <w:rsid w:val="00117666"/>
    <w:rsid w:val="001549D3"/>
    <w:rsid w:val="00160065"/>
    <w:rsid w:val="00177D84"/>
    <w:rsid w:val="00215D97"/>
    <w:rsid w:val="00267D18"/>
    <w:rsid w:val="00274347"/>
    <w:rsid w:val="002868E2"/>
    <w:rsid w:val="002869C3"/>
    <w:rsid w:val="002936E4"/>
    <w:rsid w:val="002B4A57"/>
    <w:rsid w:val="002C321C"/>
    <w:rsid w:val="002C74CA"/>
    <w:rsid w:val="003123F4"/>
    <w:rsid w:val="003544FB"/>
    <w:rsid w:val="00361822"/>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8589B"/>
    <w:rsid w:val="00994A3D"/>
    <w:rsid w:val="009C2B12"/>
    <w:rsid w:val="00A174D9"/>
    <w:rsid w:val="00AA4D24"/>
    <w:rsid w:val="00AB6715"/>
    <w:rsid w:val="00B1671E"/>
    <w:rsid w:val="00B25EB8"/>
    <w:rsid w:val="00B37F4D"/>
    <w:rsid w:val="00B876F2"/>
    <w:rsid w:val="00C52A7B"/>
    <w:rsid w:val="00C56BAF"/>
    <w:rsid w:val="00C679AA"/>
    <w:rsid w:val="00C75972"/>
    <w:rsid w:val="00CD066B"/>
    <w:rsid w:val="00CE4FEE"/>
    <w:rsid w:val="00CE5F22"/>
    <w:rsid w:val="00D034E6"/>
    <w:rsid w:val="00D060CF"/>
    <w:rsid w:val="00DB59C3"/>
    <w:rsid w:val="00DC259A"/>
    <w:rsid w:val="00DE23E8"/>
    <w:rsid w:val="00E0106D"/>
    <w:rsid w:val="00E52377"/>
    <w:rsid w:val="00E537AD"/>
    <w:rsid w:val="00E64E17"/>
    <w:rsid w:val="00E866C9"/>
    <w:rsid w:val="00EA3D3C"/>
    <w:rsid w:val="00EC090A"/>
    <w:rsid w:val="00ED20B5"/>
    <w:rsid w:val="00EE715D"/>
    <w:rsid w:val="00F46900"/>
    <w:rsid w:val="00F61D89"/>
    <w:rsid w:val="010578EB"/>
    <w:rsid w:val="0424487B"/>
    <w:rsid w:val="05C27BCA"/>
    <w:rsid w:val="07506826"/>
    <w:rsid w:val="085404EC"/>
    <w:rsid w:val="0B2E6933"/>
    <w:rsid w:val="0B647915"/>
    <w:rsid w:val="0BA26CEF"/>
    <w:rsid w:val="0C767DEF"/>
    <w:rsid w:val="0DBC15E6"/>
    <w:rsid w:val="0DED0AFC"/>
    <w:rsid w:val="10491017"/>
    <w:rsid w:val="10860950"/>
    <w:rsid w:val="128B3251"/>
    <w:rsid w:val="12930615"/>
    <w:rsid w:val="14200646"/>
    <w:rsid w:val="153220F0"/>
    <w:rsid w:val="15B74A86"/>
    <w:rsid w:val="15D168FF"/>
    <w:rsid w:val="17544B1E"/>
    <w:rsid w:val="183977EE"/>
    <w:rsid w:val="18A75BB7"/>
    <w:rsid w:val="1AE6196C"/>
    <w:rsid w:val="1F092A67"/>
    <w:rsid w:val="1FC908AF"/>
    <w:rsid w:val="2232704D"/>
    <w:rsid w:val="24035115"/>
    <w:rsid w:val="29026033"/>
    <w:rsid w:val="2B4008AA"/>
    <w:rsid w:val="2B5D25F0"/>
    <w:rsid w:val="2C8231C1"/>
    <w:rsid w:val="2CF179A1"/>
    <w:rsid w:val="2D4C682C"/>
    <w:rsid w:val="309C5DF5"/>
    <w:rsid w:val="31173BCB"/>
    <w:rsid w:val="3272033D"/>
    <w:rsid w:val="34C24207"/>
    <w:rsid w:val="35C506F3"/>
    <w:rsid w:val="36403278"/>
    <w:rsid w:val="366C6D72"/>
    <w:rsid w:val="36F572A0"/>
    <w:rsid w:val="36F823B4"/>
    <w:rsid w:val="3A5357AD"/>
    <w:rsid w:val="3E1011F0"/>
    <w:rsid w:val="41320CE0"/>
    <w:rsid w:val="424B7571"/>
    <w:rsid w:val="443E3F48"/>
    <w:rsid w:val="44465953"/>
    <w:rsid w:val="479A32A5"/>
    <w:rsid w:val="4A1605F9"/>
    <w:rsid w:val="4B355960"/>
    <w:rsid w:val="4CBB12D8"/>
    <w:rsid w:val="4DB112D2"/>
    <w:rsid w:val="4DFC4A28"/>
    <w:rsid w:val="4EC1086C"/>
    <w:rsid w:val="4EE01C53"/>
    <w:rsid w:val="4EF940A8"/>
    <w:rsid w:val="50300FAA"/>
    <w:rsid w:val="50F11EF6"/>
    <w:rsid w:val="51624BA2"/>
    <w:rsid w:val="516B1090"/>
    <w:rsid w:val="51BD0962"/>
    <w:rsid w:val="54DA4940"/>
    <w:rsid w:val="54F817E5"/>
    <w:rsid w:val="55FE0BAB"/>
    <w:rsid w:val="564032B2"/>
    <w:rsid w:val="565A0E6A"/>
    <w:rsid w:val="57D3003A"/>
    <w:rsid w:val="5814296E"/>
    <w:rsid w:val="59054527"/>
    <w:rsid w:val="5A6D1CAC"/>
    <w:rsid w:val="5A814CA9"/>
    <w:rsid w:val="5C0B46E4"/>
    <w:rsid w:val="5C665554"/>
    <w:rsid w:val="5C6F1771"/>
    <w:rsid w:val="5D4A52F0"/>
    <w:rsid w:val="5DD11A0B"/>
    <w:rsid w:val="60150BE8"/>
    <w:rsid w:val="60CC277D"/>
    <w:rsid w:val="61786599"/>
    <w:rsid w:val="63A251C5"/>
    <w:rsid w:val="63B172EC"/>
    <w:rsid w:val="67225271"/>
    <w:rsid w:val="676F22AF"/>
    <w:rsid w:val="697B0A75"/>
    <w:rsid w:val="69AB5B4D"/>
    <w:rsid w:val="6BE47003"/>
    <w:rsid w:val="6DAB2E96"/>
    <w:rsid w:val="6DE0797D"/>
    <w:rsid w:val="6ED77F1C"/>
    <w:rsid w:val="700D313C"/>
    <w:rsid w:val="704651F4"/>
    <w:rsid w:val="707E14BA"/>
    <w:rsid w:val="7220411C"/>
    <w:rsid w:val="72AD1143"/>
    <w:rsid w:val="731D2F9D"/>
    <w:rsid w:val="75D41E35"/>
    <w:rsid w:val="75DE6CB9"/>
    <w:rsid w:val="770C1D4C"/>
    <w:rsid w:val="78051D48"/>
    <w:rsid w:val="7A17211E"/>
    <w:rsid w:val="7AF429FA"/>
    <w:rsid w:val="7B9B3FD9"/>
    <w:rsid w:val="7D08224A"/>
    <w:rsid w:val="7D651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before="120" w:after="240"/>
    </w:pPr>
    <w:rPr>
      <w:rFonts w:ascii="Times New Roman" w:hAnsi="Times New Roman" w:eastAsiaTheme="minorHAnsi" w:cstheme="minorBidi"/>
      <w:sz w:val="24"/>
      <w:szCs w:val="22"/>
      <w:lang w:val="en-US" w:eastAsia="en-US" w:bidi="ar-SA"/>
    </w:rPr>
  </w:style>
  <w:style w:type="paragraph" w:styleId="2">
    <w:name w:val="heading 1"/>
    <w:basedOn w:val="1"/>
    <w:next w:val="1"/>
    <w:link w:val="30"/>
    <w:autoRedefine/>
    <w:qFormat/>
    <w:uiPriority w:val="2"/>
    <w:pPr>
      <w:numPr>
        <w:ilvl w:val="0"/>
        <w:numId w:val="1"/>
      </w:numPr>
      <w:spacing w:before="240"/>
      <w:outlineLvl w:val="0"/>
    </w:pPr>
    <w:rPr>
      <w:b/>
    </w:rPr>
  </w:style>
  <w:style w:type="paragraph" w:styleId="3">
    <w:name w:val="heading 2"/>
    <w:basedOn w:val="2"/>
    <w:next w:val="1"/>
    <w:link w:val="31"/>
    <w:autoRedefine/>
    <w:qFormat/>
    <w:uiPriority w:val="2"/>
    <w:pPr>
      <w:numPr>
        <w:ilvl w:val="1"/>
      </w:numPr>
      <w:spacing w:after="200"/>
      <w:outlineLvl w:val="1"/>
    </w:pPr>
  </w:style>
  <w:style w:type="paragraph" w:styleId="4">
    <w:name w:val="heading 3"/>
    <w:basedOn w:val="1"/>
    <w:next w:val="1"/>
    <w:link w:val="45"/>
    <w:autoRedefine/>
    <w:qFormat/>
    <w:uiPriority w:val="2"/>
    <w:pPr>
      <w:keepNext/>
      <w:keepLines/>
      <w:numPr>
        <w:ilvl w:val="2"/>
        <w:numId w:val="1"/>
      </w:numPr>
      <w:spacing w:before="40" w:after="120"/>
      <w:outlineLvl w:val="2"/>
    </w:pPr>
    <w:rPr>
      <w:rFonts w:eastAsiaTheme="majorEastAsia" w:cstheme="majorBidi"/>
      <w:b/>
      <w:szCs w:val="24"/>
    </w:rPr>
  </w:style>
  <w:style w:type="paragraph" w:styleId="5">
    <w:name w:val="heading 4"/>
    <w:basedOn w:val="4"/>
    <w:next w:val="1"/>
    <w:link w:val="46"/>
    <w:autoRedefine/>
    <w:qFormat/>
    <w:uiPriority w:val="2"/>
    <w:pPr>
      <w:numPr>
        <w:ilvl w:val="3"/>
      </w:numPr>
      <w:outlineLvl w:val="3"/>
    </w:pPr>
    <w:rPr>
      <w:iCs/>
    </w:rPr>
  </w:style>
  <w:style w:type="paragraph" w:styleId="6">
    <w:name w:val="heading 5"/>
    <w:basedOn w:val="5"/>
    <w:next w:val="1"/>
    <w:link w:val="47"/>
    <w:autoRedefine/>
    <w:qFormat/>
    <w:uiPriority w:val="2"/>
    <w:pPr>
      <w:numPr>
        <w:ilvl w:val="4"/>
      </w:numPr>
      <w:outlineLvl w:val="4"/>
    </w:p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7">
    <w:name w:val="caption"/>
    <w:basedOn w:val="1"/>
    <w:next w:val="8"/>
    <w:autoRedefine/>
    <w:unhideWhenUsed/>
    <w:qFormat/>
    <w:uiPriority w:val="35"/>
    <w:pPr>
      <w:keepNext/>
    </w:pPr>
    <w:rPr>
      <w:rFonts w:cs="Times New Roman"/>
      <w:b/>
      <w:bCs/>
      <w:szCs w:val="24"/>
    </w:rPr>
  </w:style>
  <w:style w:type="paragraph" w:styleId="8">
    <w:name w:val="No Spacing"/>
    <w:autoRedefine/>
    <w:unhideWhenUsed/>
    <w:qFormat/>
    <w:uiPriority w:val="99"/>
    <w:rPr>
      <w:rFonts w:ascii="Times New Roman" w:hAnsi="Times New Roman" w:eastAsiaTheme="minorHAnsi" w:cstheme="minorBidi"/>
      <w:sz w:val="24"/>
      <w:szCs w:val="22"/>
      <w:lang w:val="en-US" w:eastAsia="en-US" w:bidi="ar-SA"/>
    </w:rPr>
  </w:style>
  <w:style w:type="paragraph" w:styleId="9">
    <w:name w:val="annotation text"/>
    <w:basedOn w:val="1"/>
    <w:link w:val="36"/>
    <w:autoRedefine/>
    <w:unhideWhenUsed/>
    <w:qFormat/>
    <w:uiPriority w:val="99"/>
    <w:rPr>
      <w:sz w:val="20"/>
      <w:szCs w:val="20"/>
    </w:rPr>
  </w:style>
  <w:style w:type="paragraph" w:styleId="10">
    <w:name w:val="endnote text"/>
    <w:basedOn w:val="1"/>
    <w:link w:val="38"/>
    <w:autoRedefine/>
    <w:semiHidden/>
    <w:unhideWhenUsed/>
    <w:qFormat/>
    <w:uiPriority w:val="99"/>
    <w:pPr>
      <w:spacing w:after="0"/>
    </w:pPr>
    <w:rPr>
      <w:sz w:val="20"/>
      <w:szCs w:val="20"/>
    </w:rPr>
  </w:style>
  <w:style w:type="paragraph" w:styleId="11">
    <w:name w:val="Balloon Text"/>
    <w:basedOn w:val="1"/>
    <w:link w:val="34"/>
    <w:autoRedefine/>
    <w:semiHidden/>
    <w:unhideWhenUsed/>
    <w:qFormat/>
    <w:uiPriority w:val="99"/>
    <w:pPr>
      <w:spacing w:after="0"/>
    </w:pPr>
    <w:rPr>
      <w:rFonts w:ascii="Tahoma" w:hAnsi="Tahoma" w:cs="Tahoma"/>
      <w:sz w:val="16"/>
      <w:szCs w:val="16"/>
    </w:rPr>
  </w:style>
  <w:style w:type="paragraph" w:styleId="12">
    <w:name w:val="footer"/>
    <w:basedOn w:val="1"/>
    <w:link w:val="39"/>
    <w:autoRedefine/>
    <w:unhideWhenUsed/>
    <w:qFormat/>
    <w:uiPriority w:val="99"/>
    <w:pPr>
      <w:tabs>
        <w:tab w:val="center" w:pos="4844"/>
        <w:tab w:val="right" w:pos="9689"/>
      </w:tabs>
      <w:spacing w:after="0"/>
    </w:pPr>
  </w:style>
  <w:style w:type="paragraph" w:styleId="13">
    <w:name w:val="header"/>
    <w:basedOn w:val="1"/>
    <w:link w:val="41"/>
    <w:autoRedefine/>
    <w:unhideWhenUsed/>
    <w:qFormat/>
    <w:uiPriority w:val="99"/>
    <w:pPr>
      <w:tabs>
        <w:tab w:val="center" w:pos="4844"/>
        <w:tab w:val="right" w:pos="9689"/>
      </w:tabs>
    </w:pPr>
    <w:rPr>
      <w:b/>
    </w:rPr>
  </w:style>
  <w:style w:type="paragraph" w:styleId="14">
    <w:name w:val="Subtitle"/>
    <w:basedOn w:val="1"/>
    <w:next w:val="1"/>
    <w:link w:val="32"/>
    <w:autoRedefine/>
    <w:unhideWhenUsed/>
    <w:qFormat/>
    <w:uiPriority w:val="99"/>
    <w:pPr>
      <w:spacing w:before="240"/>
    </w:pPr>
    <w:rPr>
      <w:rFonts w:cs="Times New Roman"/>
      <w:b/>
      <w:szCs w:val="24"/>
    </w:rPr>
  </w:style>
  <w:style w:type="paragraph" w:styleId="15">
    <w:name w:val="footnote text"/>
    <w:basedOn w:val="1"/>
    <w:link w:val="40"/>
    <w:autoRedefine/>
    <w:semiHidden/>
    <w:unhideWhenUsed/>
    <w:qFormat/>
    <w:uiPriority w:val="99"/>
    <w:pPr>
      <w:spacing w:after="0"/>
    </w:pPr>
    <w:rPr>
      <w:sz w:val="20"/>
      <w:szCs w:val="20"/>
    </w:rPr>
  </w:style>
  <w:style w:type="paragraph" w:styleId="16">
    <w:name w:val="Normal (Web)"/>
    <w:basedOn w:val="1"/>
    <w:autoRedefine/>
    <w:unhideWhenUsed/>
    <w:qFormat/>
    <w:uiPriority w:val="99"/>
    <w:pPr>
      <w:spacing w:before="100" w:beforeAutospacing="1" w:after="100" w:afterAutospacing="1"/>
    </w:pPr>
    <w:rPr>
      <w:rFonts w:eastAsia="Times New Roman" w:cs="Times New Roman"/>
      <w:szCs w:val="24"/>
    </w:rPr>
  </w:style>
  <w:style w:type="paragraph" w:styleId="17">
    <w:name w:val="Title"/>
    <w:basedOn w:val="1"/>
    <w:next w:val="1"/>
    <w:link w:val="51"/>
    <w:autoRedefine/>
    <w:qFormat/>
    <w:uiPriority w:val="0"/>
    <w:pPr>
      <w:suppressLineNumbers/>
      <w:spacing w:before="240" w:after="360"/>
      <w:jc w:val="center"/>
    </w:pPr>
    <w:rPr>
      <w:rFonts w:cs="Times New Roman"/>
      <w:b/>
      <w:sz w:val="32"/>
      <w:szCs w:val="32"/>
    </w:rPr>
  </w:style>
  <w:style w:type="paragraph" w:styleId="18">
    <w:name w:val="annotation subject"/>
    <w:basedOn w:val="9"/>
    <w:next w:val="9"/>
    <w:link w:val="37"/>
    <w:autoRedefine/>
    <w:semiHidden/>
    <w:unhideWhenUsed/>
    <w:qFormat/>
    <w:uiPriority w:val="99"/>
    <w:rPr>
      <w:b/>
      <w:bCs/>
    </w:rPr>
  </w:style>
  <w:style w:type="table" w:styleId="20">
    <w:name w:val="Table Grid"/>
    <w:basedOn w:val="19"/>
    <w:autoRedefine/>
    <w:qFormat/>
    <w:uiPriority w:val="59"/>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22"/>
    <w:rPr>
      <w:rFonts w:ascii="Times New Roman" w:hAnsi="Times New Roman"/>
      <w:b/>
      <w:bCs/>
    </w:rPr>
  </w:style>
  <w:style w:type="character" w:styleId="23">
    <w:name w:val="endnote reference"/>
    <w:basedOn w:val="21"/>
    <w:autoRedefine/>
    <w:semiHidden/>
    <w:unhideWhenUsed/>
    <w:qFormat/>
    <w:uiPriority w:val="99"/>
    <w:rPr>
      <w:vertAlign w:val="superscript"/>
    </w:rPr>
  </w:style>
  <w:style w:type="character" w:styleId="24">
    <w:name w:val="FollowedHyperlink"/>
    <w:basedOn w:val="21"/>
    <w:autoRedefine/>
    <w:semiHidden/>
    <w:unhideWhenUsed/>
    <w:qFormat/>
    <w:uiPriority w:val="99"/>
    <w:rPr>
      <w:color w:val="800080" w:themeColor="followedHyperlink"/>
      <w:u w:val="single"/>
      <w14:textFill>
        <w14:solidFill>
          <w14:schemeClr w14:val="folHlink"/>
        </w14:solidFill>
      </w14:textFill>
    </w:rPr>
  </w:style>
  <w:style w:type="character" w:styleId="25">
    <w:name w:val="Emphasis"/>
    <w:basedOn w:val="21"/>
    <w:autoRedefine/>
    <w:qFormat/>
    <w:uiPriority w:val="20"/>
    <w:rPr>
      <w:rFonts w:ascii="Times New Roman" w:hAnsi="Times New Roman"/>
      <w:i/>
      <w:iCs/>
    </w:rPr>
  </w:style>
  <w:style w:type="character" w:styleId="26">
    <w:name w:val="line number"/>
    <w:basedOn w:val="21"/>
    <w:autoRedefine/>
    <w:semiHidden/>
    <w:unhideWhenUsed/>
    <w:qFormat/>
    <w:uiPriority w:val="99"/>
  </w:style>
  <w:style w:type="character" w:styleId="27">
    <w:name w:val="Hyperlink"/>
    <w:basedOn w:val="21"/>
    <w:autoRedefine/>
    <w:unhideWhenUsed/>
    <w:qFormat/>
    <w:uiPriority w:val="99"/>
    <w:rPr>
      <w:color w:val="0000FF"/>
      <w:u w:val="single"/>
    </w:rPr>
  </w:style>
  <w:style w:type="character" w:styleId="28">
    <w:name w:val="annotation reference"/>
    <w:basedOn w:val="21"/>
    <w:autoRedefine/>
    <w:semiHidden/>
    <w:unhideWhenUsed/>
    <w:qFormat/>
    <w:uiPriority w:val="99"/>
    <w:rPr>
      <w:sz w:val="16"/>
      <w:szCs w:val="16"/>
    </w:rPr>
  </w:style>
  <w:style w:type="character" w:styleId="29">
    <w:name w:val="footnote reference"/>
    <w:basedOn w:val="21"/>
    <w:autoRedefine/>
    <w:semiHidden/>
    <w:unhideWhenUsed/>
    <w:qFormat/>
    <w:uiPriority w:val="99"/>
    <w:rPr>
      <w:vertAlign w:val="superscript"/>
    </w:rPr>
  </w:style>
  <w:style w:type="character" w:customStyle="1" w:styleId="30">
    <w:name w:val="Heading 1 Char"/>
    <w:basedOn w:val="21"/>
    <w:link w:val="2"/>
    <w:autoRedefine/>
    <w:qFormat/>
    <w:uiPriority w:val="2"/>
    <w:rPr>
      <w:rFonts w:ascii="Times New Roman" w:hAnsi="Times New Roman" w:eastAsia="Cambria" w:cs="Times New Roman"/>
      <w:b/>
      <w:sz w:val="24"/>
      <w:szCs w:val="24"/>
    </w:rPr>
  </w:style>
  <w:style w:type="character" w:customStyle="1" w:styleId="31">
    <w:name w:val="Heading 2 Char"/>
    <w:basedOn w:val="21"/>
    <w:link w:val="3"/>
    <w:autoRedefine/>
    <w:qFormat/>
    <w:uiPriority w:val="2"/>
    <w:rPr>
      <w:rFonts w:ascii="Times New Roman" w:hAnsi="Times New Roman" w:eastAsia="Cambria" w:cs="Times New Roman"/>
      <w:b/>
      <w:sz w:val="24"/>
      <w:szCs w:val="24"/>
    </w:rPr>
  </w:style>
  <w:style w:type="character" w:customStyle="1" w:styleId="32">
    <w:name w:val="Subtitle Char"/>
    <w:basedOn w:val="21"/>
    <w:link w:val="14"/>
    <w:autoRedefine/>
    <w:qFormat/>
    <w:uiPriority w:val="99"/>
    <w:rPr>
      <w:rFonts w:ascii="Times New Roman" w:hAnsi="Times New Roman" w:cs="Times New Roman"/>
      <w:b/>
      <w:sz w:val="24"/>
      <w:szCs w:val="24"/>
    </w:rPr>
  </w:style>
  <w:style w:type="paragraph" w:customStyle="1" w:styleId="33">
    <w:name w:val="Author List"/>
    <w:basedOn w:val="14"/>
    <w:next w:val="1"/>
    <w:autoRedefine/>
    <w:qFormat/>
    <w:uiPriority w:val="1"/>
  </w:style>
  <w:style w:type="character" w:customStyle="1" w:styleId="34">
    <w:name w:val="Balloon Text Char"/>
    <w:basedOn w:val="21"/>
    <w:link w:val="11"/>
    <w:autoRedefine/>
    <w:semiHidden/>
    <w:qFormat/>
    <w:uiPriority w:val="99"/>
    <w:rPr>
      <w:rFonts w:ascii="Tahoma" w:hAnsi="Tahoma" w:cs="Tahoma"/>
      <w:sz w:val="16"/>
      <w:szCs w:val="16"/>
    </w:rPr>
  </w:style>
  <w:style w:type="character" w:customStyle="1" w:styleId="35">
    <w:name w:val="书籍标题1"/>
    <w:basedOn w:val="21"/>
    <w:autoRedefine/>
    <w:qFormat/>
    <w:uiPriority w:val="33"/>
    <w:rPr>
      <w:rFonts w:ascii="Times New Roman" w:hAnsi="Times New Roman"/>
      <w:b/>
      <w:bCs/>
      <w:i/>
      <w:iCs/>
      <w:spacing w:val="5"/>
    </w:rPr>
  </w:style>
  <w:style w:type="character" w:customStyle="1" w:styleId="36">
    <w:name w:val="Comment Text Char"/>
    <w:basedOn w:val="21"/>
    <w:link w:val="9"/>
    <w:autoRedefine/>
    <w:qFormat/>
    <w:uiPriority w:val="99"/>
    <w:rPr>
      <w:rFonts w:ascii="Times New Roman" w:hAnsi="Times New Roman"/>
      <w:sz w:val="20"/>
      <w:szCs w:val="20"/>
    </w:rPr>
  </w:style>
  <w:style w:type="character" w:customStyle="1" w:styleId="37">
    <w:name w:val="Comment Subject Char"/>
    <w:basedOn w:val="36"/>
    <w:link w:val="18"/>
    <w:autoRedefine/>
    <w:semiHidden/>
    <w:qFormat/>
    <w:uiPriority w:val="99"/>
    <w:rPr>
      <w:rFonts w:ascii="Times New Roman" w:hAnsi="Times New Roman"/>
      <w:b/>
      <w:bCs/>
      <w:sz w:val="20"/>
      <w:szCs w:val="20"/>
    </w:rPr>
  </w:style>
  <w:style w:type="character" w:customStyle="1" w:styleId="38">
    <w:name w:val="Endnote Text Char"/>
    <w:basedOn w:val="21"/>
    <w:link w:val="10"/>
    <w:autoRedefine/>
    <w:semiHidden/>
    <w:qFormat/>
    <w:uiPriority w:val="99"/>
    <w:rPr>
      <w:rFonts w:ascii="Times New Roman" w:hAnsi="Times New Roman"/>
      <w:sz w:val="20"/>
      <w:szCs w:val="20"/>
    </w:rPr>
  </w:style>
  <w:style w:type="character" w:customStyle="1" w:styleId="39">
    <w:name w:val="Footer Char"/>
    <w:basedOn w:val="21"/>
    <w:link w:val="12"/>
    <w:autoRedefine/>
    <w:qFormat/>
    <w:uiPriority w:val="99"/>
    <w:rPr>
      <w:rFonts w:ascii="Times New Roman" w:hAnsi="Times New Roman"/>
      <w:sz w:val="24"/>
    </w:rPr>
  </w:style>
  <w:style w:type="character" w:customStyle="1" w:styleId="40">
    <w:name w:val="Footnote Text Char"/>
    <w:basedOn w:val="21"/>
    <w:link w:val="15"/>
    <w:autoRedefine/>
    <w:semiHidden/>
    <w:qFormat/>
    <w:uiPriority w:val="99"/>
    <w:rPr>
      <w:rFonts w:ascii="Times New Roman" w:hAnsi="Times New Roman"/>
      <w:sz w:val="20"/>
      <w:szCs w:val="20"/>
    </w:rPr>
  </w:style>
  <w:style w:type="character" w:customStyle="1" w:styleId="41">
    <w:name w:val="Header Char"/>
    <w:basedOn w:val="21"/>
    <w:link w:val="13"/>
    <w:autoRedefine/>
    <w:qFormat/>
    <w:uiPriority w:val="99"/>
    <w:rPr>
      <w:rFonts w:ascii="Times New Roman" w:hAnsi="Times New Roman"/>
      <w:b/>
      <w:sz w:val="24"/>
    </w:rPr>
  </w:style>
  <w:style w:type="paragraph" w:styleId="42">
    <w:name w:val="List Paragraph"/>
    <w:basedOn w:val="1"/>
    <w:autoRedefine/>
    <w:qFormat/>
    <w:uiPriority w:val="3"/>
    <w:pPr>
      <w:numPr>
        <w:ilvl w:val="0"/>
        <w:numId w:val="2"/>
      </w:numPr>
      <w:contextualSpacing/>
    </w:pPr>
    <w:rPr>
      <w:rFonts w:eastAsia="Cambria" w:cs="Times New Roman"/>
      <w:szCs w:val="24"/>
    </w:rPr>
  </w:style>
  <w:style w:type="character" w:customStyle="1" w:styleId="43">
    <w:name w:val="明显强调1"/>
    <w:basedOn w:val="21"/>
    <w:autoRedefine/>
    <w:unhideWhenUsed/>
    <w:qFormat/>
    <w:uiPriority w:val="21"/>
    <w:rPr>
      <w:rFonts w:ascii="Times New Roman" w:hAnsi="Times New Roman"/>
      <w:i/>
      <w:iCs/>
      <w:color w:val="auto"/>
    </w:rPr>
  </w:style>
  <w:style w:type="character" w:customStyle="1" w:styleId="44">
    <w:name w:val="明显参考1"/>
    <w:basedOn w:val="21"/>
    <w:autoRedefine/>
    <w:qFormat/>
    <w:uiPriority w:val="32"/>
    <w:rPr>
      <w:b/>
      <w:bCs/>
      <w:smallCaps/>
      <w:color w:val="auto"/>
      <w:spacing w:val="5"/>
    </w:rPr>
  </w:style>
  <w:style w:type="character" w:customStyle="1" w:styleId="45">
    <w:name w:val="Heading 3 Char"/>
    <w:basedOn w:val="21"/>
    <w:link w:val="4"/>
    <w:autoRedefine/>
    <w:qFormat/>
    <w:uiPriority w:val="2"/>
    <w:rPr>
      <w:rFonts w:ascii="Times New Roman" w:hAnsi="Times New Roman" w:eastAsiaTheme="majorEastAsia" w:cstheme="majorBidi"/>
      <w:b/>
      <w:sz w:val="24"/>
      <w:szCs w:val="24"/>
    </w:rPr>
  </w:style>
  <w:style w:type="character" w:customStyle="1" w:styleId="46">
    <w:name w:val="Heading 4 Char"/>
    <w:basedOn w:val="21"/>
    <w:link w:val="5"/>
    <w:autoRedefine/>
    <w:qFormat/>
    <w:uiPriority w:val="2"/>
    <w:rPr>
      <w:rFonts w:ascii="Times New Roman" w:hAnsi="Times New Roman" w:eastAsiaTheme="majorEastAsia" w:cstheme="majorBidi"/>
      <w:b/>
      <w:iCs/>
      <w:sz w:val="24"/>
      <w:szCs w:val="24"/>
    </w:rPr>
  </w:style>
  <w:style w:type="character" w:customStyle="1" w:styleId="47">
    <w:name w:val="Heading 5 Char"/>
    <w:basedOn w:val="21"/>
    <w:link w:val="6"/>
    <w:autoRedefine/>
    <w:qFormat/>
    <w:uiPriority w:val="2"/>
    <w:rPr>
      <w:rFonts w:ascii="Times New Roman" w:hAnsi="Times New Roman" w:eastAsiaTheme="majorEastAsia" w:cstheme="majorBidi"/>
      <w:b/>
      <w:iCs/>
      <w:sz w:val="24"/>
      <w:szCs w:val="24"/>
    </w:rPr>
  </w:style>
  <w:style w:type="paragraph" w:styleId="48">
    <w:name w:val="Quote"/>
    <w:basedOn w:val="1"/>
    <w:next w:val="1"/>
    <w:link w:val="49"/>
    <w:autoRedefine/>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Quote Char"/>
    <w:basedOn w:val="21"/>
    <w:link w:val="48"/>
    <w:autoRedefine/>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不明显强调1"/>
    <w:basedOn w:val="21"/>
    <w:autoRedefine/>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Title Char"/>
    <w:basedOn w:val="21"/>
    <w:link w:val="17"/>
    <w:autoRedefine/>
    <w:qFormat/>
    <w:uiPriority w:val="0"/>
    <w:rPr>
      <w:rFonts w:ascii="Times New Roman" w:hAnsi="Times New Roman" w:cs="Times New Roman"/>
      <w:b/>
      <w:sz w:val="32"/>
      <w:szCs w:val="32"/>
    </w:rPr>
  </w:style>
  <w:style w:type="paragraph" w:customStyle="1" w:styleId="52">
    <w:name w:val="Supplementary Material"/>
    <w:basedOn w:val="17"/>
    <w:next w:val="17"/>
    <w:autoRedefine/>
    <w:qFormat/>
    <w:uiPriority w:val="0"/>
    <w:pPr>
      <w:spacing w:after="120"/>
    </w:pPr>
    <w:rPr>
      <w:i/>
    </w:rPr>
  </w:style>
  <w:style w:type="paragraph" w:customStyle="1" w:styleId="53">
    <w:name w:val="Table Paragraph"/>
    <w:basedOn w:val="1"/>
    <w:autoRedefine/>
    <w:qFormat/>
    <w:uiPriority w:val="1"/>
    <w:pPr>
      <w:spacing w:line="224" w:lineRule="exact"/>
      <w:jc w:val="center"/>
    </w:pPr>
    <w:rPr>
      <w:rFonts w:ascii="Calibri" w:hAnsi="Calibri" w:eastAsia="Calibri" w:cs="Calibri"/>
      <w:lang w:val="zh-TW" w:eastAsia="zh-TW" w:bidi="zh-TW"/>
    </w:rPr>
  </w:style>
  <w:style w:type="character" w:customStyle="1" w:styleId="54">
    <w:name w:val="font11"/>
    <w:basedOn w:val="21"/>
    <w:autoRedefine/>
    <w:qFormat/>
    <w:uiPriority w:val="0"/>
    <w:rPr>
      <w:rFonts w:hint="default" w:ascii="Times New Roman" w:hAnsi="Times New Roman" w:cs="Times New Roman"/>
      <w:color w:val="000000"/>
      <w:sz w:val="22"/>
      <w:szCs w:val="22"/>
      <w:u w:val="none"/>
    </w:rPr>
  </w:style>
  <w:style w:type="character" w:customStyle="1" w:styleId="55">
    <w:name w:val="font21"/>
    <w:basedOn w:val="21"/>
    <w:autoRedefine/>
    <w:qFormat/>
    <w:uiPriority w:val="0"/>
    <w:rPr>
      <w:rFonts w:hint="default" w:ascii="Times New Roman" w:hAnsi="Times New Roman" w:cs="Times New Roman"/>
      <w:b/>
      <w:bCs/>
      <w:color w:val="000000"/>
      <w:sz w:val="22"/>
      <w:szCs w:val="22"/>
      <w:u w:val="none"/>
    </w:rPr>
  </w:style>
  <w:style w:type="character" w:customStyle="1" w:styleId="56">
    <w:name w:val="font31"/>
    <w:basedOn w:val="21"/>
    <w:autoRedefine/>
    <w:qFormat/>
    <w:uiPriority w:val="0"/>
    <w:rPr>
      <w:rFonts w:hint="default" w:ascii="Times New Roman" w:hAnsi="Times New Roman" w:cs="Times New Roman"/>
      <w:b/>
      <w:bCs/>
      <w:color w:val="000000"/>
      <w:sz w:val="22"/>
      <w:szCs w:val="22"/>
      <w:u w:val="none"/>
    </w:rPr>
  </w:style>
  <w:style w:type="paragraph" w:customStyle="1" w:styleId="57">
    <w:name w:val="EndNote Bibliography"/>
    <w:basedOn w:val="1"/>
    <w:autoRedefine/>
    <w:semiHidden/>
    <w:qFormat/>
    <w:uiPriority w:val="99"/>
    <w:pPr>
      <w:spacing w:after="200"/>
    </w:pPr>
    <w:rPr>
      <w:rFonts w:eastAsia="MS Mincho"/>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tiff"/><Relationship Id="rId11" Type="http://schemas.openxmlformats.org/officeDocument/2006/relationships/image" Target="media/image2.tiff"/><Relationship Id="rId10" Type="http://schemas.openxmlformats.org/officeDocument/2006/relationships/image" Target="media/image1.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A95B22-B4E8-4C8E-ABCB-1E2B9143F8CF}">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17</Pages>
  <Words>2914</Words>
  <Characters>16611</Characters>
  <Lines>138</Lines>
  <Paragraphs>38</Paragraphs>
  <TotalTime>9</TotalTime>
  <ScaleCrop>false</ScaleCrop>
  <LinksUpToDate>false</LinksUpToDate>
  <CharactersWithSpaces>19487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2024-06-20T03:17:00Z</dcterms:created>
  <dc:creator>Frontiers Media SA</dc:creator>
  <cp:lastModifiedBy>小宋</cp:lastModifiedBy>
  <cp:lastPrinted>2013-10-03T12:51:00Z</cp:lastPrinted>
  <dcterms:modified xsi:type="dcterms:W3CDTF">2024-06-20T11:51:09Z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6FB760FCF739442E91671E117DB57123_13</vt:lpwstr>
  </property>
  <property fmtid="{D5CDD505-2E9C-101B-9397-08002B2CF9AE}" pid="4" name="GrammarlyDocumentId">
    <vt:lpwstr>02d843c9df41a7ce2926f0a98f74c61423647a8d9905e8028620f7380d18770a</vt:lpwstr>
  </property>
  <property fmtid="{D5CDD505-2E9C-101B-9397-08002B2CF9AE}" pid="5" name="ClassificationContentMarkingFooterShapeIds">
    <vt:lpwstr>64184164,1fb7f634,2a1fcbe0</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2024-06-20T03:17:29Z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6faf6971-ed7c-48a2-980f-43d64e746160</vt:lpwstr>
  </property>
  <property fmtid="{D5CDD505-2E9C-101B-9397-08002B2CF9AE}" pid="14" name="MSIP_Label_2bbab825-a111-45e4-86a1-18cee0005896_ContentBits">
    <vt:lpwstr>2</vt:lpwstr>
  </property>
</Properties>
</file>