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32D2C" w14:textId="77777777" w:rsidR="00341F58" w:rsidRPr="001D1239" w:rsidRDefault="00341F58" w:rsidP="00341F58">
      <w:pPr>
        <w:spacing w:line="480" w:lineRule="auto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1D1239">
        <w:rPr>
          <w:rStyle w:val="15"/>
          <w:rFonts w:ascii="Times New Roman" w:hAnsi="Times New Roman"/>
        </w:rPr>
        <w:t>Supplementary Data</w:t>
      </w:r>
    </w:p>
    <w:p w14:paraId="7C38D4EF" w14:textId="77777777" w:rsidR="00341F58" w:rsidRPr="001D1239" w:rsidRDefault="00341F58" w:rsidP="00341F58">
      <w:pPr>
        <w:spacing w:line="480" w:lineRule="auto"/>
        <w:jc w:val="left"/>
        <w:rPr>
          <w:rFonts w:ascii="Times New Roman" w:hAnsi="Times New Roman"/>
          <w:b/>
          <w:bCs/>
          <w:color w:val="000000"/>
          <w:sz w:val="24"/>
        </w:rPr>
      </w:pPr>
    </w:p>
    <w:p w14:paraId="2B4DE104" w14:textId="77777777" w:rsidR="00341F58" w:rsidRPr="001D1239" w:rsidRDefault="00341F58" w:rsidP="00341F58">
      <w:pPr>
        <w:spacing w:line="480" w:lineRule="auto"/>
        <w:jc w:val="left"/>
        <w:rPr>
          <w:rFonts w:ascii="Times New Roman" w:hAnsi="Times New Roman"/>
          <w:b/>
          <w:bCs/>
          <w:color w:val="000000"/>
          <w:sz w:val="24"/>
        </w:rPr>
      </w:pPr>
      <w:r w:rsidRPr="001D1239">
        <w:rPr>
          <w:rFonts w:ascii="Times New Roman" w:hAnsi="Times New Roman"/>
          <w:b/>
          <w:bCs/>
          <w:color w:val="000000"/>
          <w:sz w:val="24"/>
        </w:rPr>
        <w:t>Puerarin-loaded liposomes Co-Modified by ischemic myocardium-targeting peptide and Triphenylphosphonium</w:t>
      </w:r>
      <w:r w:rsidRPr="001D1239">
        <w:rPr>
          <w:rFonts w:ascii="MyriadPro-Regular" w:hAnsi="MyriadPro-Regular"/>
          <w:color w:val="000000"/>
          <w:sz w:val="48"/>
          <w:szCs w:val="48"/>
        </w:rPr>
        <w:t xml:space="preserve"> </w:t>
      </w:r>
      <w:r w:rsidRPr="001D1239">
        <w:rPr>
          <w:rFonts w:ascii="Times New Roman" w:hAnsi="Times New Roman"/>
          <w:b/>
          <w:bCs/>
          <w:color w:val="000000"/>
          <w:sz w:val="24"/>
        </w:rPr>
        <w:t>cations ameliorate myocardial ischemia-reperfusion injury</w:t>
      </w:r>
    </w:p>
    <w:p w14:paraId="65BE2A98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/>
          <w:bCs/>
          <w:color w:val="000000"/>
          <w:kern w:val="0"/>
          <w:sz w:val="24"/>
        </w:rPr>
      </w:pPr>
    </w:p>
    <w:p w14:paraId="4B7508BF" w14:textId="3104BD12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rPr>
          <w:rFonts w:ascii="SimSun" w:hAnsi="SimSun"/>
          <w:bCs/>
          <w:color w:val="000000"/>
          <w:kern w:val="0"/>
          <w:sz w:val="24"/>
        </w:rPr>
      </w:pPr>
      <w:r w:rsidRPr="001D1239">
        <w:rPr>
          <w:rFonts w:ascii="Times New Roman" w:hAnsi="Times New Roman"/>
          <w:bCs/>
          <w:color w:val="000000"/>
          <w:kern w:val="0"/>
          <w:sz w:val="24"/>
        </w:rPr>
        <w:t>Yan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 W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 xml:space="preserve">ang 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  <w:r w:rsidRPr="001D1239">
        <w:rPr>
          <w:rFonts w:ascii="AdvOT01861455.I+20" w:hAnsi="AdvOT01861455.I+20"/>
          <w:color w:val="000000"/>
          <w:sz w:val="12"/>
          <w:szCs w:val="12"/>
        </w:rPr>
        <w:t xml:space="preserve"> 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#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 xml:space="preserve"> </w:t>
      </w:r>
      <w:bookmarkStart w:id="0" w:name="_Hlk109649964"/>
      <w:r w:rsidRPr="001D1239">
        <w:rPr>
          <w:rFonts w:ascii="Times New Roman" w:hAnsi="Times New Roman"/>
          <w:bCs/>
          <w:color w:val="000000"/>
          <w:kern w:val="0"/>
          <w:sz w:val="24"/>
        </w:rPr>
        <w:t xml:space="preserve"> Fengmei Li 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 #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 xml:space="preserve">, Shanshan Wei </w:t>
      </w:r>
      <w:bookmarkEnd w:id="0"/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 #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 xml:space="preserve"> 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Wenqun Li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, 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>Junyong Wu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>,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 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 xml:space="preserve"> Shengnan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 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>Li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,  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>Xiongbin Hu</w:t>
      </w:r>
      <w:bookmarkStart w:id="1" w:name="_Hlk105772432"/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,</w:t>
      </w:r>
      <w:bookmarkEnd w:id="1"/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    </w:t>
      </w:r>
      <w:r w:rsidRPr="001D1239">
        <w:rPr>
          <w:rFonts w:ascii="Times New Roman" w:hAnsi="Times New Roman"/>
          <w:bCs/>
          <w:color w:val="000000"/>
          <w:kern w:val="0"/>
          <w:sz w:val="24"/>
        </w:rPr>
        <w:t>Tiantian Tang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 xml:space="preserve"> 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,   Xinyi Liu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1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>,</w:t>
      </w: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</w:p>
    <w:p w14:paraId="63DD6711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ind w:firstLineChars="100" w:firstLine="240"/>
        <w:rPr>
          <w:rFonts w:ascii="SimSun" w:hAnsi="SimSun"/>
          <w:bCs/>
          <w:color w:val="000000"/>
          <w:kern w:val="0"/>
          <w:sz w:val="24"/>
        </w:rPr>
      </w:pPr>
      <w:r w:rsidRPr="001D1239">
        <w:rPr>
          <w:rFonts w:ascii="SimSun" w:hAnsi="SimSun" w:hint="eastAsia"/>
          <w:bCs/>
          <w:color w:val="000000"/>
          <w:kern w:val="0"/>
          <w:sz w:val="24"/>
        </w:rPr>
        <w:t xml:space="preserve"> </w:t>
      </w:r>
    </w:p>
    <w:p w14:paraId="3FC7F5A8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ind w:left="120" w:hangingChars="50" w:hanging="120"/>
        <w:rPr>
          <w:rFonts w:ascii="SimSun" w:hAnsi="SimSun"/>
          <w:bCs/>
          <w:color w:val="000000"/>
          <w:kern w:val="0"/>
          <w:sz w:val="24"/>
        </w:rPr>
      </w:pP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 xml:space="preserve">1 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Department of Pharmacy,</w:t>
      </w:r>
      <w:bookmarkStart w:id="2" w:name="_Hlk109652070"/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 The Second Xiangya Hospital, Central South University</w:t>
      </w:r>
      <w:bookmarkEnd w:id="2"/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, Changsha, China;</w:t>
      </w:r>
    </w:p>
    <w:p w14:paraId="7527F8E2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rPr>
          <w:rFonts w:ascii="SimSun" w:hAnsi="SimSun"/>
          <w:bCs/>
          <w:color w:val="000000"/>
          <w:kern w:val="0"/>
          <w:sz w:val="24"/>
        </w:rPr>
      </w:pP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2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  <w:vertAlign w:val="superscript"/>
        </w:rPr>
        <w:t xml:space="preserve"> 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>Institution of Clinical Pharmacy, Central South University, Changsha, China;</w:t>
      </w:r>
    </w:p>
    <w:p w14:paraId="1983E18D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ind w:firstLineChars="100" w:firstLine="240"/>
        <w:rPr>
          <w:rFonts w:ascii="Times New Roman" w:hAnsi="Times New Roman"/>
          <w:bCs/>
          <w:color w:val="000000"/>
          <w:kern w:val="0"/>
          <w:sz w:val="24"/>
        </w:rPr>
      </w:pPr>
    </w:p>
    <w:p w14:paraId="7370A3FA" w14:textId="77777777" w:rsidR="00341F58" w:rsidRPr="001D1239" w:rsidRDefault="00341F58" w:rsidP="00341F58">
      <w:pPr>
        <w:widowControl/>
        <w:shd w:val="clear" w:color="auto" w:fill="FFFFFF"/>
        <w:snapToGrid w:val="0"/>
        <w:spacing w:line="48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  <w:r w:rsidRPr="001D1239">
        <w:rPr>
          <w:rFonts w:ascii="Times New Roman" w:hAnsi="Times New Roman"/>
          <w:b/>
          <w:bCs/>
          <w:color w:val="000000"/>
          <w:kern w:val="0"/>
          <w:sz w:val="24"/>
        </w:rPr>
        <w:t xml:space="preserve"> </w:t>
      </w:r>
    </w:p>
    <w:p w14:paraId="434FB225" w14:textId="77777777" w:rsidR="00341F58" w:rsidRPr="001D1239" w:rsidRDefault="00341F58" w:rsidP="00341F58">
      <w:pPr>
        <w:spacing w:line="480" w:lineRule="auto"/>
        <w:jc w:val="left"/>
        <w:rPr>
          <w:rFonts w:ascii="Gill Sans MT" w:hAnsi="Gill Sans MT"/>
          <w:color w:val="000000"/>
          <w:sz w:val="24"/>
        </w:rPr>
      </w:pPr>
      <w:r w:rsidRPr="001D1239">
        <w:rPr>
          <w:rFonts w:ascii="Gill Sans MT" w:hAnsi="Gill Sans MT"/>
          <w:color w:val="000000"/>
          <w:sz w:val="24"/>
        </w:rPr>
        <w:t xml:space="preserve"> </w:t>
      </w:r>
    </w:p>
    <w:p w14:paraId="637206E3" w14:textId="77777777" w:rsidR="00341F58" w:rsidRPr="001D1239" w:rsidRDefault="00341F58" w:rsidP="00341F58">
      <w:pPr>
        <w:widowControl/>
        <w:shd w:val="clear" w:color="auto" w:fill="FFFFFF"/>
        <w:snapToGrid w:val="0"/>
        <w:spacing w:line="480" w:lineRule="auto"/>
        <w:rPr>
          <w:rFonts w:ascii="SimSun" w:hAnsi="SimSun"/>
          <w:color w:val="000000"/>
          <w:sz w:val="24"/>
        </w:rPr>
      </w:pPr>
      <w:r w:rsidRPr="001D1239">
        <w:rPr>
          <w:rFonts w:ascii="Times New Roman" w:hAnsi="Times New Roman" w:hint="eastAsia"/>
          <w:color w:val="000000"/>
          <w:kern w:val="0"/>
          <w:sz w:val="24"/>
        </w:rPr>
        <w:t>Correspondence: Xinyi liu</w:t>
      </w:r>
      <w:r w:rsidRPr="001D1239">
        <w:rPr>
          <w:rFonts w:ascii="Times New Roman" w:hAnsi="Times New Roman" w:hint="eastAsia"/>
          <w:bCs/>
          <w:color w:val="000000"/>
          <w:kern w:val="0"/>
          <w:sz w:val="24"/>
        </w:rPr>
        <w:t xml:space="preserve">, Department of Pharmacy, The Second Xiangya Hospital, Central South University, Changsha, China, </w:t>
      </w:r>
      <w:r w:rsidRPr="001D1239">
        <w:rPr>
          <w:rFonts w:ascii="Times New Roman" w:hAnsi="Times New Roman"/>
          <w:color w:val="000000"/>
          <w:sz w:val="24"/>
        </w:rPr>
        <w:t>+86-</w:t>
      </w:r>
      <w:r w:rsidRPr="001D1239">
        <w:rPr>
          <w:rFonts w:ascii="Times New Roman" w:hAnsi="Times New Roman" w:hint="eastAsia"/>
          <w:color w:val="000000"/>
          <w:sz w:val="24"/>
        </w:rPr>
        <w:t>731</w:t>
      </w:r>
      <w:r w:rsidRPr="001D1239">
        <w:rPr>
          <w:rFonts w:ascii="Times New Roman" w:hAnsi="Times New Roman"/>
          <w:bCs/>
          <w:color w:val="000000"/>
          <w:sz w:val="24"/>
        </w:rPr>
        <w:t>-</w:t>
      </w:r>
      <w:r w:rsidRPr="001D1239">
        <w:rPr>
          <w:rFonts w:ascii="Times New Roman" w:hAnsi="Times New Roman" w:hint="eastAsia"/>
          <w:bCs/>
          <w:color w:val="000000"/>
          <w:sz w:val="24"/>
        </w:rPr>
        <w:t>8529</w:t>
      </w:r>
      <w:r w:rsidRPr="001D1239">
        <w:rPr>
          <w:rFonts w:ascii="Times New Roman" w:hAnsi="Times New Roman"/>
          <w:bCs/>
          <w:color w:val="000000"/>
          <w:sz w:val="24"/>
        </w:rPr>
        <w:t>-</w:t>
      </w:r>
      <w:r w:rsidRPr="001D1239">
        <w:rPr>
          <w:rFonts w:ascii="Times New Roman" w:hAnsi="Times New Roman" w:hint="eastAsia"/>
          <w:bCs/>
          <w:color w:val="000000"/>
          <w:sz w:val="24"/>
        </w:rPr>
        <w:t>209</w:t>
      </w:r>
      <w:r w:rsidRPr="001D1239">
        <w:rPr>
          <w:rFonts w:ascii="Times New Roman" w:hAnsi="Times New Roman"/>
          <w:bCs/>
          <w:color w:val="000000"/>
          <w:sz w:val="24"/>
        </w:rPr>
        <w:t>5</w:t>
      </w:r>
    </w:p>
    <w:p w14:paraId="287F1D50" w14:textId="77777777" w:rsidR="00341F58" w:rsidRPr="001D1239" w:rsidRDefault="00341F58" w:rsidP="00341F58">
      <w:pPr>
        <w:snapToGrid w:val="0"/>
        <w:spacing w:before="100" w:beforeAutospacing="1" w:after="100" w:afterAutospacing="1" w:line="480" w:lineRule="auto"/>
        <w:ind w:left="960" w:rightChars="237" w:right="498" w:hangingChars="400" w:hanging="960"/>
        <w:rPr>
          <w:rFonts w:ascii="SimSun" w:hAnsi="SimSun"/>
          <w:color w:val="000000"/>
          <w:kern w:val="0"/>
          <w:sz w:val="24"/>
        </w:rPr>
      </w:pPr>
      <w:r w:rsidRPr="001D1239">
        <w:rPr>
          <w:rFonts w:ascii="Times New Roman" w:hAnsi="Times New Roman"/>
          <w:bCs/>
          <w:color w:val="000000"/>
          <w:sz w:val="24"/>
        </w:rPr>
        <w:t>E-mail address:</w:t>
      </w:r>
      <w:r w:rsidRPr="001D1239">
        <w:rPr>
          <w:rFonts w:ascii="Times New Roman" w:hAnsi="Times New Roman"/>
          <w:color w:val="000000"/>
          <w:sz w:val="24"/>
        </w:rPr>
        <w:t xml:space="preserve"> </w:t>
      </w:r>
      <w:r w:rsidRPr="001D1239">
        <w:rPr>
          <w:rFonts w:ascii="Times New Roman" w:hAnsi="Times New Roman" w:hint="eastAsia"/>
          <w:color w:val="000000"/>
          <w:sz w:val="24"/>
        </w:rPr>
        <w:t>liuxinyi128@csu.edu.cn</w:t>
      </w:r>
    </w:p>
    <w:p w14:paraId="2F9460A7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  <w:r w:rsidRPr="001D1239">
        <w:rPr>
          <w:rFonts w:ascii="Times New Roman" w:hAnsi="Times New Roman"/>
          <w:b/>
          <w:bCs/>
          <w:color w:val="000000"/>
          <w:kern w:val="0"/>
          <w:sz w:val="24"/>
        </w:rPr>
        <w:t xml:space="preserve"> </w:t>
      </w:r>
    </w:p>
    <w:p w14:paraId="6A4CB14B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</w:p>
    <w:p w14:paraId="1B3A8727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</w:p>
    <w:p w14:paraId="2F5FB524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b/>
          <w:bCs/>
          <w:color w:val="000000"/>
          <w:kern w:val="0"/>
          <w:sz w:val="24"/>
        </w:rPr>
      </w:pPr>
    </w:p>
    <w:p w14:paraId="05B4F4FB" w14:textId="77777777" w:rsidR="00341F58" w:rsidRPr="001D1239" w:rsidRDefault="00341F58" w:rsidP="00341F5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/>
          <w:color w:val="000000"/>
          <w:kern w:val="0"/>
          <w:sz w:val="24"/>
        </w:rPr>
      </w:pPr>
      <w:r w:rsidRPr="001D1239">
        <w:rPr>
          <w:rFonts w:ascii="Times New Roman" w:hAnsi="Times New Roman"/>
          <w:bCs/>
          <w:color w:val="000000"/>
          <w:kern w:val="0"/>
          <w:sz w:val="24"/>
          <w:vertAlign w:val="superscript"/>
        </w:rPr>
        <w:t>#</w:t>
      </w:r>
      <w:r w:rsidRPr="001D1239">
        <w:rPr>
          <w:rFonts w:ascii="Times New Roman" w:hAnsi="Times New Roman"/>
          <w:color w:val="000000"/>
          <w:kern w:val="0"/>
          <w:sz w:val="24"/>
        </w:rPr>
        <w:t>These authors contributed equally to this work</w:t>
      </w:r>
    </w:p>
    <w:p w14:paraId="0A26FEEE" w14:textId="77777777" w:rsidR="00BC3605" w:rsidRPr="001D1239" w:rsidRDefault="00BC3605" w:rsidP="00341F58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AdvOT3b30f6db.B" w:hAnsi="Times New Roman"/>
          <w:b/>
          <w:bCs/>
          <w:color w:val="000000"/>
          <w:sz w:val="24"/>
        </w:rPr>
      </w:pPr>
    </w:p>
    <w:p w14:paraId="5E428260" w14:textId="3118ECAE" w:rsidR="00C85AFD" w:rsidRPr="001D1239" w:rsidRDefault="00C85AFD" w:rsidP="00EC4AB0">
      <w:pPr>
        <w:spacing w:line="360" w:lineRule="auto"/>
        <w:rPr>
          <w:rFonts w:ascii="Times New Roman" w:eastAsia="AdvOT3b30f6db.B" w:hAnsi="Times New Roman"/>
          <w:b/>
          <w:bCs/>
          <w:color w:val="000000"/>
          <w:sz w:val="24"/>
        </w:rPr>
      </w:pPr>
      <w:r w:rsidRPr="001D1239">
        <w:rPr>
          <w:rFonts w:ascii="Times New Roman" w:eastAsia="AdvOT3b30f6db.B" w:hAnsi="Times New Roman"/>
          <w:b/>
          <w:bCs/>
          <w:color w:val="000000"/>
          <w:sz w:val="24"/>
        </w:rPr>
        <w:lastRenderedPageBreak/>
        <w:t>S</w:t>
      </w:r>
      <w:r w:rsidR="00A6241D" w:rsidRPr="001D1239">
        <w:rPr>
          <w:rFonts w:ascii="Times New Roman" w:eastAsia="AdvOT3b30f6db.B" w:hAnsi="Times New Roman"/>
          <w:b/>
          <w:bCs/>
          <w:color w:val="000000"/>
          <w:sz w:val="24"/>
        </w:rPr>
        <w:t xml:space="preserve">upplementary </w:t>
      </w:r>
      <w:r w:rsidR="00A6241D" w:rsidRPr="001D1239">
        <w:rPr>
          <w:rFonts w:ascii="Times New Roman" w:eastAsia="AdvOT3b30f6db.B" w:hAnsi="Times New Roman" w:hint="eastAsia"/>
          <w:b/>
          <w:bCs/>
          <w:color w:val="000000"/>
          <w:sz w:val="24"/>
        </w:rPr>
        <w:t>Methods</w:t>
      </w:r>
      <w:r w:rsidRPr="001D1239">
        <w:rPr>
          <w:rFonts w:ascii="Times New Roman" w:eastAsia="AdvOT3b30f6db.B" w:hAnsi="Times New Roman"/>
          <w:b/>
          <w:bCs/>
          <w:color w:val="000000"/>
          <w:sz w:val="24"/>
        </w:rPr>
        <w:t xml:space="preserve"> </w:t>
      </w:r>
    </w:p>
    <w:p w14:paraId="150E975A" w14:textId="38908061" w:rsidR="00341F58" w:rsidRPr="001D1239" w:rsidRDefault="00341F58" w:rsidP="00EC4AB0">
      <w:pPr>
        <w:spacing w:line="360" w:lineRule="auto"/>
        <w:rPr>
          <w:rFonts w:ascii="Times New Roman" w:eastAsia="AdvOT3b30f6db.B" w:hAnsi="Times New Roman"/>
          <w:b/>
          <w:bCs/>
          <w:color w:val="000000"/>
          <w:sz w:val="24"/>
        </w:rPr>
      </w:pPr>
      <w:r w:rsidRPr="001D1239">
        <w:rPr>
          <w:rFonts w:ascii="Times New Roman" w:eastAsia="AdvOT3b30f6db.B" w:hAnsi="Times New Roman"/>
          <w:b/>
          <w:bCs/>
          <w:color w:val="000000"/>
          <w:sz w:val="24"/>
        </w:rPr>
        <w:t>Synthesis and characterization of functional conjugates</w:t>
      </w:r>
    </w:p>
    <w:p w14:paraId="6BD11595" w14:textId="77777777" w:rsidR="00341F58" w:rsidRPr="001D1239" w:rsidRDefault="00341F58" w:rsidP="00EC4AB0">
      <w:pPr>
        <w:spacing w:line="360" w:lineRule="auto"/>
        <w:ind w:firstLineChars="100" w:firstLine="241"/>
        <w:rPr>
          <w:rFonts w:ascii="Times New Roman" w:eastAsia="DengXian" w:hAnsi="Times New Roman"/>
          <w:color w:val="000000"/>
          <w:sz w:val="24"/>
        </w:rPr>
      </w:pPr>
      <w:r w:rsidRPr="001D1239">
        <w:rPr>
          <w:rFonts w:ascii="Times New Roman" w:eastAsia="AdvOT3b30f6db.B" w:hAnsi="Times New Roman"/>
          <w:b/>
          <w:bCs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The synthesis 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process 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of IMTP-PEG-PE (IMTP links with DSPE-PEG-NHS to form IMTP-PEG-PE polymer, 1,2-distearoyl-sn-glycero-3-phosphoethanolamine is abbreviated as PE) was </w:t>
      </w:r>
      <w:r w:rsidR="00770768" w:rsidRPr="001D1239">
        <w:rPr>
          <w:rFonts w:ascii="Times New Roman" w:eastAsia="DengXian" w:hAnsi="Times New Roman"/>
          <w:color w:val="000000"/>
          <w:sz w:val="24"/>
        </w:rPr>
        <w:t>briefly described as follows</w:t>
      </w:r>
      <w:r w:rsidR="00770768" w:rsidRPr="001D1239">
        <w:rPr>
          <w:rFonts w:ascii="Times New Roman" w:eastAsia="DengXian" w:hAnsi="Times New Roman" w:hint="eastAsia"/>
          <w:color w:val="000000"/>
          <w:sz w:val="24"/>
        </w:rPr>
        <w:t xml:space="preserve">. </w:t>
      </w:r>
      <w:r w:rsidRPr="001D1239">
        <w:rPr>
          <w:rFonts w:ascii="Times New Roman" w:eastAsia="DengXian" w:hAnsi="Times New Roman" w:hint="eastAsia"/>
          <w:color w:val="000000"/>
          <w:sz w:val="24"/>
        </w:rPr>
        <w:t>5 m</w:t>
      </w:r>
      <w:r w:rsidRPr="001D1239">
        <w:rPr>
          <w:rFonts w:ascii="Times New Roman" w:eastAsia="DengXian" w:hAnsi="Times New Roman"/>
          <w:color w:val="000000"/>
          <w:sz w:val="24"/>
        </w:rPr>
        <w:t>l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of anhydrous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 w:hint="eastAsia"/>
          <w:color w:val="000000"/>
          <w:sz w:val="24"/>
        </w:rPr>
        <w:t>N,N-dimethylformamide (DMF) was used to dissolve 100 mg of DSPE-PEG-NHS and 35 mg of IMTP, followed by the addition of 50 µl of TEA.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The N-hydroxysuccinimide of DSPE-PEG-NHS was reacted with the amino group in IMTP overnight in a light-proof environment to form the amide-linked IMTP-PEG-PE. The resulting product was dialyzed with a dialysis bag (MW.Cutoff: 2kDa) to remove the by-products and then freeze-dried to obtain the crude product of IMTP-PEG-PE polymer. </w:t>
      </w:r>
      <w:r w:rsidRPr="001D1239">
        <w:rPr>
          <w:rFonts w:ascii="Times New Roman" w:eastAsia="DengXian" w:hAnsi="Times New Roman" w:hint="eastAsia"/>
          <w:color w:val="000000"/>
          <w:sz w:val="24"/>
        </w:rPr>
        <w:t>The IMTP-PEG-PE was then further purified by preparative chromatography with a binary gradient elution of 40% to 100% acetonitrile as the oil phase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 w:hint="eastAsia"/>
          <w:color w:val="000000"/>
          <w:sz w:val="24"/>
        </w:rPr>
        <w:t>and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 w:hint="eastAsia"/>
          <w:color w:val="000000"/>
          <w:sz w:val="24"/>
        </w:rPr>
        <w:t>0.1% trifluoroacetic acid (TFA) as the aqueous phase.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 w:hint="eastAsia"/>
          <w:color w:val="000000"/>
          <w:sz w:val="24"/>
        </w:rPr>
        <w:t>T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he structure of the purified IMTP-PEG-PE polymer was confirmed by </w:t>
      </w:r>
      <w:r w:rsidRPr="001D1239">
        <w:rPr>
          <w:rFonts w:ascii="Times New Roman" w:eastAsia="DengXian" w:hAnsi="Times New Roman"/>
          <w:color w:val="000000"/>
          <w:sz w:val="24"/>
          <w:vertAlign w:val="superscript"/>
        </w:rPr>
        <w:t>1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H NMR and MALDI-TOF mass spectrometry (MALDI-TOF MS). </w:t>
      </w:r>
    </w:p>
    <w:p w14:paraId="4F35F6AE" w14:textId="77777777" w:rsidR="00341F58" w:rsidRPr="001D1239" w:rsidRDefault="00341F58" w:rsidP="00EC4AB0">
      <w:pPr>
        <w:spacing w:line="360" w:lineRule="auto"/>
        <w:ind w:firstLineChars="100" w:firstLine="240"/>
        <w:rPr>
          <w:rFonts w:ascii="Times New Roman" w:eastAsia="DengXian" w:hAnsi="Times New Roman"/>
          <w:color w:val="000000"/>
          <w:sz w:val="24"/>
        </w:rPr>
      </w:pPr>
      <w:r w:rsidRPr="001D1239">
        <w:rPr>
          <w:rFonts w:ascii="Times New Roman" w:eastAsia="DengXian" w:hAnsi="Times New Roman"/>
          <w:color w:val="000000"/>
          <w:sz w:val="24"/>
        </w:rPr>
        <w:t>Briefly,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EDC (1.4 eq) and NHS (1.4 eq) were first added to CTPP (1.2 eq) and the mixture was stirred for 4 h to activate the carboxyl group.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Then DSPE-PEG-NH</w:t>
      </w:r>
      <w:r w:rsidRPr="001D1239">
        <w:rPr>
          <w:rFonts w:ascii="Times New Roman" w:eastAsia="DengXian" w:hAnsi="Times New Roman"/>
          <w:color w:val="000000"/>
          <w:sz w:val="24"/>
          <w:vertAlign w:val="subscript"/>
        </w:rPr>
        <w:t>2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(1</w:t>
      </w:r>
      <w:r w:rsidRPr="001D1239">
        <w:rPr>
          <w:rFonts w:ascii="Times New Roman" w:eastAsia="DengXian" w:hAnsi="Times New Roman"/>
          <w:color w:val="000000"/>
          <w:sz w:val="24"/>
        </w:rPr>
        <w:t>.0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eq) </w:t>
      </w:r>
      <w:r w:rsidRPr="001D1239">
        <w:rPr>
          <w:rFonts w:ascii="Times New Roman" w:eastAsia="DengXian" w:hAnsi="Times New Roman"/>
          <w:color w:val="000000"/>
          <w:sz w:val="24"/>
        </w:rPr>
        <w:t>was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added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to 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the above mixed solution and reacted in the dark. 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The mixture was gently stirred overnight at room temperature under argon protection, and then dialyzed against water for 24 h. Finally, the solution in the dialysis bag was freeze-dried to obtain TPP-PEG-PE powder, and the chemical structure of TPP-PEG-PE polymer was identified by </w:t>
      </w:r>
      <w:r w:rsidRPr="001D1239">
        <w:rPr>
          <w:rFonts w:ascii="Times New Roman" w:eastAsia="DengXian" w:hAnsi="Times New Roman" w:hint="eastAsia"/>
          <w:color w:val="000000"/>
          <w:sz w:val="24"/>
          <w:vertAlign w:val="superscript"/>
        </w:rPr>
        <w:t>1</w:t>
      </w:r>
      <w:r w:rsidRPr="001D1239">
        <w:rPr>
          <w:rFonts w:ascii="Times New Roman" w:eastAsia="DengXian" w:hAnsi="Times New Roman" w:hint="eastAsia"/>
          <w:color w:val="000000"/>
          <w:sz w:val="24"/>
        </w:rPr>
        <w:t>H NMR analysis.</w:t>
      </w:r>
    </w:p>
    <w:p w14:paraId="18EB240B" w14:textId="77777777" w:rsidR="00C85AFD" w:rsidRPr="001D1239" w:rsidRDefault="00C85AFD" w:rsidP="00C85AFD">
      <w:pPr>
        <w:spacing w:line="360" w:lineRule="auto"/>
        <w:rPr>
          <w:rFonts w:ascii="Times New Roman" w:eastAsia="AdvOT3b30f6db.B" w:hAnsi="Times New Roman"/>
          <w:b/>
          <w:bCs/>
          <w:color w:val="000000"/>
          <w:sz w:val="24"/>
        </w:rPr>
      </w:pPr>
    </w:p>
    <w:p w14:paraId="64454D4C" w14:textId="6DE976C0" w:rsidR="0047504C" w:rsidRPr="001D1239" w:rsidRDefault="0047504C" w:rsidP="00EC4AB0">
      <w:pPr>
        <w:spacing w:line="360" w:lineRule="auto"/>
        <w:rPr>
          <w:rFonts w:ascii="Times New Roman" w:eastAsiaTheme="minorEastAsia" w:hAnsi="Times New Roman"/>
          <w:b/>
          <w:bCs/>
          <w:color w:val="000000"/>
          <w:sz w:val="24"/>
        </w:rPr>
      </w:pPr>
      <w:r w:rsidRPr="001D1239">
        <w:rPr>
          <w:rFonts w:ascii="Times New Roman" w:eastAsia="Calibri" w:hAnsi="Times New Roman" w:hint="eastAsia"/>
          <w:b/>
          <w:bCs/>
          <w:color w:val="000000"/>
          <w:sz w:val="24"/>
        </w:rPr>
        <w:t xml:space="preserve">The </w:t>
      </w:r>
      <w:r w:rsidRPr="001D1239">
        <w:rPr>
          <w:rFonts w:ascii="Times New Roman" w:eastAsia="Calibri" w:hAnsi="Times New Roman"/>
          <w:b/>
          <w:bCs/>
          <w:color w:val="000000"/>
          <w:sz w:val="24"/>
        </w:rPr>
        <w:t>characterization</w:t>
      </w:r>
      <w:r w:rsidRPr="001D1239">
        <w:rPr>
          <w:rFonts w:ascii="Times New Roman" w:eastAsiaTheme="minorEastAsia" w:hAnsi="Times New Roman" w:hint="eastAsia"/>
          <w:b/>
          <w:bCs/>
          <w:color w:val="000000"/>
          <w:sz w:val="24"/>
        </w:rPr>
        <w:t xml:space="preserve"> of liposomes </w:t>
      </w:r>
    </w:p>
    <w:p w14:paraId="51B33F84" w14:textId="77777777" w:rsidR="0047504C" w:rsidRPr="001D1239" w:rsidRDefault="0047504C" w:rsidP="00EC4AB0">
      <w:pPr>
        <w:spacing w:line="360" w:lineRule="auto"/>
        <w:ind w:firstLineChars="100" w:firstLine="240"/>
        <w:rPr>
          <w:rFonts w:ascii="Times New Roman" w:eastAsia="DengXian" w:hAnsi="Times New Roman"/>
          <w:color w:val="000000"/>
          <w:sz w:val="24"/>
        </w:rPr>
      </w:pPr>
      <w:r w:rsidRPr="001D1239">
        <w:rPr>
          <w:rFonts w:ascii="Times New Roman" w:eastAsia="DengXian" w:hAnsi="Times New Roman"/>
          <w:color w:val="000000"/>
          <w:sz w:val="24"/>
        </w:rPr>
        <w:t xml:space="preserve">The particle size and zeta potential of PUE@L, PUE@I-L, PUE@T-L and PUE@T/I-L were measured with dynamic light scattering (DLS) at 25°C using a Malvern Zetasizer Nano ZS instrument (Malvern Instruments Ltd, UK). A drop of PUE@T/I-L was deposited on a glow discharge carbon-coated grid. The morphology of PUE@T/I-L was then visually observed using transmission electron microscopy </w:t>
      </w:r>
      <w:r w:rsidRPr="001D1239">
        <w:rPr>
          <w:rFonts w:ascii="Times New Roman" w:eastAsia="DengXian" w:hAnsi="Times New Roman"/>
          <w:color w:val="000000"/>
          <w:sz w:val="24"/>
        </w:rPr>
        <w:lastRenderedPageBreak/>
        <w:t>(TEM) at 200 kV (JEM-2100F, JEOL, Japan). The drug loading efficiency (DL%) and entrapment efficiency (EE%) for PUE in PUE@T/I-L were determined by HPLC system (LC-20, Japan) with the mobile phase of acetonitrile:water (17:83) and detection at 250 nm.</w:t>
      </w:r>
    </w:p>
    <w:p w14:paraId="6D0485FF" w14:textId="77777777" w:rsidR="00C85AFD" w:rsidRPr="001D1239" w:rsidRDefault="00C85AFD" w:rsidP="00EC4AB0">
      <w:pPr>
        <w:spacing w:line="360" w:lineRule="auto"/>
        <w:ind w:firstLineChars="100" w:firstLine="240"/>
        <w:rPr>
          <w:rFonts w:ascii="Times New Roman" w:eastAsia="DengXian" w:hAnsi="Times New Roman"/>
          <w:color w:val="000000"/>
          <w:sz w:val="24"/>
        </w:rPr>
      </w:pPr>
    </w:p>
    <w:p w14:paraId="48D240F0" w14:textId="6D5929CF" w:rsidR="0047504C" w:rsidRPr="001D1239" w:rsidRDefault="0047504C" w:rsidP="0047504C">
      <w:pPr>
        <w:spacing w:line="480" w:lineRule="auto"/>
        <w:rPr>
          <w:rFonts w:ascii="Times New Roman" w:eastAsia="Calibri" w:hAnsi="Times New Roman"/>
          <w:b/>
          <w:bCs/>
          <w:color w:val="000000"/>
          <w:sz w:val="24"/>
        </w:rPr>
      </w:pPr>
      <w:r w:rsidRPr="001D1239">
        <w:rPr>
          <w:rFonts w:ascii="Times New Roman" w:eastAsia="Calibri" w:hAnsi="Times New Roman"/>
          <w:b/>
          <w:bCs/>
          <w:color w:val="000000"/>
          <w:sz w:val="24"/>
        </w:rPr>
        <w:t>Fourier transform infrared spectrometer (FT-IR)</w:t>
      </w:r>
    </w:p>
    <w:p w14:paraId="45120C62" w14:textId="77777777" w:rsidR="0047504C" w:rsidRPr="001D1239" w:rsidRDefault="0047504C" w:rsidP="0047504C">
      <w:pPr>
        <w:widowControl/>
        <w:spacing w:line="360" w:lineRule="auto"/>
        <w:ind w:firstLineChars="100" w:firstLine="24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A thermo Fisher Nicolet iS10 Fourier transform infrared spectrometer (FT-IR) was used to characterize the PUE embedding state in PUE@T/I-L. First, a background spectrum of a blank KBr was run. Then PUE, blank liposomes (T/I-L) and PUE@T/I-L were gently coated on the KBr sheets, respectively. The FT-IR spectrum of these samples from 400 to 4000 cm</w:t>
      </w:r>
      <w:r w:rsidRPr="001D1239">
        <w:rPr>
          <w:rFonts w:ascii="Times New Roman" w:hAnsi="Times New Roman"/>
          <w:color w:val="000000"/>
          <w:sz w:val="24"/>
          <w:vertAlign w:val="superscript"/>
        </w:rPr>
        <w:t xml:space="preserve">-1 </w:t>
      </w:r>
      <w:r w:rsidRPr="001D1239">
        <w:rPr>
          <w:rFonts w:ascii="Times New Roman" w:hAnsi="Times New Roman"/>
          <w:color w:val="000000"/>
          <w:sz w:val="24"/>
        </w:rPr>
        <w:t>was recorded by the KBr pellet method on a FT-IR spectrometer at room temperature.</w:t>
      </w:r>
    </w:p>
    <w:p w14:paraId="75E1D000" w14:textId="77777777" w:rsidR="00C85AFD" w:rsidRPr="001D1239" w:rsidRDefault="00C85AFD" w:rsidP="0047504C">
      <w:pPr>
        <w:widowControl/>
        <w:spacing w:line="360" w:lineRule="auto"/>
        <w:ind w:firstLineChars="100" w:firstLine="240"/>
        <w:rPr>
          <w:rFonts w:ascii="Times New Roman" w:hAnsi="Times New Roman"/>
          <w:color w:val="000000"/>
          <w:sz w:val="24"/>
        </w:rPr>
      </w:pPr>
    </w:p>
    <w:p w14:paraId="09C17127" w14:textId="52CFF4DD" w:rsidR="0047504C" w:rsidRPr="001D1239" w:rsidRDefault="0047504C" w:rsidP="0047504C">
      <w:pPr>
        <w:spacing w:line="480" w:lineRule="auto"/>
        <w:rPr>
          <w:rFonts w:ascii="Times New Roman" w:eastAsia="Calibri" w:hAnsi="Times New Roman"/>
          <w:b/>
          <w:bCs/>
          <w:color w:val="000000"/>
          <w:sz w:val="24"/>
        </w:rPr>
      </w:pPr>
      <w:r w:rsidRPr="001D1239">
        <w:rPr>
          <w:rFonts w:ascii="Times New Roman" w:eastAsia="Calibri" w:hAnsi="Times New Roman"/>
          <w:b/>
          <w:bCs/>
          <w:color w:val="000000"/>
          <w:sz w:val="24"/>
        </w:rPr>
        <w:t>Stability Studies</w:t>
      </w:r>
    </w:p>
    <w:p w14:paraId="5D1E9C2A" w14:textId="77777777" w:rsidR="005D49F7" w:rsidRPr="001D1239" w:rsidRDefault="0047504C" w:rsidP="005D49F7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 xml:space="preserve">   To investigate the storage stability of PUE@T/I-L, freshly prepared samples were placed in a 4°C refrigerator for 60 days and the particle size and potential of the liposomes were measured every ten days. In addition, PUE@T/I-L was co-cultured with 10% fetal bovine serum (FBS) to monitor serum stability. The changes in particle size and zeta potential of PUE@T/I-L were monitored by DLS measurements at 0, 4, 8, 12 and 24 h.</w:t>
      </w:r>
    </w:p>
    <w:p w14:paraId="7A59DD88" w14:textId="77777777" w:rsidR="003F5B76" w:rsidRPr="001D1239" w:rsidRDefault="003F5B76" w:rsidP="005D49F7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</w:p>
    <w:p w14:paraId="6494A849" w14:textId="03769EB4" w:rsidR="00DD2EA7" w:rsidRPr="001D1239" w:rsidRDefault="00DD2EA7" w:rsidP="00DD2EA7">
      <w:pPr>
        <w:spacing w:line="360" w:lineRule="auto"/>
        <w:rPr>
          <w:rFonts w:ascii="Times New Roman" w:eastAsia="DengXian" w:hAnsi="Times New Roman"/>
          <w:b/>
          <w:bCs/>
          <w:color w:val="000000"/>
          <w:sz w:val="24"/>
        </w:rPr>
      </w:pPr>
      <w:r w:rsidRPr="001D1239">
        <w:rPr>
          <w:rFonts w:ascii="Times New Roman" w:eastAsia="DengXian" w:hAnsi="Times New Roman" w:hint="eastAsia"/>
          <w:b/>
          <w:bCs/>
          <w:color w:val="000000"/>
          <w:sz w:val="24"/>
        </w:rPr>
        <w:t>I</w:t>
      </w:r>
      <w:r w:rsidRPr="001D1239">
        <w:rPr>
          <w:rFonts w:ascii="Times New Roman" w:eastAsia="DengXian" w:hAnsi="Times New Roman"/>
          <w:b/>
          <w:bCs/>
          <w:color w:val="000000"/>
          <w:sz w:val="24"/>
        </w:rPr>
        <w:t xml:space="preserve">n vitro release </w:t>
      </w:r>
    </w:p>
    <w:p w14:paraId="3608D85B" w14:textId="77777777" w:rsidR="00DD2EA7" w:rsidRPr="001D1239" w:rsidRDefault="00DD2EA7" w:rsidP="00DD2EA7">
      <w:pPr>
        <w:spacing w:line="360" w:lineRule="auto"/>
        <w:ind w:firstLineChars="100" w:firstLine="240"/>
        <w:rPr>
          <w:rFonts w:ascii="Times New Roman" w:eastAsia="DengXian" w:hAnsi="Times New Roman"/>
          <w:color w:val="000000"/>
          <w:sz w:val="24"/>
        </w:rPr>
      </w:pPr>
      <w:r w:rsidRPr="001D1239">
        <w:rPr>
          <w:rFonts w:ascii="Times New Roman" w:eastAsia="DengXian" w:hAnsi="Times New Roman" w:hint="eastAsia"/>
          <w:color w:val="000000"/>
          <w:sz w:val="24"/>
        </w:rPr>
        <w:t>Dialysis (PBS buffer, pH7.4)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method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was used to study the release of PUE from drug</w:t>
      </w:r>
      <w:r w:rsidRPr="001D1239">
        <w:rPr>
          <w:rFonts w:ascii="Times New Roman" w:eastAsia="DengXian" w:hAnsi="Times New Roman"/>
          <w:color w:val="000000"/>
          <w:sz w:val="24"/>
        </w:rPr>
        <w:t>-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loaded liposomes in vitro. 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Briefly, free PUE, PUE@L, PUE@T-L, PUE@I-L and </w:t>
      </w:r>
      <w:bookmarkStart w:id="3" w:name="_Hlk76222802"/>
      <w:r w:rsidRPr="001D1239">
        <w:rPr>
          <w:rFonts w:ascii="Times New Roman" w:eastAsia="DengXian" w:hAnsi="Times New Roman"/>
          <w:color w:val="000000"/>
          <w:sz w:val="24"/>
        </w:rPr>
        <w:t>PUE@T/I-L</w:t>
      </w:r>
      <w:bookmarkEnd w:id="3"/>
      <w:r w:rsidRPr="001D1239">
        <w:rPr>
          <w:rFonts w:ascii="Times New Roman" w:eastAsia="DengXian" w:hAnsi="Times New Roman"/>
          <w:color w:val="000000"/>
          <w:sz w:val="24"/>
        </w:rPr>
        <w:t xml:space="preserve"> at the same amount of 240 μg PUE were sealed in a dialysis bag (MW. Cutoff: 3kDa). The bag was dialyzed against 50 mL of PBS (pH 7.4) under horizontal shaking (100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rpm) at 37°C. 150 </w:t>
      </w:r>
      <w:bookmarkStart w:id="4" w:name="OLE_LINK6"/>
      <w:bookmarkStart w:id="5" w:name="OLE_LINK5"/>
      <w:r w:rsidRPr="001D1239">
        <w:rPr>
          <w:rFonts w:ascii="Times New Roman" w:eastAsia="DengXian" w:hAnsi="Times New Roman"/>
          <w:color w:val="000000"/>
          <w:sz w:val="24"/>
        </w:rPr>
        <w:t>μ</w:t>
      </w:r>
      <w:bookmarkEnd w:id="4"/>
      <w:bookmarkEnd w:id="5"/>
      <w:r w:rsidRPr="001D1239">
        <w:rPr>
          <w:rFonts w:ascii="Times New Roman" w:eastAsia="DengXian" w:hAnsi="Times New Roman"/>
          <w:color w:val="000000"/>
          <w:sz w:val="24"/>
        </w:rPr>
        <w:t>L</w:t>
      </w:r>
      <w:r w:rsidRPr="001D1239">
        <w:rPr>
          <w:rFonts w:ascii="Times New Roman" w:eastAsia="DengXian" w:hAnsi="Times New Roman" w:hint="eastAsia"/>
          <w:color w:val="000000"/>
          <w:sz w:val="24"/>
        </w:rPr>
        <w:t xml:space="preserve"> aliquots were collected at different time intervals for analysis and replaced with the same volume of fresh PBS.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 xml:space="preserve">The cumulative release percentage of PUE was determined by </w:t>
      </w:r>
      <w:r w:rsidR="00770768" w:rsidRPr="001D1239">
        <w:rPr>
          <w:rFonts w:ascii="Times New Roman" w:eastAsia="DengXian" w:hAnsi="Times New Roman"/>
          <w:color w:val="000000"/>
          <w:sz w:val="24"/>
          <w:lang w:bidi="ar"/>
        </w:rPr>
        <w:t>HPLC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 xml:space="preserve"> method with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lastRenderedPageBreak/>
        <w:t>acetonitrile and water (17:83) as the mobile phase, and the detection wavelength was 250 nm.</w:t>
      </w:r>
      <w:r w:rsidRPr="001D1239">
        <w:rPr>
          <w:rFonts w:ascii="Times New Roman" w:eastAsia="DengXian" w:hAnsi="Times New Roman" w:hint="eastAsia"/>
          <w:color w:val="000000"/>
          <w:sz w:val="24"/>
        </w:rPr>
        <w:t>T</w:t>
      </w:r>
      <w:r w:rsidRPr="001D1239">
        <w:rPr>
          <w:rFonts w:ascii="Times New Roman" w:eastAsia="DengXian" w:hAnsi="Times New Roman"/>
          <w:color w:val="000000"/>
          <w:sz w:val="24"/>
        </w:rPr>
        <w:t>he experiment was performed parallel in triplicate.</w:t>
      </w:r>
    </w:p>
    <w:p w14:paraId="59A2420B" w14:textId="77777777" w:rsidR="00C85AFD" w:rsidRPr="001D1239" w:rsidRDefault="00C85AFD" w:rsidP="00C85AFD">
      <w:pPr>
        <w:spacing w:line="360" w:lineRule="auto"/>
        <w:rPr>
          <w:rFonts w:ascii="Times New Roman" w:eastAsia="AdvOT3b30f6db.B" w:hAnsi="Times New Roman"/>
          <w:b/>
          <w:bCs/>
          <w:color w:val="000000"/>
          <w:sz w:val="24"/>
        </w:rPr>
      </w:pPr>
    </w:p>
    <w:p w14:paraId="7AB4BA5C" w14:textId="6A9E37CF" w:rsidR="00DD2EA7" w:rsidRPr="001D1239" w:rsidRDefault="00DD2EA7" w:rsidP="00DD2EA7">
      <w:pPr>
        <w:spacing w:line="360" w:lineRule="auto"/>
        <w:rPr>
          <w:rFonts w:ascii="Times New Roman" w:eastAsia="DengXian" w:hAnsi="Times New Roman"/>
          <w:b/>
          <w:bCs/>
          <w:color w:val="000000"/>
          <w:sz w:val="24"/>
        </w:rPr>
      </w:pPr>
      <w:r w:rsidRPr="001D1239">
        <w:rPr>
          <w:rFonts w:ascii="Times New Roman" w:eastAsia="DengXian" w:hAnsi="Times New Roman"/>
          <w:b/>
          <w:bCs/>
          <w:color w:val="000000"/>
          <w:sz w:val="24"/>
        </w:rPr>
        <w:t>H</w:t>
      </w:r>
      <w:r w:rsidRPr="001D1239">
        <w:rPr>
          <w:rFonts w:ascii="Times New Roman" w:eastAsia="DengXian" w:hAnsi="Times New Roman" w:hint="eastAsia"/>
          <w:b/>
          <w:bCs/>
          <w:color w:val="000000"/>
          <w:sz w:val="24"/>
        </w:rPr>
        <w:t>e</w:t>
      </w:r>
      <w:r w:rsidRPr="001D1239">
        <w:rPr>
          <w:rFonts w:ascii="Times New Roman" w:eastAsia="DengXian" w:hAnsi="Times New Roman"/>
          <w:b/>
          <w:bCs/>
          <w:color w:val="000000"/>
          <w:sz w:val="24"/>
        </w:rPr>
        <w:t>molytic activity</w:t>
      </w:r>
    </w:p>
    <w:p w14:paraId="025E479F" w14:textId="77777777" w:rsidR="00DD2EA7" w:rsidRPr="001D1239" w:rsidRDefault="00DD2EA7" w:rsidP="00DD2EA7">
      <w:pPr>
        <w:spacing w:line="360" w:lineRule="auto"/>
        <w:ind w:firstLineChars="100" w:firstLine="240"/>
        <w:rPr>
          <w:rFonts w:ascii="Times New Roman" w:eastAsia="DengXian" w:hAnsi="Times New Roman"/>
          <w:color w:val="000000"/>
          <w:sz w:val="24"/>
        </w:rPr>
      </w:pPr>
      <w:r w:rsidRPr="001D1239">
        <w:rPr>
          <w:rFonts w:ascii="Times New Roman" w:eastAsia="DengXian" w:hAnsi="Times New Roman"/>
          <w:color w:val="000000"/>
          <w:sz w:val="24"/>
          <w:lang w:bidi="ar"/>
        </w:rPr>
        <w:t>Hemolytic activity is a requirement to be tested for intravenous drug delivery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samples. The test is based on erythrocyte lysis induced by incubation with PUE@T/I-L.</w:t>
      </w:r>
      <w:r w:rsidRPr="001D1239">
        <w:rPr>
          <w:color w:val="000000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10 female 3-month-old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Sprague-Dawley (SD) rats (250-300 g) were housed in groups of two per cage under controlled temperature and humidity with a 12 h light/12 h dark cycle. Rats were allowed free access to food and water. The tails of SD rats were soaked in 42°C water for 40-50 seconds to dilate the blood vessels and the tails were dried with paper towels. Rats (in restraints) were placed face down with their tails on a heating pad in a naturally relaxed state.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The tail vein to be bled was located and blood was drawn from the vein using an anticoagulant-soaked syringe. Immediately after 0.4 ml of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blood was drawn from the rats, a sterile cotton ball was used to stop the bleeding by applying pressure at the location where the needle was inserted to draw blood. Monitor the animal until full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recovery before returning it to its cage for subsequent studies, and do not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introduce it to the company of other animals until fully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recovered. This blood samples </w:t>
      </w:r>
      <w:r w:rsidRPr="001D1239">
        <w:rPr>
          <w:rFonts w:ascii="Times New Roman" w:eastAsia="DengXian" w:hAnsi="Times New Roman" w:hint="eastAsia"/>
          <w:color w:val="000000"/>
          <w:sz w:val="24"/>
          <w:lang w:bidi="ar"/>
        </w:rPr>
        <w:t>f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 xml:space="preserve">rom the 10 rats were separated to obtain an erythrocyte suspension by the following method, collected by centrifugation at 3000 rpm for 5 minutes and repeatedly rinsed with PBS until the supernatant became clear. Purified </w:t>
      </w:r>
      <w:r w:rsidRPr="001D1239">
        <w:rPr>
          <w:rFonts w:ascii="Times New Roman" w:eastAsia="DengXian" w:hAnsi="Times New Roman"/>
          <w:color w:val="000000"/>
          <w:sz w:val="24"/>
        </w:rPr>
        <w:t>RBCs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 xml:space="preserve"> were then mixed with free PUE and various concentrations of </w:t>
      </w:r>
      <w:r w:rsidRPr="001D1239">
        <w:rPr>
          <w:rFonts w:ascii="Times New Roman" w:eastAsia="DengXian" w:hAnsi="Times New Roman"/>
          <w:color w:val="000000"/>
          <w:sz w:val="24"/>
        </w:rPr>
        <w:t>PUE-loaded liposomes (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 xml:space="preserve">PUE@L, PUE@I-L, PUE@T-L and PUE@T/I-L) for 2 h at 37°C with gentle shaking, followed by 2000 rpm for 5 min. 100 μL of the resulting supernatant was then added to a 96-well plate. The absorbance value (A) of hemoglobin was measured using a Multiskan MK3 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microplate reader at 540 nm. </w:t>
      </w:r>
      <w:r w:rsidRPr="001D1239">
        <w:rPr>
          <w:rFonts w:ascii="Times New Roman" w:eastAsia="DengXian" w:hAnsi="Times New Roman" w:hint="eastAsia"/>
          <w:color w:val="000000"/>
          <w:sz w:val="24"/>
        </w:rPr>
        <w:t>T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he experiment was performed parallel in triplicate. The values for 0% and 100% hemolysis were determined by incubating RBCs with PBS or distilled water. 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The hemolysis rate (HR %) was calculated as follows: HR (%) = [(A</w:t>
      </w:r>
      <w:r w:rsidRPr="001D1239">
        <w:rPr>
          <w:rFonts w:ascii="Times New Roman" w:eastAsia="DengXian" w:hAnsi="Times New Roman"/>
          <w:color w:val="000000"/>
          <w:sz w:val="24"/>
          <w:vertAlign w:val="subscript"/>
          <w:lang w:bidi="ar"/>
        </w:rPr>
        <w:t>sample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 xml:space="preserve"> - A</w:t>
      </w:r>
      <w:r w:rsidRPr="001D1239">
        <w:rPr>
          <w:rFonts w:ascii="Times New Roman" w:eastAsia="DengXian" w:hAnsi="Times New Roman"/>
          <w:color w:val="000000"/>
          <w:sz w:val="24"/>
          <w:vertAlign w:val="subscript"/>
          <w:lang w:bidi="ar"/>
        </w:rPr>
        <w:t>negative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)/ (A</w:t>
      </w:r>
      <w:r w:rsidRPr="001D1239">
        <w:rPr>
          <w:rFonts w:ascii="Times New Roman" w:eastAsia="DengXian" w:hAnsi="Times New Roman"/>
          <w:color w:val="000000"/>
          <w:sz w:val="24"/>
          <w:vertAlign w:val="subscript"/>
          <w:lang w:bidi="ar"/>
        </w:rPr>
        <w:t>positive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-A</w:t>
      </w:r>
      <w:r w:rsidRPr="001D1239">
        <w:rPr>
          <w:rFonts w:ascii="Times New Roman" w:eastAsia="DengXian" w:hAnsi="Times New Roman"/>
          <w:color w:val="000000"/>
          <w:sz w:val="24"/>
          <w:vertAlign w:val="subscript"/>
          <w:lang w:bidi="ar"/>
        </w:rPr>
        <w:t>negative</w:t>
      </w:r>
      <w:r w:rsidRPr="001D1239">
        <w:rPr>
          <w:rFonts w:ascii="Times New Roman" w:eastAsia="DengXian" w:hAnsi="Times New Roman"/>
          <w:color w:val="000000"/>
          <w:sz w:val="24"/>
          <w:lang w:bidi="ar"/>
        </w:rPr>
        <w:t>)] × 100%.</w:t>
      </w:r>
    </w:p>
    <w:p w14:paraId="75EE5D53" w14:textId="77777777" w:rsidR="00BC3605" w:rsidRPr="001D1239" w:rsidRDefault="00BC3605" w:rsidP="005D49F7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</w:p>
    <w:p w14:paraId="547F2CB1" w14:textId="77777777" w:rsidR="00BC3605" w:rsidRPr="001D1239" w:rsidRDefault="00BC3605" w:rsidP="008626FA">
      <w:pPr>
        <w:spacing w:line="360" w:lineRule="auto"/>
        <w:ind w:firstLineChars="100" w:firstLine="241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b/>
          <w:color w:val="000000"/>
          <w:sz w:val="24"/>
        </w:rPr>
        <w:lastRenderedPageBreak/>
        <w:t xml:space="preserve">Table </w:t>
      </w:r>
      <w:r w:rsidRPr="001D1239">
        <w:rPr>
          <w:rFonts w:ascii="Times New Roman" w:hAnsi="Times New Roman" w:hint="eastAsia"/>
          <w:b/>
          <w:color w:val="000000"/>
          <w:sz w:val="24"/>
        </w:rPr>
        <w:t xml:space="preserve"> S</w:t>
      </w:r>
      <w:r w:rsidR="008626FA" w:rsidRPr="001D1239">
        <w:rPr>
          <w:rFonts w:ascii="Times New Roman" w:hAnsi="Times New Roman"/>
          <w:b/>
          <w:color w:val="000000"/>
          <w:sz w:val="24"/>
        </w:rPr>
        <w:t xml:space="preserve">1  </w:t>
      </w:r>
      <w:r w:rsidR="008626FA" w:rsidRPr="001D1239">
        <w:rPr>
          <w:rFonts w:ascii="Times New Roman" w:hAnsi="Times New Roman"/>
          <w:color w:val="000000"/>
          <w:sz w:val="24"/>
        </w:rPr>
        <w:t xml:space="preserve"> </w:t>
      </w:r>
      <w:r w:rsidRPr="001D1239">
        <w:rPr>
          <w:rFonts w:ascii="Times New Roman" w:hAnsi="Times New Roman"/>
          <w:color w:val="000000"/>
          <w:sz w:val="24"/>
        </w:rPr>
        <w:t xml:space="preserve">The lipid composition, size and zeta potential of liposomes  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1668"/>
        <w:gridCol w:w="1087"/>
        <w:gridCol w:w="1218"/>
        <w:gridCol w:w="1412"/>
        <w:gridCol w:w="1779"/>
        <w:gridCol w:w="1512"/>
        <w:gridCol w:w="1389"/>
      </w:tblGrid>
      <w:tr w:rsidR="00BC3605" w:rsidRPr="001D1239" w14:paraId="2FBDD239" w14:textId="77777777" w:rsidTr="00BC3605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76AA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Liposomes</w:t>
            </w:r>
          </w:p>
        </w:tc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34F7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Composition (% of molar mole)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E66F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Size</w:t>
            </w:r>
          </w:p>
          <w:p w14:paraId="44C81015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(nm)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D4DD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Zeta Potential</w:t>
            </w:r>
          </w:p>
          <w:p w14:paraId="757BF6F4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(mV)</w:t>
            </w:r>
          </w:p>
        </w:tc>
      </w:tr>
      <w:tr w:rsidR="00BC3605" w:rsidRPr="001D1239" w14:paraId="578D007F" w14:textId="77777777" w:rsidTr="00BC360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6979F" w14:textId="77777777" w:rsidR="00BC3605" w:rsidRPr="001D1239" w:rsidRDefault="00BC3605">
            <w:pPr>
              <w:widowControl/>
              <w:jc w:val="left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36A1A" w14:textId="188AE57C" w:rsidR="00BC3605" w:rsidRPr="001D1239" w:rsidRDefault="000D58D8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SL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6241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Chol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8264A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TPP-PEG-PE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B415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IMTP-PEG-PE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6633D" w14:textId="77777777" w:rsidR="00BC3605" w:rsidRPr="001D1239" w:rsidRDefault="00BC3605">
            <w:pPr>
              <w:widowControl/>
              <w:jc w:val="left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24A7" w14:textId="77777777" w:rsidR="00BC3605" w:rsidRPr="001D1239" w:rsidRDefault="00BC3605">
            <w:pPr>
              <w:widowControl/>
              <w:jc w:val="left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</w:p>
        </w:tc>
      </w:tr>
      <w:tr w:rsidR="00BC3605" w:rsidRPr="001D1239" w14:paraId="41CCAD9E" w14:textId="77777777" w:rsidTr="00BC360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8DC35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PUE@T/I-L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4AF74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52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BB295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26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ED5DE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14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F9A63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A1CE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159.4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1.4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62D83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-27.8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0.7</w:t>
            </w:r>
          </w:p>
        </w:tc>
      </w:tr>
      <w:tr w:rsidR="00BC3605" w:rsidRPr="001D1239" w14:paraId="035E327C" w14:textId="77777777" w:rsidTr="00BC360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D549F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PUE@T-L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449E1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57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08B7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28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2355C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15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6054F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56FA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160.5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4.1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3A642" w14:textId="77777777" w:rsidR="00BC3605" w:rsidRPr="001D1239" w:rsidRDefault="00BC3605">
            <w:pPr>
              <w:widowControl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-14.7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0.3</w:t>
            </w:r>
          </w:p>
        </w:tc>
      </w:tr>
      <w:tr w:rsidR="00BC3605" w:rsidRPr="001D1239" w14:paraId="6C10BA8B" w14:textId="77777777" w:rsidTr="00BC360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35FDD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PUE@I-L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908E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36750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30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25BB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73D38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10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44F5B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152.6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5.9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30DF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-39.1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2.6</w:t>
            </w:r>
          </w:p>
        </w:tc>
      </w:tr>
      <w:tr w:rsidR="00BC3605" w:rsidRPr="001D1239" w14:paraId="01F0B928" w14:textId="77777777" w:rsidTr="00BC360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1570A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PUE@L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EDE0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67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A302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33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6EA6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9B7DC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F5FCA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141.2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2.6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AC5BE" w14:textId="77777777" w:rsidR="00BC3605" w:rsidRPr="001D1239" w:rsidRDefault="00BC3605">
            <w:pPr>
              <w:spacing w:line="360" w:lineRule="auto"/>
              <w:jc w:val="center"/>
              <w:rPr>
                <w:rFonts w:ascii="Times New Roman" w:eastAsiaTheme="minorEastAsia" w:hAnsi="Times New Roman"/>
                <w:color w:val="000000"/>
                <w:kern w:val="2"/>
                <w:sz w:val="21"/>
                <w:szCs w:val="21"/>
              </w:rPr>
            </w:pPr>
            <w:r w:rsidRPr="001D1239">
              <w:rPr>
                <w:rFonts w:ascii="Times New Roman" w:hAnsi="Times New Roman"/>
                <w:color w:val="000000"/>
                <w:szCs w:val="21"/>
              </w:rPr>
              <w:t>-42.7</w:t>
            </w:r>
            <w:r w:rsidRPr="001D1239">
              <w:rPr>
                <w:rFonts w:ascii="Times New Roman" w:hAnsi="Times New Roman" w:hint="eastAsia"/>
                <w:color w:val="000000"/>
                <w:szCs w:val="21"/>
              </w:rPr>
              <w:t>±</w:t>
            </w:r>
            <w:r w:rsidRPr="001D1239">
              <w:rPr>
                <w:rFonts w:ascii="Times New Roman" w:hAnsi="Times New Roman"/>
                <w:color w:val="000000"/>
                <w:szCs w:val="21"/>
              </w:rPr>
              <w:t>1.0</w:t>
            </w:r>
          </w:p>
        </w:tc>
      </w:tr>
    </w:tbl>
    <w:p w14:paraId="0AFBF0AD" w14:textId="77777777" w:rsidR="00BC3605" w:rsidRPr="001D1239" w:rsidRDefault="00BC3605" w:rsidP="005D49F7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</w:p>
    <w:p w14:paraId="708A6B1B" w14:textId="08887AA6" w:rsidR="00CD06E9" w:rsidRPr="001D1239" w:rsidRDefault="00CD06E9" w:rsidP="005D49F7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drawing>
          <wp:inline distT="0" distB="0" distL="0" distR="0" wp14:anchorId="4CC0F792" wp14:editId="0C1EC73E">
            <wp:extent cx="5274310" cy="2973070"/>
            <wp:effectExtent l="0" t="0" r="2540" b="0"/>
            <wp:docPr id="3935733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1A30" w14:textId="33B6763E" w:rsidR="00DE6EDE" w:rsidRPr="001D1239" w:rsidRDefault="000438EA" w:rsidP="00DE6EDE">
      <w:pPr>
        <w:spacing w:line="360" w:lineRule="auto"/>
        <w:rPr>
          <w:rStyle w:val="captionlabel"/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>Figure S1.</w:t>
      </w:r>
      <w:r w:rsidRPr="001D1239">
        <w:rPr>
          <w:rStyle w:val="captionlabel"/>
          <w:rFonts w:ascii="Times New Roman" w:hAnsi="Times New Roman"/>
          <w:color w:val="000000"/>
          <w:sz w:val="24"/>
        </w:rPr>
        <w:t> </w:t>
      </w:r>
      <w:r w:rsidRPr="001D1239">
        <w:rPr>
          <w:rFonts w:ascii="Times New Roman" w:hAnsi="Times New Roman"/>
          <w:color w:val="000000"/>
          <w:sz w:val="24"/>
        </w:rPr>
        <w:t>Characterization of functional conjugates. (a) MALDI-TOF-MS spectrum of IMTP (1) DSPE-PEG-NHS (2) and IMTP-PEG-PE (3); (b)</w:t>
      </w:r>
      <w:r w:rsidRPr="001D1239">
        <w:rPr>
          <w:color w:val="000000"/>
        </w:rPr>
        <w:t xml:space="preserve"> </w:t>
      </w:r>
      <w:r w:rsidRPr="001D1239">
        <w:rPr>
          <w:rFonts w:ascii="Times New Roman" w:eastAsia="DengXian" w:hAnsi="Times New Roman"/>
          <w:color w:val="000000"/>
          <w:sz w:val="24"/>
          <w:vertAlign w:val="superscript"/>
        </w:rPr>
        <w:t>1</w:t>
      </w:r>
      <w:r w:rsidRPr="001D1239">
        <w:rPr>
          <w:rFonts w:ascii="Times New Roman" w:eastAsia="DengXian" w:hAnsi="Times New Roman"/>
          <w:color w:val="000000"/>
          <w:sz w:val="24"/>
        </w:rPr>
        <w:t>H</w:t>
      </w:r>
      <w:r w:rsidRPr="001D1239">
        <w:rPr>
          <w:rFonts w:ascii="Times New Roman" w:hAnsi="Times New Roman"/>
          <w:color w:val="000000"/>
          <w:sz w:val="24"/>
        </w:rPr>
        <w:t xml:space="preserve"> NMR spectrum of IMTP-PEG-PE; (c) </w:t>
      </w:r>
      <w:r w:rsidRPr="001D1239">
        <w:rPr>
          <w:rFonts w:ascii="Times New Roman" w:eastAsia="DengXian" w:hAnsi="Times New Roman"/>
          <w:color w:val="000000"/>
          <w:sz w:val="24"/>
          <w:vertAlign w:val="superscript"/>
        </w:rPr>
        <w:t>1</w:t>
      </w:r>
      <w:r w:rsidRPr="001D1239">
        <w:rPr>
          <w:rFonts w:ascii="Times New Roman" w:eastAsia="DengXian" w:hAnsi="Times New Roman"/>
          <w:color w:val="000000"/>
          <w:sz w:val="24"/>
        </w:rPr>
        <w:t>H NMR</w:t>
      </w:r>
      <w:r w:rsidRPr="001D1239">
        <w:rPr>
          <w:rFonts w:ascii="Times New Roman" w:hAnsi="Times New Roman"/>
          <w:color w:val="000000"/>
          <w:sz w:val="24"/>
        </w:rPr>
        <w:t xml:space="preserve"> spectrum of TPP-PEG-PE.</w:t>
      </w:r>
    </w:p>
    <w:p w14:paraId="74CEAAD9" w14:textId="4EA77D22" w:rsidR="00DE6EDE" w:rsidRPr="001D1239" w:rsidRDefault="00DE6EDE" w:rsidP="00CD06E9">
      <w:pPr>
        <w:spacing w:line="360" w:lineRule="auto"/>
        <w:ind w:left="1084" w:hangingChars="450" w:hanging="1084"/>
        <w:jc w:val="center"/>
        <w:rPr>
          <w:rStyle w:val="captionlabel"/>
          <w:rFonts w:ascii="Times New Roman" w:hAnsi="Times New Roman"/>
          <w:b/>
          <w:bCs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lastRenderedPageBreak/>
        <w:drawing>
          <wp:inline distT="0" distB="0" distL="0" distR="0" wp14:anchorId="23194DCB" wp14:editId="34506AD2">
            <wp:extent cx="5133975" cy="3228359"/>
            <wp:effectExtent l="0" t="0" r="0" b="0"/>
            <wp:docPr id="15794301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17" cy="32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DC52" w14:textId="77777777" w:rsidR="008626FA" w:rsidRPr="001D1239" w:rsidRDefault="000438EA" w:rsidP="000438EA">
      <w:pPr>
        <w:spacing w:line="360" w:lineRule="auto"/>
        <w:ind w:left="1084" w:hangingChars="450" w:hanging="1084"/>
        <w:rPr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 xml:space="preserve">Figure S2. </w:t>
      </w:r>
      <w:r w:rsidRPr="001D1239">
        <w:rPr>
          <w:rFonts w:ascii="Times New Roman" w:hAnsi="Times New Roman"/>
          <w:color w:val="000000"/>
          <w:sz w:val="24"/>
        </w:rPr>
        <w:t>FT-IR analysis of puerarin encapsulated i</w:t>
      </w:r>
      <w:r w:rsidR="008626FA" w:rsidRPr="001D1239">
        <w:rPr>
          <w:rFonts w:ascii="Times New Roman" w:hAnsi="Times New Roman"/>
          <w:color w:val="000000"/>
          <w:sz w:val="24"/>
        </w:rPr>
        <w:t>n liposomes. (a) PUE, (b) blank</w:t>
      </w:r>
    </w:p>
    <w:p w14:paraId="44F98C0B" w14:textId="4F928484" w:rsidR="00DE6EDE" w:rsidRPr="001D1239" w:rsidRDefault="000438EA" w:rsidP="00CD06E9">
      <w:pPr>
        <w:spacing w:line="360" w:lineRule="auto"/>
        <w:ind w:left="1080" w:hangingChars="450" w:hanging="108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T/I-L and (c) PUE@T/I-L.</w:t>
      </w:r>
      <w:bookmarkStart w:id="6" w:name="OLE_LINK10"/>
    </w:p>
    <w:p w14:paraId="02362984" w14:textId="77777777" w:rsidR="00EC4AB0" w:rsidRPr="001D1239" w:rsidRDefault="00EC4AB0" w:rsidP="00CD06E9">
      <w:pPr>
        <w:spacing w:line="360" w:lineRule="auto"/>
        <w:ind w:left="1080" w:hangingChars="450" w:hanging="1080"/>
        <w:rPr>
          <w:rStyle w:val="captionlabel"/>
          <w:rFonts w:ascii="Times New Roman" w:hAnsi="Times New Roman"/>
          <w:color w:val="000000"/>
          <w:sz w:val="24"/>
        </w:rPr>
      </w:pPr>
    </w:p>
    <w:p w14:paraId="036BBC99" w14:textId="77777777" w:rsidR="00EC4AB0" w:rsidRPr="001D1239" w:rsidRDefault="00EC4AB0" w:rsidP="00CD06E9">
      <w:pPr>
        <w:spacing w:line="360" w:lineRule="auto"/>
        <w:ind w:left="1080" w:hangingChars="450" w:hanging="1080"/>
        <w:rPr>
          <w:rStyle w:val="captionlabel"/>
          <w:rFonts w:ascii="Times New Roman" w:hAnsi="Times New Roman"/>
          <w:color w:val="000000"/>
          <w:sz w:val="24"/>
        </w:rPr>
      </w:pPr>
    </w:p>
    <w:p w14:paraId="3B0CE586" w14:textId="73D272A9" w:rsidR="00CD06E9" w:rsidRPr="001D1239" w:rsidRDefault="00EC4AB0" w:rsidP="00EC4AB0">
      <w:pPr>
        <w:spacing w:line="360" w:lineRule="auto"/>
        <w:ind w:left="1080" w:hangingChars="450" w:hanging="1080"/>
        <w:rPr>
          <w:rStyle w:val="captionlabel"/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drawing>
          <wp:inline distT="0" distB="0" distL="0" distR="0" wp14:anchorId="38B87E9A" wp14:editId="1088EE35">
            <wp:extent cx="5274310" cy="2966799"/>
            <wp:effectExtent l="0" t="0" r="2540" b="5080"/>
            <wp:docPr id="1" name="图片 1" descr="C:\Users\Administrator\Desktop\修改稿3.28\回复意见\图片\S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修改稿3.28\回复意见\图片\S3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6DD7" w14:textId="77777777" w:rsidR="008626FA" w:rsidRPr="001D1239" w:rsidRDefault="000438EA" w:rsidP="000438EA">
      <w:pPr>
        <w:spacing w:line="360" w:lineRule="auto"/>
        <w:ind w:left="1084" w:hangingChars="450" w:hanging="1084"/>
        <w:rPr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>Figure S3.</w:t>
      </w:r>
      <w:r w:rsidRPr="001D1239">
        <w:rPr>
          <w:color w:val="000000"/>
        </w:rPr>
        <w:t xml:space="preserve"> </w:t>
      </w:r>
      <w:r w:rsidRPr="001D1239">
        <w:rPr>
          <w:rFonts w:ascii="Times New Roman" w:hAnsi="Times New Roman"/>
          <w:color w:val="000000"/>
          <w:sz w:val="24"/>
        </w:rPr>
        <w:t>Particle size and zeta potential changes of PUE@T/I-L</w:t>
      </w:r>
      <w:r w:rsidRPr="001D1239">
        <w:rPr>
          <w:rFonts w:ascii="Times New Roman" w:hAnsi="Times New Roman" w:hint="eastAsia"/>
          <w:color w:val="000000"/>
          <w:sz w:val="24"/>
        </w:rPr>
        <w:t xml:space="preserve"> </w:t>
      </w:r>
      <w:r w:rsidR="008626FA" w:rsidRPr="001D1239">
        <w:rPr>
          <w:rFonts w:ascii="Times New Roman" w:hAnsi="Times New Roman"/>
          <w:color w:val="000000"/>
          <w:sz w:val="24"/>
        </w:rPr>
        <w:t>during 60 days of</w:t>
      </w:r>
    </w:p>
    <w:p w14:paraId="34C61D1E" w14:textId="3810BCF8" w:rsidR="001D6FF0" w:rsidRPr="001D1239" w:rsidRDefault="000438EA" w:rsidP="00CD06E9">
      <w:pPr>
        <w:spacing w:line="360" w:lineRule="auto"/>
        <w:ind w:left="1080" w:hangingChars="450" w:hanging="1080"/>
        <w:rPr>
          <w:rStyle w:val="captionlabel"/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 xml:space="preserve">storage </w:t>
      </w:r>
      <w:r w:rsidRPr="001D1239">
        <w:rPr>
          <w:rFonts w:ascii="Times New Roman" w:hAnsi="Times New Roman" w:hint="eastAsia"/>
          <w:color w:val="000000"/>
          <w:sz w:val="24"/>
        </w:rPr>
        <w:t>(</w:t>
      </w:r>
      <w:r w:rsidRPr="001D1239">
        <w:rPr>
          <w:rFonts w:ascii="Times New Roman" w:hAnsi="Times New Roman"/>
          <w:color w:val="000000"/>
          <w:sz w:val="24"/>
        </w:rPr>
        <w:t>a) and 24 h of storag</w:t>
      </w:r>
      <w:r w:rsidR="001D6FF0" w:rsidRPr="001D1239">
        <w:rPr>
          <w:rFonts w:ascii="Times New Roman" w:hAnsi="Times New Roman"/>
          <w:color w:val="000000"/>
          <w:sz w:val="24"/>
        </w:rPr>
        <w:t>e in 10% fetal bovine serum (b)</w:t>
      </w:r>
      <w:r w:rsidR="001D6FF0" w:rsidRPr="001D1239">
        <w:rPr>
          <w:rFonts w:ascii="Times New Roman" w:hAnsi="Times New Roman" w:hint="eastAsia"/>
          <w:color w:val="000000"/>
          <w:sz w:val="24"/>
        </w:rPr>
        <w:t>.</w:t>
      </w:r>
      <w:bookmarkEnd w:id="6"/>
    </w:p>
    <w:p w14:paraId="22926FD0" w14:textId="0A5EA4C9" w:rsidR="00CD06E9" w:rsidRPr="001D1239" w:rsidRDefault="00CD06E9" w:rsidP="006C6480">
      <w:pPr>
        <w:spacing w:line="360" w:lineRule="auto"/>
        <w:ind w:left="1205" w:hangingChars="500" w:hanging="1205"/>
        <w:jc w:val="center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4C3CA5FD" w14:textId="6BE469CA" w:rsidR="00B21D66" w:rsidRPr="001D1239" w:rsidRDefault="00B21D66" w:rsidP="00B21D66">
      <w:pPr>
        <w:spacing w:line="360" w:lineRule="auto"/>
        <w:ind w:left="1205" w:hangingChars="500" w:hanging="1205"/>
        <w:rPr>
          <w:rStyle w:val="captionlabel"/>
          <w:rFonts w:ascii="Times New Roman" w:hAnsi="Times New Roman"/>
          <w:b/>
          <w:bCs/>
          <w:color w:val="000000"/>
          <w:sz w:val="24"/>
        </w:rPr>
      </w:pPr>
      <w:r w:rsidRPr="001D1239">
        <w:rPr>
          <w:rFonts w:ascii="Times New Roman" w:hAnsi="Times New Roman"/>
          <w:b/>
          <w:bCs/>
          <w:color w:val="000000"/>
          <w:sz w:val="24"/>
        </w:rPr>
        <w:lastRenderedPageBreak/>
        <w:drawing>
          <wp:inline distT="0" distB="0" distL="0" distR="0" wp14:anchorId="38B49BA9" wp14:editId="48D1B26E">
            <wp:extent cx="5274310" cy="2966799"/>
            <wp:effectExtent l="0" t="0" r="2540" b="5080"/>
            <wp:docPr id="2" name="图片 2" descr="C:\Users\Administrator\Desktop\修改稿3.28\修回稿件7.4\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修改稿3.28\修回稿件7.4\Figure 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D1B4" w14:textId="77777777" w:rsidR="008626FA" w:rsidRPr="001D1239" w:rsidRDefault="000438EA" w:rsidP="000438EA">
      <w:pPr>
        <w:spacing w:line="360" w:lineRule="auto"/>
        <w:ind w:left="1205" w:hangingChars="500" w:hanging="1205"/>
        <w:rPr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>Figure S4. </w:t>
      </w:r>
      <w:r w:rsidRPr="001D1239">
        <w:rPr>
          <w:rFonts w:ascii="Times New Roman" w:hAnsi="Times New Roman"/>
          <w:color w:val="000000"/>
          <w:sz w:val="24"/>
        </w:rPr>
        <w:t xml:space="preserve">In vitro release </w:t>
      </w:r>
      <w:r w:rsidRPr="001D1239">
        <w:rPr>
          <w:rFonts w:ascii="Times New Roman" w:hAnsi="Times New Roman" w:hint="eastAsia"/>
          <w:color w:val="000000"/>
          <w:sz w:val="24"/>
        </w:rPr>
        <w:t>(</w:t>
      </w:r>
      <w:r w:rsidRPr="001D1239">
        <w:rPr>
          <w:rFonts w:ascii="Times New Roman" w:hAnsi="Times New Roman"/>
          <w:color w:val="000000"/>
          <w:sz w:val="24"/>
        </w:rPr>
        <w:t xml:space="preserve">a) and </w:t>
      </w:r>
      <w:r w:rsidRPr="001D1239">
        <w:rPr>
          <w:rFonts w:ascii="Times New Roman" w:eastAsia="DengXian" w:hAnsi="Times New Roman"/>
          <w:color w:val="000000"/>
          <w:sz w:val="24"/>
        </w:rPr>
        <w:t xml:space="preserve">hemolytic activity </w:t>
      </w:r>
      <w:r w:rsidRPr="001D1239">
        <w:rPr>
          <w:rFonts w:ascii="Times New Roman" w:hAnsi="Times New Roman"/>
          <w:color w:val="000000"/>
          <w:sz w:val="24"/>
        </w:rPr>
        <w:t>(b)</w:t>
      </w:r>
      <w:r w:rsidRPr="001D1239">
        <w:rPr>
          <w:rFonts w:ascii="Times New Roman" w:hAnsi="Times New Roman" w:hint="eastAsia"/>
          <w:color w:val="000000"/>
          <w:sz w:val="24"/>
        </w:rPr>
        <w:t xml:space="preserve"> </w:t>
      </w:r>
      <w:r w:rsidRPr="001D1239">
        <w:rPr>
          <w:rFonts w:ascii="Times New Roman" w:hAnsi="Times New Roman"/>
          <w:color w:val="000000"/>
          <w:sz w:val="24"/>
        </w:rPr>
        <w:t xml:space="preserve">of free PUE, PUE@L, </w:t>
      </w:r>
    </w:p>
    <w:p w14:paraId="5714BD02" w14:textId="77777777" w:rsidR="000438EA" w:rsidRPr="001D1239" w:rsidRDefault="000438EA" w:rsidP="008626FA">
      <w:pPr>
        <w:spacing w:line="360" w:lineRule="auto"/>
        <w:ind w:left="1200" w:hangingChars="500" w:hanging="120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PUE@T-L, PUE@I-L and PUE@T/I-L (n = 3).</w:t>
      </w:r>
    </w:p>
    <w:p w14:paraId="0BEE9247" w14:textId="148291BD" w:rsidR="00B57A22" w:rsidRPr="001D1239" w:rsidRDefault="00B57A22" w:rsidP="00B21D66">
      <w:pPr>
        <w:spacing w:line="360" w:lineRule="auto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027FB4CE" w14:textId="57ED8563" w:rsidR="00B57A22" w:rsidRPr="001D1239" w:rsidRDefault="00B57A22" w:rsidP="00B57A22">
      <w:pPr>
        <w:spacing w:line="360" w:lineRule="auto"/>
        <w:ind w:left="1084" w:hangingChars="450" w:hanging="1084"/>
        <w:jc w:val="center"/>
        <w:rPr>
          <w:rStyle w:val="captionlabel"/>
          <w:rFonts w:ascii="Times New Roman" w:hAnsi="Times New Roman"/>
          <w:b/>
          <w:bCs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drawing>
          <wp:inline distT="0" distB="0" distL="0" distR="0" wp14:anchorId="01BE6FF6" wp14:editId="59FEEC23">
            <wp:extent cx="5161739" cy="3071812"/>
            <wp:effectExtent l="0" t="0" r="1270" b="0"/>
            <wp:docPr id="18430973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85" cy="30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4775E" w14:textId="77777777" w:rsidR="008626FA" w:rsidRPr="001D1239" w:rsidRDefault="000438EA" w:rsidP="00F1799E">
      <w:pPr>
        <w:spacing w:line="360" w:lineRule="auto"/>
        <w:ind w:left="1084" w:hangingChars="450" w:hanging="1084"/>
        <w:rPr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 xml:space="preserve">Figure S5. </w:t>
      </w:r>
      <w:r w:rsidRPr="001D1239">
        <w:rPr>
          <w:rFonts w:ascii="Times New Roman" w:hAnsi="Times New Roman"/>
          <w:color w:val="000000"/>
          <w:sz w:val="24"/>
        </w:rPr>
        <w:t xml:space="preserve">Cellular uptake behavior of free C6, C6@L, C6@I-L, C6@T-L and </w:t>
      </w:r>
    </w:p>
    <w:p w14:paraId="1631D83A" w14:textId="5D755C83" w:rsidR="00F1799E" w:rsidRPr="001D1239" w:rsidRDefault="000438EA" w:rsidP="00B57A22">
      <w:pPr>
        <w:spacing w:line="360" w:lineRule="auto"/>
        <w:ind w:left="1080" w:hangingChars="450" w:hanging="1080"/>
        <w:rPr>
          <w:rStyle w:val="captionlabel"/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C6@T/I-L after co-culture with normal H9c2 cells for 1 h and 4 h. Scale bar: 100 μm.</w:t>
      </w:r>
    </w:p>
    <w:p w14:paraId="496DA8B3" w14:textId="1C73F673" w:rsidR="00B57A22" w:rsidRPr="001D1239" w:rsidRDefault="00B57A22" w:rsidP="00C84D3C">
      <w:pPr>
        <w:spacing w:line="360" w:lineRule="auto"/>
        <w:ind w:left="1084" w:hangingChars="450" w:hanging="1084"/>
        <w:jc w:val="center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1C699775" w14:textId="023D5BDD" w:rsidR="00C36680" w:rsidRPr="001D1239" w:rsidRDefault="00C36680" w:rsidP="00797BFB">
      <w:pPr>
        <w:spacing w:line="360" w:lineRule="auto"/>
        <w:ind w:left="1084" w:hangingChars="450" w:hanging="1084"/>
        <w:jc w:val="center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465D620F" w14:textId="5A5832FC" w:rsidR="00CD4E4E" w:rsidRPr="001D1239" w:rsidRDefault="00CD4E4E" w:rsidP="00C36680">
      <w:pPr>
        <w:spacing w:line="360" w:lineRule="auto"/>
        <w:rPr>
          <w:rStyle w:val="captionlabel"/>
          <w:rFonts w:ascii="Times New Roman" w:hAnsi="Times New Roman"/>
          <w:b/>
          <w:bCs/>
          <w:color w:val="000000"/>
          <w:sz w:val="24"/>
        </w:rPr>
      </w:pPr>
      <w:r w:rsidRPr="001D1239">
        <w:rPr>
          <w:color w:val="000000"/>
        </w:rPr>
        <w:lastRenderedPageBreak/>
        <w:drawing>
          <wp:inline distT="0" distB="0" distL="0" distR="0" wp14:anchorId="04A8D8B3" wp14:editId="1C999F0C">
            <wp:extent cx="5274310" cy="175932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E10C" w14:textId="77777777" w:rsidR="008626FA" w:rsidRPr="001D1239" w:rsidRDefault="000438EA" w:rsidP="00C36680">
      <w:pPr>
        <w:spacing w:line="360" w:lineRule="auto"/>
        <w:rPr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 xml:space="preserve">Figure S6. </w:t>
      </w:r>
      <w:r w:rsidRPr="001D1239">
        <w:rPr>
          <w:rFonts w:ascii="Times New Roman" w:hAnsi="Times New Roman" w:hint="eastAsia"/>
          <w:color w:val="000000"/>
          <w:sz w:val="24"/>
        </w:rPr>
        <w:t xml:space="preserve">Intracellular fluorescence intensity of H/R-injured H9c2 cells incubated </w:t>
      </w:r>
    </w:p>
    <w:p w14:paraId="010630C7" w14:textId="77777777" w:rsidR="008626FA" w:rsidRPr="001D1239" w:rsidRDefault="000438EA" w:rsidP="008626FA">
      <w:pPr>
        <w:spacing w:line="360" w:lineRule="auto"/>
        <w:ind w:left="1080" w:hangingChars="450" w:hanging="108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 w:hint="eastAsia"/>
          <w:color w:val="000000"/>
          <w:sz w:val="24"/>
        </w:rPr>
        <w:t xml:space="preserve">with free C6, C6@L, C6@I-L, C6@T-L and C6@T/I-L was measured by flow </w:t>
      </w:r>
    </w:p>
    <w:p w14:paraId="6589E43C" w14:textId="7082400B" w:rsidR="000438EA" w:rsidRPr="001D1239" w:rsidRDefault="000438EA" w:rsidP="008626FA">
      <w:pPr>
        <w:spacing w:line="360" w:lineRule="auto"/>
        <w:ind w:left="1080" w:hangingChars="450" w:hanging="108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 w:hint="eastAsia"/>
          <w:color w:val="000000"/>
          <w:sz w:val="24"/>
        </w:rPr>
        <w:t>cytometry.</w:t>
      </w:r>
      <w:r w:rsidRPr="001D1239">
        <w:rPr>
          <w:rFonts w:ascii="Times New Roman" w:hAnsi="Times New Roman"/>
          <w:color w:val="000000"/>
          <w:sz w:val="24"/>
        </w:rPr>
        <w:t xml:space="preserve"> (**</w:t>
      </w:r>
      <w:r w:rsidRPr="001D1239">
        <w:rPr>
          <w:rFonts w:ascii="Times New Roman" w:hAnsi="Times New Roman"/>
          <w:i/>
          <w:iCs/>
          <w:color w:val="000000"/>
          <w:sz w:val="24"/>
        </w:rPr>
        <w:t>p</w:t>
      </w:r>
      <w:r w:rsidR="00A741D1" w:rsidRPr="001D1239">
        <w:rPr>
          <w:rFonts w:ascii="Times New Roman" w:hAnsi="Times New Roman"/>
          <w:color w:val="000000"/>
          <w:sz w:val="24"/>
        </w:rPr>
        <w:t xml:space="preserve"> &lt; 0.01</w:t>
      </w:r>
      <w:r w:rsidRPr="001D1239">
        <w:rPr>
          <w:rFonts w:ascii="Times New Roman" w:hAnsi="Times New Roman"/>
          <w:color w:val="000000"/>
          <w:sz w:val="24"/>
        </w:rPr>
        <w:t>).</w:t>
      </w:r>
    </w:p>
    <w:p w14:paraId="7605B680" w14:textId="77777777" w:rsidR="000438EA" w:rsidRPr="001D1239" w:rsidRDefault="000438EA" w:rsidP="000438EA">
      <w:pPr>
        <w:spacing w:line="360" w:lineRule="auto"/>
        <w:ind w:left="1084" w:hangingChars="450" w:hanging="1084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54373699" w14:textId="77777777" w:rsidR="00F1799E" w:rsidRPr="001D1239" w:rsidRDefault="00F1799E" w:rsidP="00F1799E">
      <w:pPr>
        <w:spacing w:line="360" w:lineRule="auto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46B5723D" w14:textId="4097B2B9" w:rsidR="00C84D3C" w:rsidRPr="001D1239" w:rsidRDefault="00C84D3C" w:rsidP="00CD4E4E">
      <w:pPr>
        <w:spacing w:line="360" w:lineRule="auto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7C712719" w14:textId="16B02A9E" w:rsidR="00CD4E4E" w:rsidRPr="001D1239" w:rsidRDefault="00CD4E4E" w:rsidP="00CD4E4E">
      <w:pPr>
        <w:spacing w:line="360" w:lineRule="auto"/>
        <w:ind w:left="945" w:hangingChars="450" w:hanging="945"/>
        <w:rPr>
          <w:rStyle w:val="captionlabel"/>
          <w:rFonts w:ascii="Times New Roman" w:hAnsi="Times New Roman"/>
          <w:b/>
          <w:bCs/>
          <w:color w:val="000000"/>
          <w:sz w:val="24"/>
        </w:rPr>
      </w:pPr>
      <w:r w:rsidRPr="001D1239">
        <w:rPr>
          <w:color w:val="000000"/>
        </w:rPr>
        <w:drawing>
          <wp:inline distT="0" distB="0" distL="0" distR="0" wp14:anchorId="641DA42A" wp14:editId="0D1A221E">
            <wp:extent cx="5274310" cy="174162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EE1D" w14:textId="77B9E497" w:rsidR="00F1799E" w:rsidRPr="001D1239" w:rsidRDefault="000438EA" w:rsidP="00CD4E4E">
      <w:pPr>
        <w:spacing w:line="360" w:lineRule="auto"/>
        <w:ind w:left="1084" w:hangingChars="450" w:hanging="1084"/>
        <w:rPr>
          <w:rStyle w:val="captionlabel"/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 xml:space="preserve">Figure S7. </w:t>
      </w:r>
      <w:r w:rsidRPr="001D1239">
        <w:rPr>
          <w:rFonts w:ascii="Times New Roman" w:hAnsi="Times New Roman"/>
          <w:color w:val="000000"/>
          <w:sz w:val="24"/>
        </w:rPr>
        <w:t>Intracellular fluorescence intensity was measured by flow cytometry after co-incubation of C6@T/I-L with H/R-injured H9c2 cells and normal H9c2 cells</w:t>
      </w:r>
      <w:r w:rsidRPr="001D1239">
        <w:rPr>
          <w:rFonts w:ascii="Times New Roman" w:hAnsi="Times New Roman" w:hint="eastAsia"/>
          <w:color w:val="000000"/>
          <w:sz w:val="24"/>
        </w:rPr>
        <w:t xml:space="preserve"> </w:t>
      </w:r>
      <w:r w:rsidRPr="001D1239">
        <w:rPr>
          <w:rFonts w:ascii="Times New Roman" w:hAnsi="Times New Roman"/>
          <w:color w:val="000000"/>
          <w:sz w:val="24"/>
        </w:rPr>
        <w:t>(**</w:t>
      </w:r>
      <w:r w:rsidRPr="001D1239">
        <w:rPr>
          <w:rFonts w:ascii="Times New Roman" w:hAnsi="Times New Roman"/>
          <w:i/>
          <w:iCs/>
          <w:color w:val="000000"/>
          <w:sz w:val="24"/>
        </w:rPr>
        <w:t>p</w:t>
      </w:r>
      <w:r w:rsidR="00A741D1" w:rsidRPr="001D1239">
        <w:rPr>
          <w:rFonts w:ascii="Times New Roman" w:hAnsi="Times New Roman"/>
          <w:color w:val="000000"/>
          <w:sz w:val="24"/>
        </w:rPr>
        <w:t xml:space="preserve"> &lt; 0.01</w:t>
      </w:r>
      <w:r w:rsidRPr="001D1239">
        <w:rPr>
          <w:rFonts w:ascii="Times New Roman" w:hAnsi="Times New Roman"/>
          <w:color w:val="000000"/>
          <w:sz w:val="24"/>
        </w:rPr>
        <w:t>).</w:t>
      </w:r>
    </w:p>
    <w:p w14:paraId="30AA630B" w14:textId="6DC762E3" w:rsidR="00C84D3C" w:rsidRPr="001D1239" w:rsidRDefault="00C84D3C" w:rsidP="00C84D3C">
      <w:pPr>
        <w:spacing w:line="360" w:lineRule="auto"/>
        <w:ind w:left="1084" w:hangingChars="450" w:hanging="1084"/>
        <w:jc w:val="center"/>
        <w:rPr>
          <w:rStyle w:val="captionlabel"/>
          <w:rFonts w:ascii="Times New Roman" w:hAnsi="Times New Roman"/>
          <w:b/>
          <w:bCs/>
          <w:color w:val="000000"/>
          <w:sz w:val="24"/>
        </w:rPr>
      </w:pPr>
    </w:p>
    <w:p w14:paraId="7E3C55BD" w14:textId="152982CC" w:rsidR="005838BB" w:rsidRPr="001D1239" w:rsidRDefault="005838BB" w:rsidP="005838BB">
      <w:pPr>
        <w:spacing w:line="360" w:lineRule="auto"/>
        <w:ind w:left="945" w:hangingChars="450" w:hanging="945"/>
        <w:rPr>
          <w:rStyle w:val="captionlabel"/>
          <w:rFonts w:ascii="Times New Roman" w:hAnsi="Times New Roman"/>
          <w:b/>
          <w:bCs/>
          <w:color w:val="000000"/>
          <w:sz w:val="24"/>
        </w:rPr>
      </w:pPr>
      <w:r w:rsidRPr="001D1239">
        <w:rPr>
          <w:color w:val="000000"/>
        </w:rPr>
        <w:lastRenderedPageBreak/>
        <w:drawing>
          <wp:inline distT="0" distB="0" distL="0" distR="0" wp14:anchorId="5C5F2EE3" wp14:editId="2498C119">
            <wp:extent cx="4778829" cy="3828042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3717" cy="383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C227" w14:textId="77777777" w:rsidR="008626FA" w:rsidRPr="001D1239" w:rsidRDefault="000438EA" w:rsidP="003F5B76">
      <w:pPr>
        <w:spacing w:line="360" w:lineRule="auto"/>
        <w:ind w:left="1084" w:hangingChars="450" w:hanging="1084"/>
        <w:rPr>
          <w:rFonts w:ascii="Times New Roman" w:hAnsi="Times New Roman"/>
          <w:color w:val="000000"/>
          <w:sz w:val="24"/>
        </w:rPr>
      </w:pPr>
      <w:r w:rsidRPr="001D1239">
        <w:rPr>
          <w:rStyle w:val="captionlabel"/>
          <w:rFonts w:ascii="Times New Roman" w:hAnsi="Times New Roman"/>
          <w:b/>
          <w:bCs/>
          <w:color w:val="000000"/>
          <w:sz w:val="24"/>
        </w:rPr>
        <w:t xml:space="preserve">Figure S8. </w:t>
      </w:r>
      <w:r w:rsidRPr="001D1239">
        <w:rPr>
          <w:rFonts w:ascii="Times New Roman" w:hAnsi="Times New Roman"/>
          <w:color w:val="000000"/>
          <w:sz w:val="24"/>
        </w:rPr>
        <w:t xml:space="preserve">The protective effects of </w:t>
      </w:r>
      <w:r w:rsidRPr="001D1239">
        <w:rPr>
          <w:rFonts w:ascii="Times New Roman" w:hAnsi="Times New Roman" w:hint="eastAsia"/>
          <w:color w:val="000000"/>
          <w:sz w:val="24"/>
        </w:rPr>
        <w:t>PUE@T/I-L</w:t>
      </w:r>
      <w:r w:rsidRPr="001D1239">
        <w:rPr>
          <w:rFonts w:ascii="Times New Roman" w:hAnsi="Times New Roman"/>
          <w:color w:val="000000"/>
          <w:sz w:val="24"/>
        </w:rPr>
        <w:t xml:space="preserve"> on H/R-injured H9c2 cells.</w:t>
      </w:r>
      <w:r w:rsidR="008626FA" w:rsidRPr="001D1239">
        <w:rPr>
          <w:rFonts w:ascii="Times New Roman" w:hAnsi="Times New Roman" w:hint="eastAsia"/>
          <w:color w:val="000000"/>
          <w:sz w:val="24"/>
        </w:rPr>
        <w:t xml:space="preserve"> </w:t>
      </w:r>
      <w:r w:rsidRPr="001D1239">
        <w:rPr>
          <w:rFonts w:ascii="Times New Roman" w:hAnsi="Times New Roman"/>
          <w:color w:val="000000"/>
          <w:sz w:val="24"/>
        </w:rPr>
        <w:t xml:space="preserve"> (a) </w:t>
      </w:r>
    </w:p>
    <w:p w14:paraId="05611010" w14:textId="77777777" w:rsidR="00F1799E" w:rsidRPr="001D1239" w:rsidRDefault="000438EA" w:rsidP="008626FA">
      <w:pPr>
        <w:spacing w:line="360" w:lineRule="auto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Calcien AM fluorescence intensity measured in H/R-injured H9c2 cells by flow cytometry. (b) ROS level was measured by DCFH-DA. (c) SOD level. (d)</w:t>
      </w:r>
      <w:r w:rsidRPr="001D1239">
        <w:rPr>
          <w:rFonts w:ascii="Times New Roman" w:hAnsi="Times New Roman" w:hint="eastAsia"/>
          <w:color w:val="000000"/>
          <w:sz w:val="24"/>
        </w:rPr>
        <w:t xml:space="preserve"> cell viability</w:t>
      </w:r>
      <w:r w:rsidRPr="001D1239">
        <w:rPr>
          <w:rFonts w:ascii="Times New Roman" w:hAnsi="Times New Roman"/>
          <w:color w:val="000000"/>
          <w:sz w:val="24"/>
        </w:rPr>
        <w:t>. (**</w:t>
      </w:r>
      <w:r w:rsidRPr="001D1239">
        <w:rPr>
          <w:rFonts w:ascii="Times New Roman" w:hAnsi="Times New Roman"/>
          <w:i/>
          <w:color w:val="000000"/>
          <w:sz w:val="24"/>
        </w:rPr>
        <w:t>p</w:t>
      </w:r>
      <w:r w:rsidRPr="001D1239">
        <w:rPr>
          <w:rFonts w:ascii="Times New Roman" w:hAnsi="Times New Roman"/>
          <w:color w:val="000000"/>
          <w:sz w:val="24"/>
        </w:rPr>
        <w:t xml:space="preserve"> &lt; 0.01, *</w:t>
      </w:r>
      <w:r w:rsidRPr="001D1239">
        <w:rPr>
          <w:rFonts w:ascii="Times New Roman" w:hAnsi="Times New Roman"/>
          <w:i/>
          <w:color w:val="000000"/>
          <w:sz w:val="24"/>
        </w:rPr>
        <w:t>p</w:t>
      </w:r>
      <w:r w:rsidRPr="001D1239">
        <w:rPr>
          <w:rFonts w:ascii="Times New Roman" w:hAnsi="Times New Roman"/>
          <w:color w:val="000000"/>
          <w:sz w:val="24"/>
        </w:rPr>
        <w:t xml:space="preserve"> &lt; 0.05).</w:t>
      </w:r>
    </w:p>
    <w:p w14:paraId="77B1EAA2" w14:textId="12E01905" w:rsidR="00F1799E" w:rsidRPr="001D1239" w:rsidRDefault="00F1799E" w:rsidP="00F1799E">
      <w:pPr>
        <w:spacing w:line="360" w:lineRule="auto"/>
        <w:ind w:left="1084" w:hangingChars="450" w:hanging="1084"/>
        <w:rPr>
          <w:rFonts w:ascii="Times New Roman" w:hAnsi="Times New Roman"/>
          <w:b/>
          <w:bCs/>
          <w:color w:val="000000"/>
          <w:sz w:val="24"/>
        </w:rPr>
      </w:pPr>
    </w:p>
    <w:p w14:paraId="4BE2ECEB" w14:textId="372EFD04" w:rsidR="00C84D3C" w:rsidRPr="001D1239" w:rsidRDefault="00C84D3C" w:rsidP="000F7F2E">
      <w:pPr>
        <w:spacing w:line="360" w:lineRule="auto"/>
        <w:ind w:left="1084" w:hangingChars="450" w:hanging="1084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1D1239">
        <w:rPr>
          <w:rFonts w:ascii="Times New Roman" w:hAnsi="Times New Roman"/>
          <w:b/>
          <w:bCs/>
          <w:color w:val="000000"/>
          <w:sz w:val="24"/>
        </w:rPr>
        <w:lastRenderedPageBreak/>
        <w:drawing>
          <wp:inline distT="0" distB="0" distL="0" distR="0" wp14:anchorId="1321DBB0" wp14:editId="03A91A6F">
            <wp:extent cx="5105400" cy="3773423"/>
            <wp:effectExtent l="0" t="0" r="0" b="0"/>
            <wp:docPr id="45755859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21" cy="37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4B39" w14:textId="77777777" w:rsidR="008626FA" w:rsidRPr="001D1239" w:rsidRDefault="000438EA" w:rsidP="008626FA">
      <w:pPr>
        <w:spacing w:line="360" w:lineRule="auto"/>
        <w:ind w:left="1205" w:hangingChars="500" w:hanging="1205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 w:hint="eastAsia"/>
          <w:b/>
          <w:bCs/>
          <w:color w:val="000000"/>
          <w:sz w:val="24"/>
        </w:rPr>
        <w:t>Fi</w:t>
      </w:r>
      <w:r w:rsidRPr="001D1239">
        <w:rPr>
          <w:rFonts w:ascii="Times New Roman" w:hAnsi="Times New Roman"/>
          <w:b/>
          <w:bCs/>
          <w:color w:val="000000"/>
          <w:sz w:val="24"/>
        </w:rPr>
        <w:t xml:space="preserve">gure S9. </w:t>
      </w:r>
      <w:r w:rsidRPr="001D1239">
        <w:rPr>
          <w:rFonts w:ascii="Times New Roman" w:hAnsi="Times New Roman"/>
          <w:color w:val="000000"/>
          <w:sz w:val="24"/>
        </w:rPr>
        <w:t>The effect of PUE@T/I-L on apoptosis of H/R-injured H9c2 cells.</w:t>
      </w:r>
      <w:r w:rsidRPr="001D1239">
        <w:rPr>
          <w:rFonts w:ascii="Times New Roman" w:hAnsi="Times New Roman" w:hint="eastAsia"/>
          <w:color w:val="000000"/>
          <w:sz w:val="24"/>
        </w:rPr>
        <w:t xml:space="preserve"> </w:t>
      </w:r>
      <w:r w:rsidR="008626FA" w:rsidRPr="001D1239">
        <w:rPr>
          <w:rFonts w:ascii="Times New Roman" w:hAnsi="Times New Roman"/>
          <w:color w:val="000000"/>
          <w:sz w:val="24"/>
        </w:rPr>
        <w:t>(a)</w:t>
      </w:r>
    </w:p>
    <w:p w14:paraId="6AE9CC01" w14:textId="77777777" w:rsidR="008626FA" w:rsidRPr="001D1239" w:rsidRDefault="000438EA" w:rsidP="008626FA">
      <w:pPr>
        <w:spacing w:line="360" w:lineRule="auto"/>
        <w:ind w:left="1200" w:hangingChars="500" w:hanging="120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 xml:space="preserve">Representative Hoechst-stained micrographs. Plain blue for non-apoptotic cells and </w:t>
      </w:r>
    </w:p>
    <w:p w14:paraId="26443DC6" w14:textId="77777777" w:rsidR="008626FA" w:rsidRPr="001D1239" w:rsidRDefault="000438EA" w:rsidP="008626FA">
      <w:pPr>
        <w:spacing w:line="360" w:lineRule="auto"/>
        <w:ind w:left="1200" w:hangingChars="500" w:hanging="120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bright blue for apoptotic cells. Arrowheads indicate the nuclei of apoptotic cells.</w:t>
      </w:r>
      <w:r w:rsidRPr="001D1239">
        <w:rPr>
          <w:rFonts w:ascii="Times New Roman" w:hAnsi="Times New Roman" w:hint="eastAsia"/>
          <w:color w:val="000000"/>
          <w:sz w:val="24"/>
        </w:rPr>
        <w:t xml:space="preserve"> </w:t>
      </w:r>
      <w:r w:rsidRPr="001D1239">
        <w:rPr>
          <w:rFonts w:ascii="Times New Roman" w:hAnsi="Times New Roman"/>
          <w:color w:val="000000"/>
          <w:sz w:val="24"/>
        </w:rPr>
        <w:t xml:space="preserve">(b) </w:t>
      </w:r>
    </w:p>
    <w:p w14:paraId="2E392D59" w14:textId="0B418018" w:rsidR="003F5B76" w:rsidRPr="001D1239" w:rsidRDefault="000438EA" w:rsidP="00C84D3C">
      <w:pPr>
        <w:spacing w:line="360" w:lineRule="auto"/>
        <w:ind w:left="1200" w:hangingChars="500" w:hanging="120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Statistical analysis of apoptotic cells in different groups. (**</w:t>
      </w:r>
      <w:r w:rsidRPr="001D1239">
        <w:rPr>
          <w:rFonts w:ascii="Times New Roman" w:hAnsi="Times New Roman"/>
          <w:i/>
          <w:color w:val="000000"/>
          <w:sz w:val="24"/>
        </w:rPr>
        <w:t>p</w:t>
      </w:r>
      <w:r w:rsidRPr="001D1239">
        <w:rPr>
          <w:rFonts w:ascii="Times New Roman" w:hAnsi="Times New Roman"/>
          <w:color w:val="000000"/>
          <w:sz w:val="24"/>
        </w:rPr>
        <w:t xml:space="preserve"> &lt; 0.01, *</w:t>
      </w:r>
      <w:r w:rsidRPr="001D1239">
        <w:rPr>
          <w:rFonts w:ascii="Times New Roman" w:hAnsi="Times New Roman"/>
          <w:i/>
          <w:color w:val="000000"/>
          <w:sz w:val="24"/>
        </w:rPr>
        <w:t>p</w:t>
      </w:r>
      <w:r w:rsidRPr="001D1239">
        <w:rPr>
          <w:rFonts w:ascii="Times New Roman" w:hAnsi="Times New Roman"/>
          <w:color w:val="000000"/>
          <w:sz w:val="24"/>
        </w:rPr>
        <w:t xml:space="preserve"> &lt; 0.05).  </w:t>
      </w:r>
    </w:p>
    <w:p w14:paraId="430DCC84" w14:textId="77777777" w:rsidR="00EC4AB0" w:rsidRPr="001D1239" w:rsidRDefault="00EC4AB0" w:rsidP="00C84D3C">
      <w:pPr>
        <w:spacing w:line="360" w:lineRule="auto"/>
        <w:ind w:left="1200" w:hangingChars="500" w:hanging="1200"/>
        <w:rPr>
          <w:rFonts w:ascii="Times New Roman" w:hAnsi="Times New Roman"/>
          <w:color w:val="000000"/>
          <w:sz w:val="24"/>
        </w:rPr>
      </w:pPr>
    </w:p>
    <w:p w14:paraId="19B62C62" w14:textId="221611E4" w:rsidR="00C84D3C" w:rsidRPr="001D1239" w:rsidRDefault="00C84D3C" w:rsidP="00CC68AE">
      <w:pPr>
        <w:spacing w:line="360" w:lineRule="auto"/>
        <w:ind w:left="1084" w:hangingChars="450" w:hanging="1084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1D1239">
        <w:rPr>
          <w:rFonts w:ascii="Times New Roman" w:hAnsi="Times New Roman"/>
          <w:b/>
          <w:bCs/>
          <w:color w:val="000000"/>
          <w:sz w:val="24"/>
        </w:rPr>
        <w:drawing>
          <wp:inline distT="0" distB="0" distL="0" distR="0" wp14:anchorId="4DA390EA" wp14:editId="12D117D8">
            <wp:extent cx="5120757" cy="2371725"/>
            <wp:effectExtent l="0" t="0" r="3810" b="0"/>
            <wp:docPr id="2556056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18" cy="23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76A9" w14:textId="77777777" w:rsidR="008626FA" w:rsidRPr="001D1239" w:rsidRDefault="000438EA" w:rsidP="00770768">
      <w:pPr>
        <w:spacing w:line="360" w:lineRule="auto"/>
        <w:ind w:left="1084" w:hangingChars="450" w:hanging="1084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 w:hint="eastAsia"/>
          <w:b/>
          <w:bCs/>
          <w:color w:val="000000"/>
          <w:sz w:val="24"/>
        </w:rPr>
        <w:t>Fi</w:t>
      </w:r>
      <w:r w:rsidRPr="001D1239">
        <w:rPr>
          <w:rFonts w:ascii="Times New Roman" w:hAnsi="Times New Roman"/>
          <w:b/>
          <w:bCs/>
          <w:color w:val="000000"/>
          <w:sz w:val="24"/>
        </w:rPr>
        <w:t xml:space="preserve">gure S10. </w:t>
      </w:r>
      <w:r w:rsidRPr="001D1239">
        <w:rPr>
          <w:rFonts w:ascii="Times New Roman" w:hAnsi="Times New Roman"/>
          <w:color w:val="000000"/>
          <w:sz w:val="24"/>
        </w:rPr>
        <w:t xml:space="preserve">EPR effect of liposomes in ischemic myocardial sites (a). TPP cations </w:t>
      </w:r>
    </w:p>
    <w:p w14:paraId="680E2E99" w14:textId="77777777" w:rsidR="000438EA" w:rsidRPr="001D1239" w:rsidRDefault="000438EA" w:rsidP="008626FA">
      <w:pPr>
        <w:spacing w:line="360" w:lineRule="auto"/>
        <w:ind w:left="1080" w:hangingChars="450" w:hanging="1080"/>
        <w:rPr>
          <w:rFonts w:ascii="Times New Roman" w:hAnsi="Times New Roman"/>
          <w:color w:val="000000"/>
          <w:sz w:val="24"/>
        </w:rPr>
      </w:pPr>
      <w:r w:rsidRPr="001D1239">
        <w:rPr>
          <w:rFonts w:ascii="Times New Roman" w:hAnsi="Times New Roman"/>
          <w:color w:val="000000"/>
          <w:sz w:val="24"/>
        </w:rPr>
        <w:t>promote drug carrier targeting into mitochondria (b).</w:t>
      </w:r>
    </w:p>
    <w:sectPr w:rsidR="000438EA" w:rsidRPr="001D1239">
      <w:footerReference w:type="even" r:id="rId17"/>
      <w:footerReference w:type="defaul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59791C" w14:textId="77777777" w:rsidR="00F044A8" w:rsidRDefault="00F044A8" w:rsidP="00341F58">
      <w:r>
        <w:separator/>
      </w:r>
    </w:p>
  </w:endnote>
  <w:endnote w:type="continuationSeparator" w:id="0">
    <w:p w14:paraId="76725E96" w14:textId="77777777" w:rsidR="00F044A8" w:rsidRDefault="00F044A8" w:rsidP="0034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AdvP101DC5">
    <w:altName w:val="Segoe Print"/>
    <w:charset w:val="00"/>
    <w:family w:val="auto"/>
    <w:pitch w:val="default"/>
    <w:sig w:usb0="00000000" w:usb1="00000000" w:usb2="00000000" w:usb3="00000000" w:csb0="00040001" w:csb1="00000000"/>
  </w:font>
  <w:font w:name="MyriadPro-Regular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dvOT01861455.I+20">
    <w:altName w:val="Cambria"/>
    <w:charset w:val="00"/>
    <w:family w:val="roman"/>
    <w:pitch w:val="default"/>
    <w:sig w:usb0="00000000" w:usb1="00000000" w:usb2="00000000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dvOT3b30f6db.B">
    <w:altName w:val="Cambria"/>
    <w:charset w:val="00"/>
    <w:family w:val="roman"/>
    <w:pitch w:val="default"/>
    <w:sig w:usb0="00000000" w:usb1="00000000" w:usb2="00000000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4E7E2" w14:textId="796380E9" w:rsidR="00A3307C" w:rsidRDefault="00A330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5557BD" wp14:editId="5446385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8355" cy="325755"/>
              <wp:effectExtent l="0" t="0" r="17145" b="0"/>
              <wp:wrapNone/>
              <wp:docPr id="201192821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2BD600" w14:textId="00BDBBA9" w:rsidR="00A3307C" w:rsidRPr="00A3307C" w:rsidRDefault="00A3307C" w:rsidP="00A3307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3307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5557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65pt;height:25.6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" filled="f" stroked="f">
              <v:textbox style="mso-fit-shape-to-text:t" inset="20pt,0,0,15pt">
                <w:txbxContent>
                  <w:p w14:paraId="642BD600" w14:textId="00BDBBA9" w:rsidR="00A3307C" w:rsidRPr="00A3307C" w:rsidRDefault="00A3307C" w:rsidP="00A3307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3307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FE20D" w14:textId="01DFDA5A" w:rsidR="00A3307C" w:rsidRDefault="00A330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3C8525D" wp14:editId="36070CF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8355" cy="325755"/>
              <wp:effectExtent l="0" t="0" r="17145" b="0"/>
              <wp:wrapNone/>
              <wp:docPr id="33197036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9987F6" w14:textId="0C01C103" w:rsidR="00A3307C" w:rsidRPr="00A3307C" w:rsidRDefault="00A3307C" w:rsidP="00A3307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3307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C8525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65pt;height:25.6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" filled="f" stroked="f">
              <v:textbox style="mso-fit-shape-to-text:t" inset="20pt,0,0,15pt">
                <w:txbxContent>
                  <w:p w14:paraId="3B9987F6" w14:textId="0C01C103" w:rsidR="00A3307C" w:rsidRPr="00A3307C" w:rsidRDefault="00A3307C" w:rsidP="00A3307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3307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169DC" w14:textId="22E67942" w:rsidR="00A3307C" w:rsidRDefault="00A330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C6A660" wp14:editId="1FAB4E8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8355" cy="325755"/>
              <wp:effectExtent l="0" t="0" r="17145" b="0"/>
              <wp:wrapNone/>
              <wp:docPr id="196398687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890007" w14:textId="20D2BB13" w:rsidR="00A3307C" w:rsidRPr="00A3307C" w:rsidRDefault="00A3307C" w:rsidP="00A3307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3307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C6A6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65pt;height:25.6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" filled="f" stroked="f">
              <v:textbox style="mso-fit-shape-to-text:t" inset="20pt,0,0,15pt">
                <w:txbxContent>
                  <w:p w14:paraId="16890007" w14:textId="20D2BB13" w:rsidR="00A3307C" w:rsidRPr="00A3307C" w:rsidRDefault="00A3307C" w:rsidP="00A3307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3307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86865" w14:textId="77777777" w:rsidR="00F044A8" w:rsidRDefault="00F044A8" w:rsidP="00341F58">
      <w:r>
        <w:separator/>
      </w:r>
    </w:p>
  </w:footnote>
  <w:footnote w:type="continuationSeparator" w:id="0">
    <w:p w14:paraId="6030F71D" w14:textId="77777777" w:rsidR="00F044A8" w:rsidRDefault="00F044A8" w:rsidP="00341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EyNje2NDM0tDSzsLRU0lEKTi0uzszPAykwrgUA9PfWICwAAAA="/>
  </w:docVars>
  <w:rsids>
    <w:rsidRoot w:val="0096445B"/>
    <w:rsid w:val="00031C77"/>
    <w:rsid w:val="0004073C"/>
    <w:rsid w:val="000438EA"/>
    <w:rsid w:val="0004512F"/>
    <w:rsid w:val="000B2AE3"/>
    <w:rsid w:val="000C46C5"/>
    <w:rsid w:val="000D58D8"/>
    <w:rsid w:val="000F7F2E"/>
    <w:rsid w:val="001C244E"/>
    <w:rsid w:val="001D1239"/>
    <w:rsid w:val="001D2D14"/>
    <w:rsid w:val="001D4B94"/>
    <w:rsid w:val="001D6FF0"/>
    <w:rsid w:val="001E17A5"/>
    <w:rsid w:val="002A7E76"/>
    <w:rsid w:val="002C7017"/>
    <w:rsid w:val="00327658"/>
    <w:rsid w:val="00341F58"/>
    <w:rsid w:val="003F5B76"/>
    <w:rsid w:val="0047504C"/>
    <w:rsid w:val="00477B64"/>
    <w:rsid w:val="00531A69"/>
    <w:rsid w:val="00544562"/>
    <w:rsid w:val="005838BB"/>
    <w:rsid w:val="00591808"/>
    <w:rsid w:val="005C4931"/>
    <w:rsid w:val="005D49F7"/>
    <w:rsid w:val="00612C75"/>
    <w:rsid w:val="00621973"/>
    <w:rsid w:val="0066554B"/>
    <w:rsid w:val="00683B55"/>
    <w:rsid w:val="006C6480"/>
    <w:rsid w:val="006D713C"/>
    <w:rsid w:val="00745C26"/>
    <w:rsid w:val="00751685"/>
    <w:rsid w:val="00770768"/>
    <w:rsid w:val="007746BE"/>
    <w:rsid w:val="007857E7"/>
    <w:rsid w:val="00797BFB"/>
    <w:rsid w:val="007A00AC"/>
    <w:rsid w:val="007C14F8"/>
    <w:rsid w:val="008345C4"/>
    <w:rsid w:val="0084245A"/>
    <w:rsid w:val="0084338B"/>
    <w:rsid w:val="008626FA"/>
    <w:rsid w:val="00874DF7"/>
    <w:rsid w:val="008B74C0"/>
    <w:rsid w:val="009573AE"/>
    <w:rsid w:val="0096445B"/>
    <w:rsid w:val="00983B16"/>
    <w:rsid w:val="00A3307C"/>
    <w:rsid w:val="00A6241D"/>
    <w:rsid w:val="00A741D1"/>
    <w:rsid w:val="00AD5EAB"/>
    <w:rsid w:val="00AF3D8B"/>
    <w:rsid w:val="00B21D66"/>
    <w:rsid w:val="00B56423"/>
    <w:rsid w:val="00B57A22"/>
    <w:rsid w:val="00BC3605"/>
    <w:rsid w:val="00C36680"/>
    <w:rsid w:val="00C84D3C"/>
    <w:rsid w:val="00C85AFD"/>
    <w:rsid w:val="00CB5C64"/>
    <w:rsid w:val="00CC6308"/>
    <w:rsid w:val="00CC68AE"/>
    <w:rsid w:val="00CD06E9"/>
    <w:rsid w:val="00CD4E4E"/>
    <w:rsid w:val="00CF4C24"/>
    <w:rsid w:val="00D42D79"/>
    <w:rsid w:val="00DC3F21"/>
    <w:rsid w:val="00DD2EA7"/>
    <w:rsid w:val="00DE6EDE"/>
    <w:rsid w:val="00DF5161"/>
    <w:rsid w:val="00EB30CD"/>
    <w:rsid w:val="00EC4AB0"/>
    <w:rsid w:val="00EF0219"/>
    <w:rsid w:val="00F044A8"/>
    <w:rsid w:val="00F1799E"/>
    <w:rsid w:val="00FD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5F12F9"/>
  <w15:docId w15:val="{C9E45AA6-EDE9-42DF-A88C-1E02E0380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AFD"/>
    <w:pPr>
      <w:widowControl w:val="0"/>
      <w:jc w:val="both"/>
    </w:pPr>
    <w:rPr>
      <w:rFonts w:ascii="Calibri" w:eastAsia="SimSu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F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1F5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1F5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1F58"/>
    <w:rPr>
      <w:sz w:val="18"/>
      <w:szCs w:val="18"/>
    </w:rPr>
  </w:style>
  <w:style w:type="character" w:customStyle="1" w:styleId="15">
    <w:name w:val="15"/>
    <w:basedOn w:val="DefaultParagraphFont"/>
    <w:qFormat/>
    <w:rsid w:val="00341F58"/>
    <w:rPr>
      <w:rFonts w:ascii="TimesNewRomanPS-BoldMT" w:hAnsi="TimesNewRomanPS-BoldMT" w:hint="default"/>
      <w:b/>
      <w:bCs/>
      <w:color w:val="000000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9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9F7"/>
    <w:rPr>
      <w:rFonts w:ascii="Calibri" w:eastAsia="SimSun" w:hAnsi="Calibri" w:cs="Times New Roman"/>
      <w:sz w:val="18"/>
      <w:szCs w:val="18"/>
    </w:rPr>
  </w:style>
  <w:style w:type="character" w:customStyle="1" w:styleId="captionlabel">
    <w:name w:val="captionlabel"/>
    <w:qFormat/>
    <w:rsid w:val="000438EA"/>
  </w:style>
  <w:style w:type="table" w:styleId="TableGrid">
    <w:name w:val="Table Grid"/>
    <w:basedOn w:val="TableNormal"/>
    <w:uiPriority w:val="39"/>
    <w:qFormat/>
    <w:rsid w:val="00BC3605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330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30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307C"/>
    <w:rPr>
      <w:rFonts w:ascii="Calibri" w:eastAsia="SimSu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30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307C"/>
    <w:rPr>
      <w:rFonts w:ascii="Calibri" w:eastAsia="SimSun" w:hAnsi="Calibri" w:cs="Times New Roman"/>
      <w:b/>
      <w:bCs/>
      <w:sz w:val="20"/>
      <w:szCs w:val="20"/>
    </w:rPr>
  </w:style>
  <w:style w:type="character" w:customStyle="1" w:styleId="fontstyle01">
    <w:name w:val="fontstyle01"/>
    <w:qFormat/>
    <w:rsid w:val="00EF0219"/>
    <w:rPr>
      <w:rFonts w:ascii="AdvP101DC5" w:eastAsia="AdvP101DC5" w:hAnsi="AdvP101DC5" w:cs="AdvP101DC5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13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D78F2-F921-4C63-BBF7-79D598B49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1328</Words>
  <Characters>7573</Characters>
  <Application>Microsoft Office Word</Application>
  <DocSecurity>0</DocSecurity>
  <Lines>63</Lines>
  <Paragraphs>17</Paragraphs>
  <ScaleCrop>false</ScaleCrop>
  <Company>微软中国</Company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Khanapur, Soumya</cp:lastModifiedBy>
  <cp:revision>2</cp:revision>
  <cp:lastPrinted>2024-06-30T16:56:00Z</cp:lastPrinted>
  <dcterms:created xsi:type="dcterms:W3CDTF">2024-07-14T21:47:00Z</dcterms:created>
  <dcterms:modified xsi:type="dcterms:W3CDTF">2024-07-14T21:47:00Z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75100fba,77eb9695,13c9773e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2024-07-10T18:47:47Z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c3ee05d4-72fa-41d0-9782-f782aa005512</vt:lpwstr>
  </property>
  <property fmtid="{D5CDD505-2E9C-101B-9397-08002B2CF9AE}" pid="11" name="MSIP_Label_2bbab825-a111-45e4-86a1-18cee0005896_ContentBits">
    <vt:lpwstr>2</vt:lpwstr>
  </property>
</Properties>
</file>