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Table 1 </w:t>
      </w:r>
      <w:r>
        <w:rPr>
          <w:rFonts w:ascii="Arial" w:hAnsi="Arial" w:cs="Arial"/>
          <w:sz w:val="20"/>
          <w:szCs w:val="20"/>
        </w:rPr>
        <w:t>The computing method of inflammation  indexes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 w:ascii="Arial" w:hAnsi="Arial" w:cs="Arial"/>
              </w:rPr>
              <w:t>Variables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 w:ascii="Arial" w:hAnsi="Arial" w:cs="Arial"/>
              </w:rPr>
              <w:t>formula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Inflammation indexes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Platelet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 × neutrophil count(10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/L)/lymphocyte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SIRI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Neutrophil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 × monocyte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/L)/lymphocyte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Neutrophil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/L)/lymphocyte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MLR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Monocyte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/L)/lymphocyte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PLR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Platelet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/L)/lymphocyte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dNLR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Neutrophils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/L)/(leukocyte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/L)‐neutrophil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NHR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Neutrophil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/L)/high density lipoprotein (mmol/L)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MHR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Monocyte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/L)/high density lipoprotein (mmol/L)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PHR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Platelet count (10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^9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/L)/high density lipoprotein (mmol/L)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C-reaction protein(mg/L) / serum albumin (g/L)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CPR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C-reaction protein (mg/L) / serum pre-albumin (mg/L)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CLR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C-reaction protein(mg/L)/ lymphocyte count (10^9/L)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ELR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Eosinophil count (10^9/L)/ lymphocyte count (10^9/L)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EMR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Eosinophil count (10^9/L)/ monocyte count (10^9/L)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utoSpaceDE w:val="0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ENR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Eosinophil count (10^9/L)/ neutrophil count(10^9/L)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Abbreviation:</w:t>
      </w:r>
      <w:r>
        <w:rPr>
          <w:rFonts w:ascii="Arial" w:hAnsi="Arial" w:cs="Arial"/>
          <w:sz w:val="20"/>
          <w:szCs w:val="20"/>
        </w:rPr>
        <w:t xml:space="preserve"> SII, Systemic Inflammation Index; SIRI, Systemic Inflammatory Response Index; NLR, Neutrophil count to lymphocyte count ratio; MLR, Monocyte count to lymphocyte count ratio; PLR, Platelet count to lymphocyte count ratio; dNLR, derived neutrophil-to-lymphocyte ratio; NHR, Neutrophil count to high density lipoprotein ratio; MHR, Monocyte count to high density lipoprotein ratio; PHR, Platelet count to high density lipoprotein ratio;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CAR, C-reacti</w:t>
      </w:r>
      <w:r>
        <w:rPr>
          <w:rFonts w:hint="eastAsia" w:ascii="Arial" w:hAnsi="Arial" w:cs="Arial"/>
          <w:sz w:val="20"/>
          <w:szCs w:val="20"/>
          <w:lang w:val="en-US" w:eastAsia="zh-CN"/>
        </w:rPr>
        <w:t>ve</w:t>
      </w:r>
      <w:r>
        <w:rPr>
          <w:rFonts w:ascii="Arial" w:hAnsi="Arial" w:cs="Arial"/>
          <w:sz w:val="20"/>
          <w:szCs w:val="20"/>
        </w:rPr>
        <w:t xml:space="preserve"> protein to serum albumin ratio; CPR, C-reacti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ve</w:t>
      </w:r>
      <w:r>
        <w:rPr>
          <w:rFonts w:ascii="Arial" w:hAnsi="Arial" w:cs="Arial"/>
          <w:sz w:val="20"/>
          <w:szCs w:val="20"/>
        </w:rPr>
        <w:t xml:space="preserve"> protein to serum pre-albumin ratio; CLR, C-reacti</w:t>
      </w:r>
      <w:r>
        <w:rPr>
          <w:rFonts w:hint="eastAsia" w:ascii="Arial" w:hAnsi="Arial" w:cs="Arial"/>
          <w:sz w:val="20"/>
          <w:szCs w:val="20"/>
          <w:lang w:val="en-US" w:eastAsia="zh-CN"/>
        </w:rPr>
        <w:t>ve</w:t>
      </w:r>
      <w:r>
        <w:rPr>
          <w:rFonts w:ascii="Arial" w:hAnsi="Arial" w:cs="Arial"/>
          <w:sz w:val="20"/>
          <w:szCs w:val="20"/>
        </w:rPr>
        <w:t xml:space="preserve"> protein to lymphocyte count; ELR, Eosinophil count to lymphocyte count ratio; EMR, Eosinophil count to monocyte count ratio; ENR, Eosinophil count to neutrophil count ratio</w:t>
      </w:r>
      <w:r>
        <w:rPr>
          <w:rFonts w:hint="eastAsia" w:ascii="Arial" w:hAnsi="Arial" w:cs="Arial"/>
          <w:sz w:val="20"/>
          <w:szCs w:val="20"/>
        </w:rPr>
        <w:t>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bookmarkStart w:id="0" w:name="_Hlk160911317"/>
      <w:r>
        <w:rPr>
          <w:rFonts w:ascii="Arial" w:hAnsi="Arial" w:cs="Arial"/>
          <w:b/>
          <w:bCs/>
          <w:sz w:val="20"/>
          <w:szCs w:val="20"/>
        </w:rPr>
        <w:t>Supplementary Table</w:t>
      </w:r>
      <w:bookmarkEnd w:id="0"/>
      <w:r>
        <w:rPr>
          <w:rFonts w:ascii="Arial" w:hAnsi="Arial" w:cs="Arial"/>
          <w:b/>
          <w:bCs/>
          <w:sz w:val="20"/>
          <w:szCs w:val="20"/>
        </w:rPr>
        <w:t xml:space="preserve"> 2 </w:t>
      </w:r>
      <w:r>
        <w:rPr>
          <w:rFonts w:ascii="Arial" w:hAnsi="Arial" w:cs="Arial"/>
          <w:sz w:val="20"/>
          <w:szCs w:val="20"/>
        </w:rPr>
        <w:t>Receiver operating characteristic analysis of SIRI, CLR, ELR and their combination before PSM.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893"/>
        <w:gridCol w:w="937"/>
        <w:gridCol w:w="1106"/>
        <w:gridCol w:w="1154"/>
        <w:gridCol w:w="1117"/>
        <w:gridCol w:w="1117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893" w:type="dxa"/>
            <w:vMerge w:val="restart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AUC</w:t>
            </w:r>
          </w:p>
        </w:tc>
        <w:tc>
          <w:tcPr>
            <w:tcW w:w="2043" w:type="dxa"/>
            <w:gridSpan w:val="2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95%CI</w:t>
            </w:r>
          </w:p>
        </w:tc>
        <w:tc>
          <w:tcPr>
            <w:tcW w:w="1154" w:type="dxa"/>
            <w:vMerge w:val="restart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60911341"/>
            <w:r>
              <w:rPr>
                <w:rFonts w:ascii="Arial" w:hAnsi="Arial" w:cs="Arial"/>
                <w:sz w:val="20"/>
                <w:szCs w:val="20"/>
              </w:rPr>
              <w:t>Optimum Truncation Value</w:t>
            </w:r>
            <w:bookmarkEnd w:id="1"/>
          </w:p>
        </w:tc>
        <w:tc>
          <w:tcPr>
            <w:tcW w:w="1117" w:type="dxa"/>
            <w:vMerge w:val="restart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Sensitivity</w:t>
            </w:r>
          </w:p>
        </w:tc>
        <w:tc>
          <w:tcPr>
            <w:tcW w:w="1117" w:type="dxa"/>
            <w:vMerge w:val="restart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Specificity</w:t>
            </w:r>
          </w:p>
        </w:tc>
        <w:tc>
          <w:tcPr>
            <w:tcW w:w="946" w:type="dxa"/>
            <w:vMerge w:val="restart"/>
            <w:tcBorders>
              <w:top w:val="single" w:color="auto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  <w:tcBorders>
              <w:top w:val="single" w:color="000000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Lower</w:t>
            </w:r>
          </w:p>
        </w:tc>
        <w:tc>
          <w:tcPr>
            <w:tcW w:w="1106" w:type="dxa"/>
            <w:tcBorders>
              <w:top w:val="single" w:color="000000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Upper</w:t>
            </w:r>
          </w:p>
        </w:tc>
        <w:tc>
          <w:tcPr>
            <w:tcW w:w="1154" w:type="dxa"/>
            <w:vMerge w:val="continue"/>
            <w:tcBorders>
              <w:top w:val="single" w:color="000000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SIRI</w:t>
            </w:r>
          </w:p>
        </w:tc>
        <w:tc>
          <w:tcPr>
            <w:tcW w:w="89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0.707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0.648</w:t>
            </w:r>
          </w:p>
        </w:tc>
        <w:tc>
          <w:tcPr>
            <w:tcW w:w="110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0.766</w:t>
            </w:r>
          </w:p>
        </w:tc>
        <w:tc>
          <w:tcPr>
            <w:tcW w:w="115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11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0.801</w:t>
            </w:r>
          </w:p>
        </w:tc>
        <w:tc>
          <w:tcPr>
            <w:tcW w:w="11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0.506</w:t>
            </w:r>
          </w:p>
        </w:tc>
        <w:tc>
          <w:tcPr>
            <w:tcW w:w="9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CLR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0.608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32.45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0.867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ELR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0.527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0.665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0.807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0.746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ESR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0.607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0.548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0.667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0.344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0.663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CRP</w:t>
            </w:r>
          </w:p>
        </w:tc>
        <w:tc>
          <w:tcPr>
            <w:tcW w:w="89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0.640</w:t>
            </w:r>
          </w:p>
        </w:tc>
        <w:tc>
          <w:tcPr>
            <w:tcW w:w="93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0.582</w:t>
            </w:r>
          </w:p>
        </w:tc>
        <w:tc>
          <w:tcPr>
            <w:tcW w:w="110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0.698</w:t>
            </w:r>
          </w:p>
        </w:tc>
        <w:tc>
          <w:tcPr>
            <w:tcW w:w="115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24.20</w:t>
            </w:r>
          </w:p>
        </w:tc>
        <w:tc>
          <w:tcPr>
            <w:tcW w:w="111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0.500</w:t>
            </w:r>
          </w:p>
        </w:tc>
        <w:tc>
          <w:tcPr>
            <w:tcW w:w="111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0.373</w:t>
            </w:r>
          </w:p>
        </w:tc>
        <w:tc>
          <w:tcPr>
            <w:tcW w:w="94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Abbreviation: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PSM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, </w:t>
      </w:r>
      <w:r>
        <w:rPr>
          <w:rFonts w:hint="eastAsia" w:ascii="Arial" w:hAnsi="Arial" w:cs="Arial"/>
          <w:sz w:val="20"/>
          <w:szCs w:val="20"/>
        </w:rPr>
        <w:t>Propensity Score Matching</w:t>
      </w:r>
      <w:r>
        <w:rPr>
          <w:rFonts w:ascii="Arial" w:hAnsi="Arial" w:cs="Arial"/>
          <w:sz w:val="20"/>
          <w:szCs w:val="20"/>
        </w:rPr>
        <w:t>; SIRI, Systemic Inflammatory Response Index; CLR, C-reacti</w:t>
      </w:r>
      <w:r>
        <w:rPr>
          <w:rFonts w:hint="eastAsia" w:ascii="Arial" w:hAnsi="Arial" w:cs="Arial"/>
          <w:sz w:val="20"/>
          <w:szCs w:val="20"/>
          <w:lang w:val="en-US" w:eastAsia="zh-CN"/>
        </w:rPr>
        <w:t>ve</w:t>
      </w:r>
      <w:r>
        <w:rPr>
          <w:rFonts w:ascii="Arial" w:hAnsi="Arial" w:cs="Arial"/>
          <w:sz w:val="20"/>
          <w:szCs w:val="20"/>
        </w:rPr>
        <w:t xml:space="preserve"> protein to lymphocyte count; ELR, Eosinophil count to lymphocyte count ratio; ESR, erythrocyte sedimentation rate; CRP, C-reactive protein</w:t>
      </w:r>
      <w:r>
        <w:rPr>
          <w:rFonts w:hint="eastAsia" w:ascii="Arial" w:hAnsi="Arial" w:cs="Arial"/>
          <w:sz w:val="20"/>
          <w:szCs w:val="20"/>
        </w:rPr>
        <w:t>.</w:t>
      </w: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bookmarkStart w:id="2" w:name="_Hlk160908924"/>
      <w:r>
        <w:rPr>
          <w:rFonts w:hint="eastAsia" w:ascii="Arial" w:hAnsi="Arial" w:cs="Arial"/>
          <w:b/>
          <w:bCs/>
          <w:sz w:val="20"/>
          <w:szCs w:val="20"/>
        </w:rPr>
        <w:t>Supplementary Table 3</w:t>
      </w:r>
      <w:bookmarkEnd w:id="2"/>
      <w:r>
        <w:rPr>
          <w:rFonts w:hint="eastAsia" w:ascii="Arial" w:hAnsi="Arial" w:cs="Arial"/>
          <w:b/>
          <w:bCs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Receiver operating characteristic analysis of SIRI, CLR, ELR and their combination after PSM.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893"/>
        <w:gridCol w:w="937"/>
        <w:gridCol w:w="1106"/>
        <w:gridCol w:w="1154"/>
        <w:gridCol w:w="1117"/>
        <w:gridCol w:w="1117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893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AUC</w:t>
            </w:r>
          </w:p>
        </w:tc>
        <w:tc>
          <w:tcPr>
            <w:tcW w:w="204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95%CI</w:t>
            </w:r>
          </w:p>
        </w:tc>
        <w:tc>
          <w:tcPr>
            <w:tcW w:w="1154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Optimum Truncation Value</w:t>
            </w:r>
          </w:p>
        </w:tc>
        <w:tc>
          <w:tcPr>
            <w:tcW w:w="1117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Sensitivity</w:t>
            </w:r>
          </w:p>
        </w:tc>
        <w:tc>
          <w:tcPr>
            <w:tcW w:w="1117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Specificity</w:t>
            </w:r>
          </w:p>
        </w:tc>
        <w:tc>
          <w:tcPr>
            <w:tcW w:w="946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Lower</w:t>
            </w:r>
          </w:p>
        </w:tc>
        <w:tc>
          <w:tcPr>
            <w:tcW w:w="110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Upper</w:t>
            </w:r>
          </w:p>
        </w:tc>
        <w:tc>
          <w:tcPr>
            <w:tcW w:w="1154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SIRI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0.668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0.578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0.757 </w:t>
            </w:r>
          </w:p>
        </w:tc>
        <w:tc>
          <w:tcPr>
            <w:tcW w:w="115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1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0.783</w:t>
            </w:r>
          </w:p>
        </w:tc>
        <w:tc>
          <w:tcPr>
            <w:tcW w:w="11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0.493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CLR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0.601 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0.507 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0.696 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30.70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0.304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0.841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ELR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0.564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0.469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0.660 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0.192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ESR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0.540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0.443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0.637 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0.415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CRP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0.608 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0.515 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0.702 </w:t>
            </w:r>
          </w:p>
        </w:tc>
        <w:tc>
          <w:tcPr>
            <w:tcW w:w="115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24.20</w:t>
            </w:r>
          </w:p>
        </w:tc>
        <w:tc>
          <w:tcPr>
            <w:tcW w:w="111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0.768</w:t>
            </w:r>
          </w:p>
        </w:tc>
        <w:tc>
          <w:tcPr>
            <w:tcW w:w="111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0.420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0.028 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Abbreviation: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PSM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, </w:t>
      </w:r>
      <w:r>
        <w:rPr>
          <w:rFonts w:hint="eastAsia" w:ascii="Arial" w:hAnsi="Arial" w:cs="Arial"/>
          <w:sz w:val="20"/>
          <w:szCs w:val="20"/>
        </w:rPr>
        <w:t>Propensity Score Matching</w:t>
      </w:r>
      <w:r>
        <w:rPr>
          <w:rFonts w:ascii="Arial" w:hAnsi="Arial" w:cs="Arial"/>
          <w:sz w:val="20"/>
          <w:szCs w:val="20"/>
        </w:rPr>
        <w:t>; SIRI, Systemic Inflammatory Response Index; CLR, C-reacti</w:t>
      </w:r>
      <w:r>
        <w:rPr>
          <w:rFonts w:hint="eastAsia" w:ascii="Arial" w:hAnsi="Arial" w:cs="Arial"/>
          <w:sz w:val="20"/>
          <w:szCs w:val="20"/>
          <w:lang w:val="en-US" w:eastAsia="zh-CN"/>
        </w:rPr>
        <w:t>ve</w:t>
      </w:r>
      <w:bookmarkStart w:id="3" w:name="_GoBack"/>
      <w:bookmarkEnd w:id="3"/>
      <w:r>
        <w:rPr>
          <w:rFonts w:ascii="Arial" w:hAnsi="Arial" w:cs="Arial"/>
          <w:sz w:val="20"/>
          <w:szCs w:val="20"/>
        </w:rPr>
        <w:t xml:space="preserve"> protein to lymphocyte count; ELR, Eosinophil count to lymphocyte count ratio; ESR, erythrocyte sedimentation rate; CRP, C-reactive protein</w:t>
      </w:r>
      <w:r>
        <w:rPr>
          <w:rFonts w:hint="eastAsia" w:ascii="Arial" w:hAnsi="Arial" w:cs="Arial"/>
          <w:sz w:val="20"/>
          <w:szCs w:val="20"/>
        </w:rPr>
        <w:t>.</w:t>
      </w:r>
    </w:p>
    <w:p>
      <w:pPr>
        <w:rPr>
          <w:rFonts w:ascii="Arial" w:hAnsi="Arial" w:cs="Arial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WE0MjUxODI5ODJjZGJhNTYzYTYxZjA5NjkzYTA3YTYifQ=="/>
  </w:docVars>
  <w:rsids>
    <w:rsidRoot w:val="00172A27"/>
    <w:rsid w:val="00091A1A"/>
    <w:rsid w:val="00094D93"/>
    <w:rsid w:val="00116EFB"/>
    <w:rsid w:val="00172A27"/>
    <w:rsid w:val="00262372"/>
    <w:rsid w:val="00275E66"/>
    <w:rsid w:val="00287F36"/>
    <w:rsid w:val="002E203A"/>
    <w:rsid w:val="0030478E"/>
    <w:rsid w:val="00335FA8"/>
    <w:rsid w:val="00360F28"/>
    <w:rsid w:val="00394BDC"/>
    <w:rsid w:val="004220C8"/>
    <w:rsid w:val="00436425"/>
    <w:rsid w:val="004601ED"/>
    <w:rsid w:val="004A0D3E"/>
    <w:rsid w:val="004F12B5"/>
    <w:rsid w:val="00576D4E"/>
    <w:rsid w:val="0059766F"/>
    <w:rsid w:val="005F306F"/>
    <w:rsid w:val="006519E1"/>
    <w:rsid w:val="00657289"/>
    <w:rsid w:val="00686B50"/>
    <w:rsid w:val="006C1F9E"/>
    <w:rsid w:val="007A7E25"/>
    <w:rsid w:val="007C39F4"/>
    <w:rsid w:val="007E2353"/>
    <w:rsid w:val="008105E2"/>
    <w:rsid w:val="00832EDC"/>
    <w:rsid w:val="00876090"/>
    <w:rsid w:val="008B146F"/>
    <w:rsid w:val="008B7EC6"/>
    <w:rsid w:val="008C5A08"/>
    <w:rsid w:val="008E548B"/>
    <w:rsid w:val="008F5FFF"/>
    <w:rsid w:val="00987EBA"/>
    <w:rsid w:val="009C03C6"/>
    <w:rsid w:val="00A70956"/>
    <w:rsid w:val="00A9530C"/>
    <w:rsid w:val="00AC17B0"/>
    <w:rsid w:val="00B252A4"/>
    <w:rsid w:val="00B3137D"/>
    <w:rsid w:val="00B60CC2"/>
    <w:rsid w:val="00BA2C6B"/>
    <w:rsid w:val="00C93330"/>
    <w:rsid w:val="00D64B2E"/>
    <w:rsid w:val="00DB057D"/>
    <w:rsid w:val="00E65D11"/>
    <w:rsid w:val="00E74046"/>
    <w:rsid w:val="00ED0321"/>
    <w:rsid w:val="00ED4E57"/>
    <w:rsid w:val="00ED6871"/>
    <w:rsid w:val="00F21E8D"/>
    <w:rsid w:val="00F357CA"/>
    <w:rsid w:val="00F52181"/>
    <w:rsid w:val="00FD15C6"/>
    <w:rsid w:val="07AF1A9C"/>
    <w:rsid w:val="08326375"/>
    <w:rsid w:val="0A7F4660"/>
    <w:rsid w:val="0F5303EB"/>
    <w:rsid w:val="27BC2CB7"/>
    <w:rsid w:val="416B658F"/>
    <w:rsid w:val="450D0FDD"/>
    <w:rsid w:val="4A0A26D2"/>
    <w:rsid w:val="51B077B5"/>
    <w:rsid w:val="52FA36A4"/>
    <w:rsid w:val="55775762"/>
    <w:rsid w:val="572370B2"/>
    <w:rsid w:val="6157399A"/>
    <w:rsid w:val="6F2D5F07"/>
    <w:rsid w:val="715220E5"/>
    <w:rsid w:val="799857EE"/>
    <w:rsid w:val="7F8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autoRedefine/>
    <w:unhideWhenUsed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theme="minorBidi"/>
      <w:b/>
      <w:color w:val="000000"/>
      <w:sz w:val="32"/>
      <w:szCs w:val="24"/>
      <w:lang w:val="en-US" w:eastAsia="zh-CN" w:bidi="ar-SA"/>
    </w:rPr>
  </w:style>
  <w:style w:type="paragraph" w:styleId="3">
    <w:name w:val="heading 2"/>
    <w:autoRedefine/>
    <w:unhideWhenUsed/>
    <w:qFormat/>
    <w:uiPriority w:val="99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theme="minorBidi"/>
      <w:b/>
      <w:i/>
      <w:color w:val="000000"/>
      <w:sz w:val="28"/>
      <w:szCs w:val="24"/>
      <w:lang w:val="en-US" w:eastAsia="zh-CN" w:bidi="ar-SA"/>
    </w:rPr>
  </w:style>
  <w:style w:type="paragraph" w:styleId="4">
    <w:name w:val="heading 3"/>
    <w:autoRedefine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theme="minorBidi"/>
      <w:b/>
      <w:color w:val="000000"/>
      <w:sz w:val="26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三线表"/>
    <w:basedOn w:val="7"/>
    <w:autoRedefine/>
    <w:qFormat/>
    <w:uiPriority w:val="99"/>
  </w:style>
  <w:style w:type="character" w:customStyle="1" w:styleId="11">
    <w:name w:val="15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12">
    <w:name w:val="16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13">
    <w:name w:val="17"/>
    <w:basedOn w:val="9"/>
    <w:autoRedefine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4">
    <w:name w:val="页眉 字符"/>
    <w:basedOn w:val="9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1846</Words>
  <Characters>10523</Characters>
  <Lines>87</Lines>
  <Paragraphs>24</Paragraphs>
  <TotalTime>96</TotalTime>
  <ScaleCrop>false</ScaleCrop>
  <LinksUpToDate>false</LinksUpToDate>
  <CharactersWithSpaces>12345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2024-01-29T16:34:00Z</dcterms:created>
  <dc:creator>晟凌 胡</dc:creator>
  <cp:lastModifiedBy>Ling</cp:lastModifiedBy>
  <dcterms:modified xsi:type="dcterms:W3CDTF">2024-06-06T07:07:33Z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DC08FECDBF144D8D9768052386773F88_12</vt:lpwstr>
  </property>
</Properties>
</file>