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ACDB0A5" w14:textId="011ED7C5" w:rsidR="0060400B" w:rsidRPr="007F4BB4" w:rsidRDefault="00DD6033" w:rsidP="00BF7F8D">
      <w:pPr>
        <w:jc w:val="both"/>
        <w:rPr>
          <w:b/>
          <w:bCs/>
          <w:color w:val="FF0000"/>
          <w:sz w:val="36"/>
          <w:szCs w:val="48"/>
        </w:rPr>
      </w:pPr>
      <w:r w:rsidRPr="007F4BB4">
        <w:rPr>
          <w:b/>
          <w:bCs/>
          <w:sz w:val="36"/>
          <w:szCs w:val="48"/>
        </w:rPr>
        <w:t>Supporting Information</w:t>
      </w:r>
    </w:p>
    <w:p w14:paraId="405FAE65" w14:textId="77777777" w:rsidR="000013AC" w:rsidRDefault="000013AC" w:rsidP="00BF7F8D">
      <w:pPr>
        <w:rPr>
          <w:rFonts w:cs="Arial"/>
          <w:b/>
          <w:bCs/>
          <w:sz w:val="28"/>
          <w:szCs w:val="28"/>
        </w:rPr>
      </w:pPr>
    </w:p>
    <w:p w14:paraId="73AA28D5" w14:textId="79E77AD1" w:rsidR="000013AC" w:rsidRPr="0001498B" w:rsidRDefault="000013AC" w:rsidP="00BF7F8D">
      <w:pPr>
        <w:rPr>
          <w:rFonts w:cs="Arial"/>
          <w:b/>
          <w:bCs/>
          <w:sz w:val="28"/>
          <w:szCs w:val="28"/>
        </w:rPr>
      </w:pPr>
      <w:r>
        <w:rPr>
          <w:rFonts w:cs="Arial"/>
          <w:b/>
          <w:bCs/>
          <w:sz w:val="28"/>
          <w:szCs w:val="28"/>
        </w:rPr>
        <w:t>1.</w:t>
      </w:r>
      <w:r>
        <w:rPr>
          <w:rFonts w:cs="Arial" w:hint="eastAsia"/>
          <w:b/>
          <w:bCs/>
          <w:sz w:val="28"/>
          <w:szCs w:val="28"/>
        </w:rPr>
        <w:t>Materials</w:t>
      </w:r>
      <w:r>
        <w:rPr>
          <w:rFonts w:cs="Arial"/>
          <w:b/>
          <w:bCs/>
          <w:sz w:val="28"/>
          <w:szCs w:val="28"/>
        </w:rPr>
        <w:t xml:space="preserve"> </w:t>
      </w:r>
      <w:r>
        <w:rPr>
          <w:rFonts w:cs="Arial" w:hint="eastAsia"/>
          <w:b/>
          <w:bCs/>
          <w:sz w:val="28"/>
          <w:szCs w:val="28"/>
        </w:rPr>
        <w:t>and</w:t>
      </w:r>
      <w:r>
        <w:rPr>
          <w:rFonts w:cs="Arial"/>
          <w:b/>
          <w:bCs/>
          <w:sz w:val="28"/>
          <w:szCs w:val="28"/>
        </w:rPr>
        <w:t xml:space="preserve"> </w:t>
      </w:r>
      <w:r>
        <w:rPr>
          <w:rFonts w:cs="Arial" w:hint="eastAsia"/>
          <w:b/>
          <w:bCs/>
          <w:sz w:val="28"/>
          <w:szCs w:val="28"/>
        </w:rPr>
        <w:t>m</w:t>
      </w:r>
      <w:r w:rsidRPr="004E2596">
        <w:rPr>
          <w:rFonts w:cs="Arial"/>
          <w:b/>
          <w:bCs/>
          <w:sz w:val="28"/>
          <w:szCs w:val="28"/>
        </w:rPr>
        <w:t>ethods</w:t>
      </w:r>
    </w:p>
    <w:p w14:paraId="43EC529F" w14:textId="77777777" w:rsidR="003F7B97" w:rsidRPr="003F7B97" w:rsidRDefault="000013AC" w:rsidP="00BF7F8D">
      <w:pPr>
        <w:adjustRightInd w:val="0"/>
        <w:snapToGrid w:val="0"/>
        <w:jc w:val="both"/>
        <w:rPr>
          <w:rFonts w:eastAsia="SimSun" w:cs="Arial"/>
          <w:szCs w:val="20"/>
          <w:lang w:eastAsia="zh-CN"/>
        </w:rPr>
      </w:pPr>
      <w:r w:rsidRPr="000013AC">
        <w:rPr>
          <w:rFonts w:eastAsia="SimSun" w:cs="Arial" w:hint="eastAsia"/>
          <w:szCs w:val="20"/>
          <w:lang w:eastAsia="zh-CN"/>
        </w:rPr>
        <w:t>1.1</w:t>
      </w:r>
      <w:r>
        <w:rPr>
          <w:rFonts w:eastAsia="SimSun" w:cs="Arial" w:hint="eastAsia"/>
          <w:szCs w:val="20"/>
          <w:lang w:eastAsia="zh-CN"/>
        </w:rPr>
        <w:t xml:space="preserve"> </w:t>
      </w:r>
      <w:bookmarkStart w:id="0" w:name="_Hlk171766731"/>
      <w:r w:rsidR="003F7B97" w:rsidRPr="003F7B97">
        <w:rPr>
          <w:rFonts w:eastAsia="SimSun" w:cs="Arial"/>
          <w:szCs w:val="20"/>
          <w:lang w:eastAsia="zh-CN"/>
        </w:rPr>
        <w:t>Biocompatibility and biosafety evaluation</w:t>
      </w:r>
      <w:bookmarkEnd w:id="0"/>
    </w:p>
    <w:p w14:paraId="22D8515A" w14:textId="77777777" w:rsidR="00170AC5" w:rsidRPr="00F77940" w:rsidRDefault="00170AC5" w:rsidP="00BF7F8D">
      <w:pPr>
        <w:adjustRightInd w:val="0"/>
        <w:snapToGrid w:val="0"/>
        <w:ind w:firstLineChars="200" w:firstLine="400"/>
        <w:jc w:val="both"/>
        <w:rPr>
          <w:rFonts w:eastAsia="SimSun" w:cs="Arial"/>
          <w:szCs w:val="20"/>
          <w:lang w:eastAsia="zh-CN"/>
        </w:rPr>
      </w:pPr>
      <w:r w:rsidRPr="00F77940">
        <w:rPr>
          <w:rFonts w:eastAsia="SimSun" w:cs="Arial"/>
          <w:szCs w:val="20"/>
          <w:lang w:eastAsia="zh-CN"/>
        </w:rPr>
        <w:t>The biocompatibility of the MIBFP NPs on ZR75.1 and VMSCs was assessed by inoculating the cells in 96-well plates for 24 h, followed by the addition of fresh serum-free RPMI-1640 solutions containing varying concentrations (0–15 µg mL-1 ICG) of the MIBFP NPs. After incubating for 24 h, cell viability was measured using the standard CCK-8 method, with three replicates per group. The biocompatibilities of the different NPs (IP NPs, MIP NPs, MIBP NPs, IBFP NPs, and MIBFP NPs) in the different groups were determined using the same method at a concentration of 15 µg mL-1 ICG.</w:t>
      </w:r>
    </w:p>
    <w:p w14:paraId="69FB64E4" w14:textId="34011232" w:rsidR="000013AC" w:rsidRPr="00F77940" w:rsidRDefault="00170AC5" w:rsidP="00BF7F8D">
      <w:pPr>
        <w:adjustRightInd w:val="0"/>
        <w:snapToGrid w:val="0"/>
        <w:ind w:firstLineChars="200" w:firstLine="400"/>
        <w:jc w:val="both"/>
        <w:rPr>
          <w:rFonts w:eastAsia="SimSun" w:cs="Arial"/>
          <w:szCs w:val="20"/>
          <w:lang w:eastAsia="zh-CN"/>
        </w:rPr>
      </w:pPr>
      <w:r w:rsidRPr="00F77940">
        <w:rPr>
          <w:rFonts w:eastAsia="SimSun" w:cs="Arial"/>
          <w:szCs w:val="20"/>
          <w:lang w:eastAsia="zh-CN"/>
        </w:rPr>
        <w:t>The in vivo biosafety of the MIBFP NPs was investigated in a cohort of healthy mice randomly assigned to five groups (control group and 7, 14, and 28 d post-injection groups; n = 3 per group). Following the administration of saline or MIB FP NPs (ICG: 3.5 mg kg-1), the mice were euthanized for subsequent analysis. Blood samples were collected for routine hematological and biochemical assessments. Additionally, major organs, including the heart, liver, spleen, lung, kidney, and brain, were harvested for H&amp;E staining.</w:t>
      </w:r>
    </w:p>
    <w:p w14:paraId="0E710BCF" w14:textId="517C92B5" w:rsidR="000614ED" w:rsidRDefault="000614ED" w:rsidP="00BF7F8D">
      <w:pPr>
        <w:jc w:val="both"/>
        <w:rPr>
          <w:rFonts w:eastAsia="SimSun" w:cs="Arial"/>
          <w:szCs w:val="20"/>
          <w:lang w:eastAsia="zh-CN"/>
        </w:rPr>
      </w:pPr>
      <w:r>
        <w:rPr>
          <w:rFonts w:eastAsia="SimSun" w:cs="Arial" w:hint="eastAsia"/>
          <w:szCs w:val="20"/>
          <w:lang w:eastAsia="zh-CN"/>
        </w:rPr>
        <w:t xml:space="preserve">1.2 Cellular uptake </w:t>
      </w:r>
    </w:p>
    <w:p w14:paraId="31DEA2B3" w14:textId="3BB04449" w:rsidR="000614ED" w:rsidRDefault="000614ED" w:rsidP="00BF7F8D">
      <w:pPr>
        <w:ind w:firstLineChars="200" w:firstLine="400"/>
        <w:jc w:val="both"/>
      </w:pPr>
      <w:r w:rsidRPr="00110BCD">
        <w:t xml:space="preserve">ZR75.1 cells </w:t>
      </w:r>
      <w:r>
        <w:rPr>
          <w:rFonts w:hint="eastAsia"/>
          <w:lang w:eastAsia="zh-CN"/>
        </w:rPr>
        <w:t xml:space="preserve">and HMEC cells </w:t>
      </w:r>
      <w:r w:rsidRPr="00110BCD">
        <w:t>were cultured via CLSM for 24 h, followed by the addition of an MIBFP NP (</w:t>
      </w:r>
      <w:proofErr w:type="spellStart"/>
      <w:r w:rsidRPr="00110BCD">
        <w:t>pB</w:t>
      </w:r>
      <w:proofErr w:type="spellEnd"/>
      <w:r w:rsidRPr="00110BCD">
        <w:t xml:space="preserve">-DOX, 6.0 </w:t>
      </w:r>
      <w:proofErr w:type="spellStart"/>
      <w:r w:rsidRPr="00110BCD">
        <w:t>μg</w:t>
      </w:r>
      <w:proofErr w:type="spellEnd"/>
      <w:r w:rsidRPr="00110BCD">
        <w:t xml:space="preserve"> mL</w:t>
      </w:r>
      <w:r w:rsidRPr="00110BCD">
        <w:rPr>
          <w:vertAlign w:val="superscript"/>
        </w:rPr>
        <w:t>-1</w:t>
      </w:r>
      <w:r w:rsidRPr="00110BCD">
        <w:t xml:space="preserve">) solution and further incubation for different durations (2 h and 12 h). After washing three times with PBS, the cells were successively incubated with Hoechst 33,334 for 15 min. Subsequently, the cells were washed three times before being observed via CLSM. For the quantitative assessment of intracellular uptake, ZR75.1 cells </w:t>
      </w:r>
      <w:r>
        <w:rPr>
          <w:rFonts w:hint="eastAsia"/>
          <w:lang w:eastAsia="zh-CN"/>
        </w:rPr>
        <w:t>and HMEC cells</w:t>
      </w:r>
      <w:r w:rsidRPr="00110BCD">
        <w:t xml:space="preserve"> were seeded into six-well plates, incubated with the MIBFP NPs for various durations (2 h and 12 h), washed with PBS, and analyzed using FCM.</w:t>
      </w:r>
      <w:r w:rsidRPr="00110BCD">
        <w:rPr>
          <w:rFonts w:hint="eastAsia"/>
        </w:rPr>
        <w:t xml:space="preserve"> </w:t>
      </w:r>
    </w:p>
    <w:p w14:paraId="579FE38A" w14:textId="77777777" w:rsidR="00F77940" w:rsidRPr="00FF5ED1" w:rsidRDefault="00F77940" w:rsidP="00BF7F8D">
      <w:pPr>
        <w:adjustRightInd w:val="0"/>
        <w:snapToGrid w:val="0"/>
        <w:jc w:val="both"/>
        <w:rPr>
          <w:rFonts w:eastAsia="SimSun" w:cs="Arial"/>
          <w:szCs w:val="20"/>
          <w:lang w:eastAsia="zh-CN"/>
        </w:rPr>
      </w:pPr>
    </w:p>
    <w:p w14:paraId="1D447B5E" w14:textId="77777777" w:rsidR="00F77940" w:rsidRDefault="00F77940" w:rsidP="00BF7F8D">
      <w:pPr>
        <w:adjustRightInd w:val="0"/>
        <w:snapToGrid w:val="0"/>
        <w:jc w:val="both"/>
        <w:rPr>
          <w:rFonts w:eastAsia="SimSun" w:cs="Arial"/>
          <w:szCs w:val="20"/>
          <w:lang w:eastAsia="zh-CN"/>
        </w:rPr>
      </w:pPr>
    </w:p>
    <w:p w14:paraId="513B40C3" w14:textId="0E5CE832" w:rsidR="009A2405" w:rsidRPr="000614ED" w:rsidRDefault="00816541" w:rsidP="00BF7F8D">
      <w:pPr>
        <w:adjustRightInd w:val="0"/>
        <w:snapToGrid w:val="0"/>
        <w:jc w:val="both"/>
        <w:rPr>
          <w:rFonts w:eastAsia="SimSun" w:cs="Arial"/>
          <w:szCs w:val="20"/>
          <w:lang w:eastAsia="zh-CN"/>
        </w:rPr>
      </w:pPr>
      <w:r>
        <w:rPr>
          <w:rFonts w:eastAsia="SimSun" w:cs="Arial" w:hint="eastAsia"/>
          <w:szCs w:val="20"/>
          <w:lang w:eastAsia="zh-CN"/>
        </w:rPr>
        <w:lastRenderedPageBreak/>
        <w:t>1.3</w:t>
      </w:r>
      <w:r w:rsidR="00AD34FF">
        <w:rPr>
          <w:rFonts w:eastAsia="SimSun" w:cs="Arial" w:hint="eastAsia"/>
          <w:szCs w:val="20"/>
          <w:lang w:eastAsia="zh-CN"/>
        </w:rPr>
        <w:t xml:space="preserve"> </w:t>
      </w:r>
      <w:bookmarkStart w:id="1" w:name="_Hlk171779585"/>
      <w:r w:rsidR="00AD34FF" w:rsidRPr="00AD34FF">
        <w:rPr>
          <w:rFonts w:eastAsia="SimSun" w:cs="Arial"/>
          <w:szCs w:val="20"/>
          <w:lang w:eastAsia="zh-CN"/>
        </w:rPr>
        <w:t xml:space="preserve">H&amp;E staining </w:t>
      </w:r>
      <w:r w:rsidR="00AD34FF">
        <w:rPr>
          <w:rFonts w:eastAsia="SimSun" w:cs="Arial" w:hint="eastAsia"/>
          <w:szCs w:val="20"/>
          <w:lang w:eastAsia="zh-CN"/>
        </w:rPr>
        <w:t>of</w:t>
      </w:r>
      <w:r w:rsidR="00AD34FF" w:rsidRPr="00AD34FF">
        <w:rPr>
          <w:rFonts w:eastAsia="SimSun" w:cs="Arial"/>
          <w:szCs w:val="20"/>
          <w:lang w:eastAsia="zh-CN"/>
        </w:rPr>
        <w:t xml:space="preserve"> major organs </w:t>
      </w:r>
      <w:r w:rsidR="00AD34FF">
        <w:rPr>
          <w:rFonts w:eastAsia="SimSun" w:cs="Arial" w:hint="eastAsia"/>
          <w:szCs w:val="20"/>
          <w:lang w:eastAsia="zh-CN"/>
        </w:rPr>
        <w:t>after</w:t>
      </w:r>
      <w:r w:rsidR="00AD34FF" w:rsidRPr="00AD34FF">
        <w:rPr>
          <w:rFonts w:eastAsia="SimSun" w:cs="Arial"/>
          <w:szCs w:val="20"/>
          <w:lang w:eastAsia="zh-CN"/>
        </w:rPr>
        <w:t xml:space="preserve"> antitumor </w:t>
      </w:r>
      <w:r w:rsidR="00AD34FF">
        <w:rPr>
          <w:rFonts w:eastAsia="SimSun" w:cs="Arial" w:hint="eastAsia"/>
          <w:szCs w:val="20"/>
          <w:lang w:eastAsia="zh-CN"/>
        </w:rPr>
        <w:t>therapy</w:t>
      </w:r>
      <w:bookmarkEnd w:id="1"/>
      <w:r w:rsidR="00AD34FF">
        <w:rPr>
          <w:rFonts w:eastAsia="SimSun" w:cs="Arial" w:hint="eastAsia"/>
          <w:szCs w:val="20"/>
          <w:lang w:eastAsia="zh-CN"/>
        </w:rPr>
        <w:t xml:space="preserve"> </w:t>
      </w:r>
    </w:p>
    <w:p w14:paraId="3A86367E" w14:textId="278D5A5A" w:rsidR="009A2405" w:rsidRPr="009A2405" w:rsidRDefault="00380AD0" w:rsidP="00BF7F8D">
      <w:pPr>
        <w:adjustRightInd w:val="0"/>
        <w:snapToGrid w:val="0"/>
        <w:ind w:firstLineChars="200" w:firstLine="400"/>
        <w:jc w:val="both"/>
        <w:rPr>
          <w:rFonts w:eastAsia="SimSun" w:cs="Arial"/>
          <w:szCs w:val="20"/>
          <w:lang w:eastAsia="zh-CN"/>
        </w:rPr>
      </w:pPr>
      <w:r w:rsidRPr="009140DB">
        <w:t>When the tumor volume reached 150–200 mm</w:t>
      </w:r>
      <w:r w:rsidRPr="009140DB">
        <w:rPr>
          <w:vertAlign w:val="superscript"/>
        </w:rPr>
        <w:t>3</w:t>
      </w:r>
      <w:r w:rsidRPr="009140DB">
        <w:t>, the ZR75.1 tumor-bearing mice were randomly divided into eight groups (n = 5): (1) PBS, (2) laser only</w:t>
      </w:r>
      <w:r w:rsidRPr="009140DB">
        <w:rPr>
          <w:rFonts w:hint="eastAsia"/>
        </w:rPr>
        <w:t>,</w:t>
      </w:r>
      <w:r w:rsidRPr="009140DB">
        <w:t xml:space="preserve"> (3) MIBP NPs, (4) MIBFP NPs, (5) MIP NPs + laser, (6) MIBP NPs + laser, (7) IBFP NPs + laser, and (8) MIBFP NPs + laser (DOX equivalent of 3.0 mg kg</w:t>
      </w:r>
      <w:r w:rsidRPr="009140DB">
        <w:rPr>
          <w:vertAlign w:val="superscript"/>
        </w:rPr>
        <w:t>-1</w:t>
      </w:r>
      <w:r w:rsidRPr="009140DB">
        <w:t>, ICG of 3.5 mg kg</w:t>
      </w:r>
      <w:r w:rsidRPr="009140DB">
        <w:rPr>
          <w:vertAlign w:val="superscript"/>
        </w:rPr>
        <w:t>-1</w:t>
      </w:r>
      <w:r w:rsidRPr="009140DB">
        <w:t>). Treatment was administered via intravenous injection followed by irradiation of the laser group using a power intensity of 1 W cm</w:t>
      </w:r>
      <w:r w:rsidRPr="009140DB">
        <w:rPr>
          <w:vertAlign w:val="superscript"/>
        </w:rPr>
        <w:t>-2</w:t>
      </w:r>
      <w:r w:rsidRPr="009140DB">
        <w:t xml:space="preserve"> for 2 min after a 12 h interval post-injection.</w:t>
      </w:r>
      <w:r w:rsidRPr="00380AD0">
        <w:t xml:space="preserve"> </w:t>
      </w:r>
      <w:r w:rsidRPr="009140DB">
        <w:t xml:space="preserve">On day 15, </w:t>
      </w:r>
      <w:r>
        <w:rPr>
          <w:rFonts w:hint="eastAsia"/>
          <w:lang w:eastAsia="zh-CN"/>
        </w:rPr>
        <w:t xml:space="preserve">the mice of </w:t>
      </w:r>
      <w:r w:rsidRPr="009140DB">
        <w:t xml:space="preserve">each group </w:t>
      </w:r>
      <w:r>
        <w:rPr>
          <w:rFonts w:hint="eastAsia"/>
          <w:lang w:eastAsia="zh-CN"/>
        </w:rPr>
        <w:t>were</w:t>
      </w:r>
      <w:r w:rsidRPr="009140DB">
        <w:t xml:space="preserve"> sacrificed to obtain th</w:t>
      </w:r>
      <w:r w:rsidRPr="00F77940">
        <w:t>e major organs, including the heart, liver, spleen, lung, and kidney</w:t>
      </w:r>
      <w:r w:rsidRPr="00F77940">
        <w:rPr>
          <w:rFonts w:hint="eastAsia"/>
          <w:lang w:eastAsia="zh-CN"/>
        </w:rPr>
        <w:t>,</w:t>
      </w:r>
      <w:r w:rsidR="00F77940">
        <w:rPr>
          <w:rFonts w:hint="eastAsia"/>
          <w:lang w:eastAsia="zh-CN"/>
        </w:rPr>
        <w:t xml:space="preserve"> </w:t>
      </w:r>
      <w:r w:rsidRPr="00F77940">
        <w:rPr>
          <w:rFonts w:hint="eastAsia"/>
          <w:lang w:eastAsia="zh-CN"/>
        </w:rPr>
        <w:t xml:space="preserve">and the </w:t>
      </w:r>
      <w:r w:rsidRPr="00F77940">
        <w:t>organs were subsequently fixed in formalin and embedded in paraffin for hematoxylin and eosin staining (H&amp;E)</w:t>
      </w:r>
      <w:r w:rsidRPr="00F77940">
        <w:rPr>
          <w:rFonts w:hint="eastAsia"/>
          <w:lang w:eastAsia="zh-CN"/>
        </w:rPr>
        <w:t>.</w:t>
      </w:r>
    </w:p>
    <w:p w14:paraId="66E9E9EF" w14:textId="482F3CCB" w:rsidR="00F77940" w:rsidRDefault="00F77940" w:rsidP="00BF7F8D">
      <w:pPr>
        <w:adjustRightInd w:val="0"/>
        <w:snapToGrid w:val="0"/>
        <w:jc w:val="both"/>
        <w:rPr>
          <w:rFonts w:eastAsia="SimSun" w:cs="Arial"/>
          <w:b/>
          <w:bCs/>
          <w:szCs w:val="20"/>
          <w:lang w:eastAsia="zh-CN"/>
        </w:rPr>
      </w:pPr>
      <w:r>
        <w:rPr>
          <w:rFonts w:eastAsia="SimSun" w:cs="Arial"/>
          <w:b/>
          <w:bCs/>
          <w:szCs w:val="20"/>
          <w:lang w:eastAsia="zh-CN"/>
        </w:rPr>
        <w:br w:type="page"/>
      </w:r>
    </w:p>
    <w:p w14:paraId="573C231E" w14:textId="77777777" w:rsidR="00F77940" w:rsidRDefault="00F77940" w:rsidP="00BF7F8D">
      <w:pPr>
        <w:adjustRightInd w:val="0"/>
        <w:snapToGrid w:val="0"/>
        <w:jc w:val="both"/>
        <w:rPr>
          <w:rFonts w:eastAsia="SimSun" w:cs="Arial"/>
          <w:b/>
          <w:bCs/>
          <w:szCs w:val="20"/>
          <w:lang w:eastAsia="zh-CN"/>
        </w:rPr>
      </w:pPr>
    </w:p>
    <w:p w14:paraId="0943E1AB" w14:textId="0C925912" w:rsidR="003F7B97" w:rsidRDefault="003F7B97" w:rsidP="00BF7F8D">
      <w:pPr>
        <w:adjustRightInd w:val="0"/>
        <w:snapToGrid w:val="0"/>
        <w:jc w:val="both"/>
        <w:rPr>
          <w:rFonts w:eastAsia="SimSun" w:cs="Arial"/>
          <w:b/>
          <w:bCs/>
          <w:szCs w:val="20"/>
          <w:lang w:eastAsia="zh-CN"/>
        </w:rPr>
      </w:pPr>
      <w:r>
        <w:rPr>
          <w:noProof/>
        </w:rPr>
        <w:drawing>
          <wp:inline distT="0" distB="0" distL="0" distR="0" wp14:anchorId="3294D3BB" wp14:editId="32984533">
            <wp:extent cx="4067175" cy="2914650"/>
            <wp:effectExtent l="0" t="0" r="9525" b="0"/>
            <wp:docPr id="8861086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67175" cy="2914650"/>
                    </a:xfrm>
                    <a:prstGeom prst="rect">
                      <a:avLst/>
                    </a:prstGeom>
                    <a:noFill/>
                    <a:ln>
                      <a:noFill/>
                    </a:ln>
                  </pic:spPr>
                </pic:pic>
              </a:graphicData>
            </a:graphic>
          </wp:inline>
        </w:drawing>
      </w:r>
    </w:p>
    <w:p w14:paraId="7DC61159" w14:textId="230910C0" w:rsidR="00DD6033" w:rsidRPr="00DD6033" w:rsidRDefault="007B0484" w:rsidP="00BF7F8D">
      <w:pPr>
        <w:adjustRightInd w:val="0"/>
        <w:snapToGrid w:val="0"/>
        <w:jc w:val="both"/>
        <w:rPr>
          <w:rFonts w:eastAsia="SimSun" w:cs="Arial"/>
          <w:szCs w:val="20"/>
        </w:rPr>
      </w:pPr>
      <w:r w:rsidRPr="00D10C9E">
        <w:rPr>
          <w:rFonts w:eastAsia="SimSun" w:cs="Arial"/>
          <w:b/>
          <w:bCs/>
          <w:szCs w:val="20"/>
        </w:rPr>
        <w:t xml:space="preserve">Figure </w:t>
      </w:r>
      <w:r w:rsidR="00DD6033">
        <w:rPr>
          <w:rFonts w:eastAsia="SimSun" w:cs="Arial"/>
          <w:b/>
          <w:bCs/>
          <w:szCs w:val="20"/>
        </w:rPr>
        <w:t>S</w:t>
      </w:r>
      <w:r w:rsidRPr="00D10C9E">
        <w:rPr>
          <w:rFonts w:eastAsia="SimSun" w:cs="Arial"/>
          <w:b/>
          <w:bCs/>
          <w:szCs w:val="20"/>
        </w:rPr>
        <w:t>1</w:t>
      </w:r>
      <w:r w:rsidR="00B24F9A" w:rsidRPr="00B24F9A">
        <w:rPr>
          <w:rFonts w:eastAsia="SimSun" w:cs="Arial"/>
          <w:szCs w:val="20"/>
        </w:rPr>
        <w:t xml:space="preserve">. </w:t>
      </w:r>
      <w:r w:rsidR="00DD6033" w:rsidRPr="00DD6033">
        <w:rPr>
          <w:rFonts w:eastAsia="SimSun" w:cs="Arial"/>
          <w:bCs/>
          <w:szCs w:val="20"/>
        </w:rPr>
        <w:t xml:space="preserve">Cell viability of ZR75.1 and VMSCs cells after coincubation with various </w:t>
      </w:r>
      <w:r w:rsidR="0098619E">
        <w:rPr>
          <w:rFonts w:eastAsia="SimSun" w:cs="Arial" w:hint="eastAsia"/>
          <w:bCs/>
          <w:szCs w:val="20"/>
          <w:lang w:eastAsia="zh-CN"/>
        </w:rPr>
        <w:t xml:space="preserve">ICG </w:t>
      </w:r>
      <w:r w:rsidR="00DD6033" w:rsidRPr="00DD6033">
        <w:rPr>
          <w:rFonts w:eastAsia="SimSun" w:cs="Arial"/>
          <w:bCs/>
          <w:szCs w:val="20"/>
        </w:rPr>
        <w:t>concentrations of MIBFP NPs.</w:t>
      </w:r>
    </w:p>
    <w:p w14:paraId="35371B02" w14:textId="36386EF1" w:rsidR="00F77940" w:rsidRDefault="007B0484" w:rsidP="00BF7F8D">
      <w:pPr>
        <w:adjustRightInd w:val="0"/>
        <w:snapToGrid w:val="0"/>
        <w:jc w:val="both"/>
      </w:pPr>
      <w:r w:rsidRPr="00D10C9E">
        <w:rPr>
          <w:rFonts w:eastAsia="SimSun" w:cs="Arial"/>
          <w:b/>
          <w:bCs/>
          <w:szCs w:val="20"/>
        </w:rPr>
        <w:t xml:space="preserve">Abbreviations: </w:t>
      </w:r>
      <w:r w:rsidR="00DD6033" w:rsidRPr="00A14843">
        <w:rPr>
          <w:rFonts w:eastAsia="SimSun" w:cs="Arial"/>
          <w:szCs w:val="20"/>
        </w:rPr>
        <w:t>VMSCs</w:t>
      </w:r>
      <w:r w:rsidR="00DD6033">
        <w:rPr>
          <w:rFonts w:eastAsia="SimSun" w:cs="Arial"/>
          <w:szCs w:val="20"/>
        </w:rPr>
        <w:t xml:space="preserve">, </w:t>
      </w:r>
      <w:r w:rsidR="00DD6033" w:rsidRPr="00A14843">
        <w:rPr>
          <w:rFonts w:eastAsia="SimSun" w:cs="Arial"/>
          <w:szCs w:val="20"/>
        </w:rPr>
        <w:t>vascular smooth muscle cells</w:t>
      </w:r>
      <w:r w:rsidR="00DD6033">
        <w:rPr>
          <w:rFonts w:eastAsia="SimSun" w:cs="Arial"/>
          <w:szCs w:val="20"/>
        </w:rPr>
        <w:t xml:space="preserve">; </w:t>
      </w:r>
      <w:r w:rsidR="00B568D9" w:rsidRPr="007B0484">
        <w:rPr>
          <w:rFonts w:eastAsia="SimSun" w:cs="Arial" w:hint="eastAsia"/>
          <w:iCs/>
          <w:szCs w:val="20"/>
        </w:rPr>
        <w:t>MIBF</w:t>
      </w:r>
      <w:r w:rsidR="00B568D9" w:rsidRPr="007B0484">
        <w:rPr>
          <w:rFonts w:eastAsia="SimSun" w:cs="Arial"/>
          <w:iCs/>
          <w:szCs w:val="20"/>
        </w:rPr>
        <w:t>P NP</w:t>
      </w:r>
      <w:r w:rsidR="00B568D9">
        <w:rPr>
          <w:rFonts w:eastAsia="SimSun" w:cs="Arial"/>
          <w:iCs/>
          <w:szCs w:val="20"/>
        </w:rPr>
        <w:t>s,</w:t>
      </w:r>
      <w:r w:rsidR="00B568D9" w:rsidRPr="0019205D">
        <w:rPr>
          <w:rFonts w:cs="Arial"/>
          <w:bCs/>
        </w:rPr>
        <w:t xml:space="preserve"> </w:t>
      </w:r>
      <w:r w:rsidR="00B568D9" w:rsidRPr="0066640C">
        <w:rPr>
          <w:rFonts w:cs="Arial"/>
          <w:bCs/>
        </w:rPr>
        <w:t>mAbs</w:t>
      </w:r>
      <w:r w:rsidR="00B568D9">
        <w:rPr>
          <w:rFonts w:cs="Arial"/>
          <w:bCs/>
        </w:rPr>
        <w:t xml:space="preserve">, </w:t>
      </w:r>
      <w:r w:rsidR="00B568D9" w:rsidRPr="0066640C">
        <w:rPr>
          <w:rFonts w:cs="Arial"/>
          <w:bCs/>
        </w:rPr>
        <w:t>ICG</w:t>
      </w:r>
      <w:r w:rsidR="00B568D9">
        <w:rPr>
          <w:rFonts w:hint="eastAsia"/>
          <w:lang w:eastAsia="zh-CN"/>
        </w:rPr>
        <w:t>,</w:t>
      </w:r>
      <w:r w:rsidR="00B568D9">
        <w:rPr>
          <w:lang w:eastAsia="zh-CN"/>
        </w:rPr>
        <w:t xml:space="preserve"> </w:t>
      </w:r>
      <w:r w:rsidR="00B568D9" w:rsidRPr="0066640C">
        <w:rPr>
          <w:rFonts w:cs="Arial"/>
          <w:bCs/>
        </w:rPr>
        <w:t>pB-DOX</w:t>
      </w:r>
      <w:r w:rsidR="00B568D9">
        <w:rPr>
          <w:rFonts w:cs="Arial"/>
          <w:bCs/>
        </w:rPr>
        <w:t xml:space="preserve"> and </w:t>
      </w:r>
      <w:r w:rsidR="00B568D9" w:rsidRPr="0066640C">
        <w:rPr>
          <w:rFonts w:cs="Arial"/>
          <w:bCs/>
        </w:rPr>
        <w:t>Fe</w:t>
      </w:r>
      <w:r w:rsidR="00B568D9" w:rsidRPr="0066640C">
        <w:rPr>
          <w:rFonts w:cs="Arial"/>
          <w:bCs/>
          <w:vertAlign w:val="subscript"/>
        </w:rPr>
        <w:t>3</w:t>
      </w:r>
      <w:r w:rsidR="00B568D9" w:rsidRPr="0066640C">
        <w:rPr>
          <w:rFonts w:cs="Arial"/>
          <w:bCs/>
        </w:rPr>
        <w:t>O</w:t>
      </w:r>
      <w:r w:rsidR="00B568D9" w:rsidRPr="0066640C">
        <w:rPr>
          <w:rFonts w:cs="Arial"/>
          <w:bCs/>
          <w:vertAlign w:val="subscript"/>
        </w:rPr>
        <w:t>4</w:t>
      </w:r>
      <w:r w:rsidR="00B568D9" w:rsidRPr="0019205D">
        <w:rPr>
          <w:rFonts w:cs="Arial"/>
          <w:bCs/>
        </w:rPr>
        <w:t>,</w:t>
      </w:r>
      <w:r w:rsidR="00B568D9">
        <w:rPr>
          <w:rFonts w:eastAsia="SimSun" w:cs="Arial"/>
          <w:szCs w:val="20"/>
        </w:rPr>
        <w:t xml:space="preserve"> coloaded</w:t>
      </w:r>
      <w:r w:rsidR="00B568D9" w:rsidRPr="0019205D">
        <w:rPr>
          <w:rFonts w:cs="Arial"/>
          <w:bCs/>
        </w:rPr>
        <w:t xml:space="preserve"> </w:t>
      </w:r>
      <w:r w:rsidR="00B568D9" w:rsidRPr="0066640C">
        <w:rPr>
          <w:rFonts w:cs="Arial"/>
          <w:bCs/>
        </w:rPr>
        <w:t>poly</w:t>
      </w:r>
      <w:r w:rsidR="00B568D9">
        <w:rPr>
          <w:rFonts w:cs="Arial"/>
          <w:bCs/>
        </w:rPr>
        <w:t xml:space="preserve"> (lactic-co-glycolic acid</w:t>
      </w:r>
      <w:r w:rsidR="00B568D9">
        <w:rPr>
          <w:rFonts w:cs="Arial" w:hint="eastAsia"/>
          <w:bCs/>
          <w:lang w:eastAsia="zh-CN"/>
        </w:rPr>
        <w:t>)</w:t>
      </w:r>
      <w:r w:rsidR="00B568D9">
        <w:rPr>
          <w:rFonts w:hint="eastAsia"/>
          <w:lang w:eastAsia="zh-CN"/>
        </w:rPr>
        <w:t xml:space="preserve"> </w:t>
      </w:r>
      <w:r w:rsidR="00B568D9" w:rsidRPr="0066640C">
        <w:rPr>
          <w:rFonts w:cs="Arial"/>
          <w:bCs/>
        </w:rPr>
        <w:t>nanoparticles</w:t>
      </w:r>
      <w:r w:rsidR="00B568D9">
        <w:t>.</w:t>
      </w:r>
      <w:r w:rsidR="00F77940">
        <w:br w:type="page"/>
      </w:r>
    </w:p>
    <w:p w14:paraId="2E04F555" w14:textId="77777777" w:rsidR="00B568D9" w:rsidRDefault="00B568D9" w:rsidP="00BF7F8D">
      <w:pPr>
        <w:adjustRightInd w:val="0"/>
        <w:snapToGrid w:val="0"/>
        <w:jc w:val="both"/>
      </w:pPr>
    </w:p>
    <w:p w14:paraId="71C66079" w14:textId="053BAFD4" w:rsidR="003F7B97" w:rsidRPr="00DD6033" w:rsidRDefault="003F7B97" w:rsidP="00BF7F8D">
      <w:pPr>
        <w:adjustRightInd w:val="0"/>
        <w:snapToGrid w:val="0"/>
        <w:jc w:val="both"/>
        <w:rPr>
          <w:rFonts w:eastAsia="SimSun" w:cs="Arial"/>
          <w:szCs w:val="20"/>
        </w:rPr>
      </w:pPr>
      <w:r>
        <w:rPr>
          <w:noProof/>
        </w:rPr>
        <w:drawing>
          <wp:inline distT="0" distB="0" distL="0" distR="0" wp14:anchorId="01109516" wp14:editId="3CBCD085">
            <wp:extent cx="4034155" cy="3219450"/>
            <wp:effectExtent l="0" t="0" r="4445" b="0"/>
            <wp:docPr id="59238413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34155" cy="3219450"/>
                    </a:xfrm>
                    <a:prstGeom prst="rect">
                      <a:avLst/>
                    </a:prstGeom>
                    <a:noFill/>
                    <a:ln>
                      <a:noFill/>
                    </a:ln>
                  </pic:spPr>
                </pic:pic>
              </a:graphicData>
            </a:graphic>
          </wp:inline>
        </w:drawing>
      </w:r>
    </w:p>
    <w:p w14:paraId="26CAE4ED" w14:textId="0BEF72C1" w:rsidR="00DD6033" w:rsidRPr="00DD6033" w:rsidRDefault="007B0484" w:rsidP="00BF7F8D">
      <w:pPr>
        <w:adjustRightInd w:val="0"/>
        <w:snapToGrid w:val="0"/>
        <w:jc w:val="both"/>
        <w:rPr>
          <w:rFonts w:eastAsia="SimSun" w:cs="Arial"/>
          <w:bCs/>
          <w:szCs w:val="20"/>
        </w:rPr>
      </w:pPr>
      <w:r w:rsidRPr="00D10C9E">
        <w:rPr>
          <w:rFonts w:eastAsia="SimSun" w:cs="Arial"/>
          <w:b/>
          <w:bCs/>
          <w:szCs w:val="20"/>
        </w:rPr>
        <w:t xml:space="preserve">Figure </w:t>
      </w:r>
      <w:r w:rsidR="00DD6033">
        <w:rPr>
          <w:rFonts w:eastAsia="SimSun" w:cs="Arial"/>
          <w:b/>
          <w:bCs/>
          <w:szCs w:val="20"/>
        </w:rPr>
        <w:t>S</w:t>
      </w:r>
      <w:r w:rsidRPr="00D10C9E">
        <w:rPr>
          <w:rFonts w:eastAsia="SimSun" w:cs="Arial"/>
          <w:b/>
          <w:bCs/>
          <w:szCs w:val="20"/>
        </w:rPr>
        <w:t>2</w:t>
      </w:r>
      <w:r w:rsidR="00B568D9">
        <w:rPr>
          <w:rFonts w:eastAsia="SimSun" w:cs="Arial"/>
          <w:szCs w:val="20"/>
        </w:rPr>
        <w:t xml:space="preserve"> </w:t>
      </w:r>
      <w:r w:rsidR="00DD6033" w:rsidRPr="00DD6033">
        <w:rPr>
          <w:rFonts w:eastAsia="SimSun" w:cs="Arial"/>
          <w:bCs/>
          <w:szCs w:val="20"/>
        </w:rPr>
        <w:t>Cell viability of ZR75.1 and VMSCs cells after coincubation with different NPs (the concentration of ICG is 15 µg mL</w:t>
      </w:r>
      <w:r w:rsidR="00DD6033" w:rsidRPr="00DD6033">
        <w:rPr>
          <w:rFonts w:eastAsia="SimSun" w:cs="Arial"/>
          <w:bCs/>
          <w:szCs w:val="20"/>
          <w:vertAlign w:val="superscript"/>
        </w:rPr>
        <w:t>-1</w:t>
      </w:r>
      <w:r w:rsidR="00DD6033" w:rsidRPr="00DD6033">
        <w:rPr>
          <w:rFonts w:eastAsia="SimSun" w:cs="Arial"/>
          <w:bCs/>
          <w:szCs w:val="20"/>
        </w:rPr>
        <w:t>).</w:t>
      </w:r>
    </w:p>
    <w:p w14:paraId="762C4871" w14:textId="50E00063" w:rsidR="00F77940" w:rsidRDefault="007B0484" w:rsidP="00BF7F8D">
      <w:pPr>
        <w:adjustRightInd w:val="0"/>
        <w:snapToGrid w:val="0"/>
        <w:jc w:val="both"/>
        <w:rPr>
          <w:rFonts w:cs="Arial"/>
          <w:bCs/>
        </w:rPr>
      </w:pPr>
      <w:r w:rsidRPr="00D10C9E">
        <w:rPr>
          <w:rFonts w:eastAsia="SimSun" w:cs="Arial"/>
          <w:b/>
          <w:bCs/>
          <w:szCs w:val="20"/>
        </w:rPr>
        <w:t>Abbreviations:</w:t>
      </w:r>
      <w:r>
        <w:rPr>
          <w:rFonts w:eastAsia="SimSun" w:cs="Arial"/>
          <w:szCs w:val="20"/>
        </w:rPr>
        <w:t xml:space="preserve"> </w:t>
      </w:r>
      <w:r w:rsidR="00DD6033" w:rsidRPr="00A14843">
        <w:rPr>
          <w:rFonts w:eastAsia="SimSun" w:cs="Arial"/>
          <w:szCs w:val="20"/>
        </w:rPr>
        <w:t>VMSCs</w:t>
      </w:r>
      <w:r w:rsidR="00DD6033">
        <w:rPr>
          <w:rFonts w:eastAsia="SimSun" w:cs="Arial"/>
          <w:szCs w:val="20"/>
        </w:rPr>
        <w:t xml:space="preserve">, </w:t>
      </w:r>
      <w:r w:rsidR="00DD6033" w:rsidRPr="00A14843">
        <w:rPr>
          <w:rFonts w:eastAsia="SimSun" w:cs="Arial"/>
          <w:szCs w:val="20"/>
        </w:rPr>
        <w:t>vascular smooth muscle cells</w:t>
      </w:r>
      <w:r w:rsidR="00DD6033">
        <w:rPr>
          <w:rFonts w:eastAsia="SimSun" w:cs="Arial"/>
          <w:szCs w:val="20"/>
        </w:rPr>
        <w:t xml:space="preserve">; </w:t>
      </w:r>
      <w:r w:rsidR="00DD6033" w:rsidRPr="00DD6033">
        <w:rPr>
          <w:rFonts w:eastAsia="SimSun" w:cs="Arial"/>
          <w:bCs/>
          <w:szCs w:val="20"/>
        </w:rPr>
        <w:t>NPs</w:t>
      </w:r>
      <w:r w:rsidR="00DD6033">
        <w:rPr>
          <w:rFonts w:eastAsia="SimSun" w:cs="Arial"/>
          <w:bCs/>
          <w:szCs w:val="20"/>
        </w:rPr>
        <w:t xml:space="preserve">, </w:t>
      </w:r>
      <w:r w:rsidR="00DD6033" w:rsidRPr="0066640C">
        <w:rPr>
          <w:rFonts w:cs="Arial"/>
          <w:bCs/>
        </w:rPr>
        <w:t>nanoparticles</w:t>
      </w:r>
      <w:r w:rsidR="00DD6033">
        <w:rPr>
          <w:rFonts w:cs="Arial"/>
          <w:bCs/>
        </w:rPr>
        <w:t xml:space="preserve">; </w:t>
      </w:r>
      <w:r w:rsidR="00DD6033" w:rsidRPr="00DD6033">
        <w:rPr>
          <w:rFonts w:eastAsia="SimSun" w:cs="Arial"/>
          <w:bCs/>
          <w:szCs w:val="20"/>
        </w:rPr>
        <w:t>ICG</w:t>
      </w:r>
      <w:r w:rsidR="00DD6033">
        <w:rPr>
          <w:rFonts w:eastAsia="SimSun" w:cs="Arial"/>
          <w:bCs/>
          <w:szCs w:val="20"/>
        </w:rPr>
        <w:t xml:space="preserve">, </w:t>
      </w:r>
      <w:r w:rsidR="00DD6033">
        <w:rPr>
          <w:rFonts w:cs="Arial"/>
          <w:bCs/>
        </w:rPr>
        <w:t>i</w:t>
      </w:r>
      <w:r w:rsidR="00DD6033" w:rsidRPr="0066640C">
        <w:rPr>
          <w:rFonts w:cs="Arial"/>
          <w:bCs/>
        </w:rPr>
        <w:t>ndocyanine green</w:t>
      </w:r>
      <w:r w:rsidR="00DD6033">
        <w:rPr>
          <w:rFonts w:cs="Arial"/>
          <w:bCs/>
        </w:rPr>
        <w:t>.</w:t>
      </w:r>
      <w:r w:rsidR="00F77940">
        <w:rPr>
          <w:rFonts w:cs="Arial"/>
          <w:bCs/>
        </w:rPr>
        <w:br w:type="page"/>
      </w:r>
    </w:p>
    <w:p w14:paraId="3C7BC862" w14:textId="77777777" w:rsidR="00DD6033" w:rsidRDefault="00DD6033" w:rsidP="00BF7F8D">
      <w:pPr>
        <w:adjustRightInd w:val="0"/>
        <w:snapToGrid w:val="0"/>
        <w:jc w:val="both"/>
        <w:rPr>
          <w:rFonts w:eastAsia="SimSun" w:cs="Arial"/>
          <w:szCs w:val="20"/>
        </w:rPr>
      </w:pPr>
    </w:p>
    <w:p w14:paraId="685E5167" w14:textId="05265E15" w:rsidR="003F7B97" w:rsidRDefault="003F7B97" w:rsidP="00BF7F8D">
      <w:pPr>
        <w:adjustRightInd w:val="0"/>
        <w:snapToGrid w:val="0"/>
        <w:jc w:val="both"/>
        <w:rPr>
          <w:rFonts w:eastAsia="SimSun" w:cs="Arial"/>
          <w:b/>
          <w:bCs/>
          <w:szCs w:val="20"/>
        </w:rPr>
      </w:pPr>
      <w:r>
        <w:rPr>
          <w:noProof/>
        </w:rPr>
        <w:drawing>
          <wp:inline distT="0" distB="0" distL="0" distR="0" wp14:anchorId="640737DC" wp14:editId="16B1C41A">
            <wp:extent cx="5486400" cy="3834765"/>
            <wp:effectExtent l="0" t="0" r="0" b="0"/>
            <wp:docPr id="91066627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486400" cy="3834765"/>
                    </a:xfrm>
                    <a:prstGeom prst="rect">
                      <a:avLst/>
                    </a:prstGeom>
                    <a:noFill/>
                    <a:ln>
                      <a:noFill/>
                    </a:ln>
                  </pic:spPr>
                </pic:pic>
              </a:graphicData>
            </a:graphic>
          </wp:inline>
        </w:drawing>
      </w:r>
    </w:p>
    <w:p w14:paraId="5C99F042" w14:textId="726A0568" w:rsidR="00DD6033" w:rsidRPr="00DD6033" w:rsidRDefault="007B0484" w:rsidP="00BF7F8D">
      <w:pPr>
        <w:adjustRightInd w:val="0"/>
        <w:snapToGrid w:val="0"/>
        <w:jc w:val="both"/>
        <w:rPr>
          <w:rFonts w:eastAsia="SimSun" w:cs="Arial"/>
          <w:szCs w:val="20"/>
        </w:rPr>
      </w:pPr>
      <w:r w:rsidRPr="00D10C9E">
        <w:rPr>
          <w:rFonts w:eastAsia="SimSun" w:cs="Arial"/>
          <w:b/>
          <w:bCs/>
          <w:szCs w:val="20"/>
        </w:rPr>
        <w:t xml:space="preserve">Figure </w:t>
      </w:r>
      <w:r w:rsidR="00DD6033">
        <w:rPr>
          <w:rFonts w:eastAsia="SimSun" w:cs="Arial"/>
          <w:b/>
          <w:bCs/>
          <w:szCs w:val="20"/>
        </w:rPr>
        <w:t xml:space="preserve">S3 </w:t>
      </w:r>
      <w:r w:rsidR="00DD6033" w:rsidRPr="00DD6033">
        <w:rPr>
          <w:rFonts w:eastAsia="SimSun" w:cs="Arial"/>
          <w:szCs w:val="20"/>
        </w:rPr>
        <w:t>Blood biochemical analysis and hematological data from the healthy mice in the control group and 7, 14 and 28 days after injection of MIBFP NPs.</w:t>
      </w:r>
    </w:p>
    <w:p w14:paraId="3EB89A04" w14:textId="73DF0A1F" w:rsidR="00F77940" w:rsidRDefault="007B0484" w:rsidP="00BF7F8D">
      <w:pPr>
        <w:adjustRightInd w:val="0"/>
        <w:snapToGrid w:val="0"/>
        <w:jc w:val="both"/>
      </w:pPr>
      <w:r w:rsidRPr="00E67159">
        <w:rPr>
          <w:rFonts w:eastAsia="SimSun" w:cs="Arial"/>
          <w:b/>
          <w:bCs/>
          <w:szCs w:val="20"/>
        </w:rPr>
        <w:t>Abbreviations:</w:t>
      </w:r>
      <w:r>
        <w:rPr>
          <w:rFonts w:eastAsia="SimSun" w:cs="Arial"/>
          <w:szCs w:val="20"/>
        </w:rPr>
        <w:t xml:space="preserve"> </w:t>
      </w:r>
      <w:r w:rsidR="00DD6033" w:rsidRPr="007B0484">
        <w:rPr>
          <w:rFonts w:eastAsia="SimSun" w:cs="Arial" w:hint="eastAsia"/>
          <w:iCs/>
          <w:szCs w:val="20"/>
        </w:rPr>
        <w:t>MIBF</w:t>
      </w:r>
      <w:r w:rsidR="00DD6033" w:rsidRPr="007B0484">
        <w:rPr>
          <w:rFonts w:eastAsia="SimSun" w:cs="Arial"/>
          <w:iCs/>
          <w:szCs w:val="20"/>
        </w:rPr>
        <w:t>P NP</w:t>
      </w:r>
      <w:r w:rsidR="00DD6033">
        <w:rPr>
          <w:rFonts w:eastAsia="SimSun" w:cs="Arial"/>
          <w:iCs/>
          <w:szCs w:val="20"/>
        </w:rPr>
        <w:t>s,</w:t>
      </w:r>
      <w:r w:rsidR="00DD6033" w:rsidRPr="0019205D">
        <w:rPr>
          <w:rFonts w:cs="Arial"/>
          <w:bCs/>
        </w:rPr>
        <w:t xml:space="preserve"> </w:t>
      </w:r>
      <w:r w:rsidR="00DD6033" w:rsidRPr="0066640C">
        <w:rPr>
          <w:rFonts w:cs="Arial"/>
          <w:bCs/>
        </w:rPr>
        <w:t>mAbs</w:t>
      </w:r>
      <w:r w:rsidR="00DD6033">
        <w:rPr>
          <w:rFonts w:cs="Arial"/>
          <w:bCs/>
        </w:rPr>
        <w:t xml:space="preserve">, </w:t>
      </w:r>
      <w:r w:rsidR="00DD6033" w:rsidRPr="0066640C">
        <w:rPr>
          <w:rFonts w:cs="Arial"/>
          <w:bCs/>
        </w:rPr>
        <w:t>ICG</w:t>
      </w:r>
      <w:r w:rsidR="00DD6033">
        <w:rPr>
          <w:rFonts w:hint="eastAsia"/>
          <w:lang w:eastAsia="zh-CN"/>
        </w:rPr>
        <w:t>,</w:t>
      </w:r>
      <w:r w:rsidR="00DD6033">
        <w:rPr>
          <w:lang w:eastAsia="zh-CN"/>
        </w:rPr>
        <w:t xml:space="preserve"> </w:t>
      </w:r>
      <w:r w:rsidR="00DD6033" w:rsidRPr="0066640C">
        <w:rPr>
          <w:rFonts w:cs="Arial"/>
          <w:bCs/>
        </w:rPr>
        <w:t>pB-DOX</w:t>
      </w:r>
      <w:r w:rsidR="00DD6033">
        <w:rPr>
          <w:rFonts w:cs="Arial"/>
          <w:bCs/>
        </w:rPr>
        <w:t xml:space="preserve"> and </w:t>
      </w:r>
      <w:r w:rsidR="00DD6033" w:rsidRPr="0066640C">
        <w:rPr>
          <w:rFonts w:cs="Arial"/>
          <w:bCs/>
        </w:rPr>
        <w:t>Fe</w:t>
      </w:r>
      <w:r w:rsidR="00DD6033" w:rsidRPr="0066640C">
        <w:rPr>
          <w:rFonts w:cs="Arial"/>
          <w:bCs/>
          <w:vertAlign w:val="subscript"/>
        </w:rPr>
        <w:t>3</w:t>
      </w:r>
      <w:r w:rsidR="00DD6033" w:rsidRPr="0066640C">
        <w:rPr>
          <w:rFonts w:cs="Arial"/>
          <w:bCs/>
        </w:rPr>
        <w:t>O</w:t>
      </w:r>
      <w:r w:rsidR="00DD6033" w:rsidRPr="0066640C">
        <w:rPr>
          <w:rFonts w:cs="Arial"/>
          <w:bCs/>
          <w:vertAlign w:val="subscript"/>
        </w:rPr>
        <w:t>4</w:t>
      </w:r>
      <w:r w:rsidR="00DD6033" w:rsidRPr="0019205D">
        <w:rPr>
          <w:rFonts w:cs="Arial"/>
          <w:bCs/>
        </w:rPr>
        <w:t>,</w:t>
      </w:r>
      <w:r w:rsidR="00DD6033">
        <w:rPr>
          <w:rFonts w:eastAsia="SimSun" w:cs="Arial"/>
          <w:szCs w:val="20"/>
        </w:rPr>
        <w:t xml:space="preserve"> coloaded</w:t>
      </w:r>
      <w:r w:rsidR="00DD6033" w:rsidRPr="0019205D">
        <w:rPr>
          <w:rFonts w:cs="Arial"/>
          <w:bCs/>
        </w:rPr>
        <w:t xml:space="preserve"> </w:t>
      </w:r>
      <w:r w:rsidR="00DD6033" w:rsidRPr="0066640C">
        <w:rPr>
          <w:rFonts w:cs="Arial"/>
          <w:bCs/>
        </w:rPr>
        <w:t>poly</w:t>
      </w:r>
      <w:r w:rsidR="00DD6033">
        <w:rPr>
          <w:rFonts w:cs="Arial"/>
          <w:bCs/>
        </w:rPr>
        <w:t xml:space="preserve"> (lactic-co-glycolic acid</w:t>
      </w:r>
      <w:r w:rsidR="00DD6033">
        <w:rPr>
          <w:rFonts w:cs="Arial" w:hint="eastAsia"/>
          <w:bCs/>
          <w:lang w:eastAsia="zh-CN"/>
        </w:rPr>
        <w:t>)</w:t>
      </w:r>
      <w:r w:rsidR="00DD6033">
        <w:rPr>
          <w:rFonts w:hint="eastAsia"/>
          <w:lang w:eastAsia="zh-CN"/>
        </w:rPr>
        <w:t xml:space="preserve"> </w:t>
      </w:r>
      <w:r w:rsidR="00DD6033" w:rsidRPr="0066640C">
        <w:rPr>
          <w:rFonts w:cs="Arial"/>
          <w:bCs/>
        </w:rPr>
        <w:t>nanoparticles</w:t>
      </w:r>
      <w:r w:rsidR="00DD6033">
        <w:t>.</w:t>
      </w:r>
      <w:r w:rsidR="00F77940">
        <w:br w:type="page"/>
      </w:r>
    </w:p>
    <w:p w14:paraId="4E94461D" w14:textId="77777777" w:rsidR="00DD6033" w:rsidRPr="00DD6033" w:rsidRDefault="00DD6033" w:rsidP="00BF7F8D">
      <w:pPr>
        <w:adjustRightInd w:val="0"/>
        <w:snapToGrid w:val="0"/>
        <w:jc w:val="both"/>
        <w:rPr>
          <w:rFonts w:eastAsia="SimSun" w:cs="Arial"/>
          <w:szCs w:val="20"/>
        </w:rPr>
      </w:pPr>
    </w:p>
    <w:p w14:paraId="726EA928" w14:textId="71202464" w:rsidR="003F7B97" w:rsidRDefault="00990425" w:rsidP="00BF7F8D">
      <w:pPr>
        <w:adjustRightInd w:val="0"/>
        <w:snapToGrid w:val="0"/>
        <w:jc w:val="both"/>
        <w:rPr>
          <w:rFonts w:eastAsia="SimSun" w:cs="Arial"/>
          <w:b/>
          <w:bCs/>
          <w:color w:val="000000" w:themeColor="text1"/>
          <w:szCs w:val="20"/>
        </w:rPr>
      </w:pPr>
      <w:r w:rsidRPr="00990425">
        <w:rPr>
          <w:rFonts w:eastAsia="SimSun" w:cs="Arial"/>
          <w:b/>
          <w:bCs/>
          <w:color w:val="000000" w:themeColor="text1"/>
          <w:szCs w:val="20"/>
        </w:rPr>
        <w:drawing>
          <wp:inline distT="0" distB="0" distL="0" distR="0" wp14:anchorId="7921092F" wp14:editId="15244672">
            <wp:extent cx="5486400" cy="4366895"/>
            <wp:effectExtent l="0" t="0" r="0" b="0"/>
            <wp:docPr id="203461046" name="Picture 1" descr="A collage of cel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461046" name="Picture 1" descr="A collage of cells&#10;&#10;Description automatically generated"/>
                    <pic:cNvPicPr/>
                  </pic:nvPicPr>
                  <pic:blipFill>
                    <a:blip r:embed="rId11"/>
                    <a:stretch>
                      <a:fillRect/>
                    </a:stretch>
                  </pic:blipFill>
                  <pic:spPr>
                    <a:xfrm>
                      <a:off x="0" y="0"/>
                      <a:ext cx="5486400" cy="4366895"/>
                    </a:xfrm>
                    <a:prstGeom prst="rect">
                      <a:avLst/>
                    </a:prstGeom>
                  </pic:spPr>
                </pic:pic>
              </a:graphicData>
            </a:graphic>
          </wp:inline>
        </w:drawing>
      </w:r>
    </w:p>
    <w:p w14:paraId="16F0178E" w14:textId="660F4248" w:rsidR="00DD6033" w:rsidRDefault="007B0484" w:rsidP="00BF7F8D">
      <w:pPr>
        <w:adjustRightInd w:val="0"/>
        <w:snapToGrid w:val="0"/>
        <w:jc w:val="both"/>
        <w:rPr>
          <w:rFonts w:eastAsia="SimSun" w:cs="Arial"/>
          <w:color w:val="000000" w:themeColor="text1"/>
          <w:szCs w:val="20"/>
        </w:rPr>
      </w:pPr>
      <w:r w:rsidRPr="00015E55">
        <w:rPr>
          <w:rFonts w:eastAsia="SimSun" w:cs="Arial"/>
          <w:b/>
          <w:bCs/>
          <w:color w:val="000000" w:themeColor="text1"/>
          <w:szCs w:val="20"/>
        </w:rPr>
        <w:t xml:space="preserve">Figure </w:t>
      </w:r>
      <w:r w:rsidR="00DD6033">
        <w:rPr>
          <w:rFonts w:eastAsia="SimSun" w:cs="Arial"/>
          <w:b/>
          <w:bCs/>
          <w:szCs w:val="20"/>
        </w:rPr>
        <w:t>S</w:t>
      </w:r>
      <w:r w:rsidRPr="00015E55">
        <w:rPr>
          <w:rFonts w:eastAsia="SimSun" w:cs="Arial"/>
          <w:b/>
          <w:bCs/>
          <w:color w:val="000000" w:themeColor="text1"/>
          <w:szCs w:val="20"/>
        </w:rPr>
        <w:t>4</w:t>
      </w:r>
      <w:r>
        <w:rPr>
          <w:rFonts w:eastAsia="SimSun" w:cs="Arial"/>
          <w:color w:val="000000" w:themeColor="text1"/>
          <w:szCs w:val="20"/>
        </w:rPr>
        <w:t xml:space="preserve"> </w:t>
      </w:r>
      <w:r w:rsidR="00DD6033" w:rsidRPr="00DD6033">
        <w:rPr>
          <w:rFonts w:eastAsia="SimSun" w:cs="Arial"/>
          <w:bCs/>
          <w:color w:val="000000" w:themeColor="text1"/>
          <w:szCs w:val="20"/>
        </w:rPr>
        <w:t>H&amp;E staining of the major organs (heart, liver, spleen, lung and kidney) of the healthy mice in the control group and 7, 14 and 28 days after the injection of MIBFP NPs, the scale bar were 100</w:t>
      </w:r>
      <w:r w:rsidR="00DD6033">
        <w:rPr>
          <w:rFonts w:eastAsia="SimSun" w:cs="Arial"/>
          <w:bCs/>
          <w:color w:val="000000" w:themeColor="text1"/>
          <w:szCs w:val="20"/>
        </w:rPr>
        <w:t xml:space="preserve"> </w:t>
      </w:r>
      <w:r w:rsidR="00DD6033" w:rsidRPr="00DD6033">
        <w:rPr>
          <w:rFonts w:eastAsia="SimSun" w:cs="Arial"/>
          <w:bCs/>
          <w:color w:val="000000" w:themeColor="text1"/>
          <w:szCs w:val="20"/>
        </w:rPr>
        <w:t>µm.</w:t>
      </w:r>
    </w:p>
    <w:p w14:paraId="410CCEE5" w14:textId="52D9D196" w:rsidR="00F77940" w:rsidRDefault="007B0484" w:rsidP="00BF7F8D">
      <w:pPr>
        <w:adjustRightInd w:val="0"/>
        <w:snapToGrid w:val="0"/>
        <w:jc w:val="both"/>
      </w:pPr>
      <w:r w:rsidRPr="00015E55">
        <w:rPr>
          <w:rFonts w:eastAsia="SimSun" w:cs="Arial"/>
          <w:b/>
          <w:bCs/>
          <w:szCs w:val="20"/>
        </w:rPr>
        <w:t xml:space="preserve">Abbreviations: </w:t>
      </w:r>
      <w:r w:rsidR="00DD6033" w:rsidRPr="009F5AAA">
        <w:rPr>
          <w:rFonts w:eastAsia="SimSun" w:cs="Arial"/>
          <w:szCs w:val="20"/>
        </w:rPr>
        <w:t>H&amp;E</w:t>
      </w:r>
      <w:r w:rsidR="00DD6033">
        <w:rPr>
          <w:rFonts w:cs="Arial"/>
          <w:bCs/>
        </w:rPr>
        <w:t xml:space="preserve">, </w:t>
      </w:r>
      <w:r w:rsidR="00DD6033">
        <w:rPr>
          <w:rFonts w:eastAsia="SimSun" w:cs="Arial"/>
          <w:szCs w:val="20"/>
        </w:rPr>
        <w:t>hematoxylin and eosin staining</w:t>
      </w:r>
      <w:r w:rsidR="00DD6033">
        <w:rPr>
          <w:rFonts w:cs="Arial"/>
          <w:color w:val="000000" w:themeColor="text1"/>
        </w:rPr>
        <w:t xml:space="preserve">; </w:t>
      </w:r>
      <w:r w:rsidR="00DD6033" w:rsidRPr="007B0484">
        <w:rPr>
          <w:rFonts w:eastAsia="SimSun" w:cs="Arial" w:hint="eastAsia"/>
          <w:iCs/>
          <w:szCs w:val="20"/>
        </w:rPr>
        <w:t>MIBF</w:t>
      </w:r>
      <w:r w:rsidR="00DD6033" w:rsidRPr="007B0484">
        <w:rPr>
          <w:rFonts w:eastAsia="SimSun" w:cs="Arial"/>
          <w:iCs/>
          <w:szCs w:val="20"/>
        </w:rPr>
        <w:t>P NP</w:t>
      </w:r>
      <w:r w:rsidR="00DD6033">
        <w:rPr>
          <w:rFonts w:eastAsia="SimSun" w:cs="Arial"/>
          <w:iCs/>
          <w:szCs w:val="20"/>
        </w:rPr>
        <w:t>s,</w:t>
      </w:r>
      <w:r w:rsidR="00DD6033" w:rsidRPr="0019205D">
        <w:rPr>
          <w:rFonts w:cs="Arial"/>
          <w:bCs/>
        </w:rPr>
        <w:t xml:space="preserve"> </w:t>
      </w:r>
      <w:r w:rsidR="00DD6033" w:rsidRPr="0066640C">
        <w:rPr>
          <w:rFonts w:cs="Arial"/>
          <w:bCs/>
        </w:rPr>
        <w:t>mAbs</w:t>
      </w:r>
      <w:r w:rsidR="00DD6033">
        <w:rPr>
          <w:rFonts w:cs="Arial"/>
          <w:bCs/>
        </w:rPr>
        <w:t xml:space="preserve">, </w:t>
      </w:r>
      <w:r w:rsidR="00DD6033" w:rsidRPr="0066640C">
        <w:rPr>
          <w:rFonts w:cs="Arial"/>
          <w:bCs/>
        </w:rPr>
        <w:t>ICG</w:t>
      </w:r>
      <w:r w:rsidR="00DD6033">
        <w:rPr>
          <w:rFonts w:hint="eastAsia"/>
          <w:lang w:eastAsia="zh-CN"/>
        </w:rPr>
        <w:t>,</w:t>
      </w:r>
      <w:r w:rsidR="00DD6033">
        <w:rPr>
          <w:lang w:eastAsia="zh-CN"/>
        </w:rPr>
        <w:t xml:space="preserve"> </w:t>
      </w:r>
      <w:r w:rsidR="00DD6033" w:rsidRPr="0066640C">
        <w:rPr>
          <w:rFonts w:cs="Arial"/>
          <w:bCs/>
        </w:rPr>
        <w:t>pB-DOX</w:t>
      </w:r>
      <w:r w:rsidR="00DD6033">
        <w:rPr>
          <w:rFonts w:cs="Arial"/>
          <w:bCs/>
        </w:rPr>
        <w:t xml:space="preserve"> and </w:t>
      </w:r>
      <w:r w:rsidR="00DD6033" w:rsidRPr="0066640C">
        <w:rPr>
          <w:rFonts w:cs="Arial"/>
          <w:bCs/>
        </w:rPr>
        <w:t>Fe</w:t>
      </w:r>
      <w:r w:rsidR="00DD6033" w:rsidRPr="0066640C">
        <w:rPr>
          <w:rFonts w:cs="Arial"/>
          <w:bCs/>
          <w:vertAlign w:val="subscript"/>
        </w:rPr>
        <w:t>3</w:t>
      </w:r>
      <w:r w:rsidR="00DD6033" w:rsidRPr="0066640C">
        <w:rPr>
          <w:rFonts w:cs="Arial"/>
          <w:bCs/>
        </w:rPr>
        <w:t>O</w:t>
      </w:r>
      <w:r w:rsidR="00DD6033" w:rsidRPr="0066640C">
        <w:rPr>
          <w:rFonts w:cs="Arial"/>
          <w:bCs/>
          <w:vertAlign w:val="subscript"/>
        </w:rPr>
        <w:t>4</w:t>
      </w:r>
      <w:r w:rsidR="00DD6033" w:rsidRPr="0019205D">
        <w:rPr>
          <w:rFonts w:cs="Arial"/>
          <w:bCs/>
        </w:rPr>
        <w:t>,</w:t>
      </w:r>
      <w:r w:rsidR="00DD6033">
        <w:rPr>
          <w:rFonts w:eastAsia="SimSun" w:cs="Arial"/>
          <w:szCs w:val="20"/>
        </w:rPr>
        <w:t xml:space="preserve"> coloaded</w:t>
      </w:r>
      <w:r w:rsidR="00DD6033" w:rsidRPr="0019205D">
        <w:rPr>
          <w:rFonts w:cs="Arial"/>
          <w:bCs/>
        </w:rPr>
        <w:t xml:space="preserve"> </w:t>
      </w:r>
      <w:r w:rsidR="00DD6033" w:rsidRPr="0066640C">
        <w:rPr>
          <w:rFonts w:cs="Arial"/>
          <w:bCs/>
        </w:rPr>
        <w:t>poly</w:t>
      </w:r>
      <w:r w:rsidR="00DD6033">
        <w:rPr>
          <w:rFonts w:cs="Arial"/>
          <w:bCs/>
        </w:rPr>
        <w:t xml:space="preserve"> (lactic-co-glycolic acid</w:t>
      </w:r>
      <w:r w:rsidR="00DD6033">
        <w:rPr>
          <w:rFonts w:cs="Arial" w:hint="eastAsia"/>
          <w:bCs/>
          <w:lang w:eastAsia="zh-CN"/>
        </w:rPr>
        <w:t>)</w:t>
      </w:r>
      <w:r w:rsidR="00DD6033">
        <w:rPr>
          <w:rFonts w:hint="eastAsia"/>
          <w:lang w:eastAsia="zh-CN"/>
        </w:rPr>
        <w:t xml:space="preserve"> </w:t>
      </w:r>
      <w:r w:rsidR="00DD6033" w:rsidRPr="0066640C">
        <w:rPr>
          <w:rFonts w:cs="Arial"/>
          <w:bCs/>
        </w:rPr>
        <w:t>nanoparticles</w:t>
      </w:r>
      <w:r w:rsidR="00DD6033">
        <w:t>.</w:t>
      </w:r>
      <w:r w:rsidR="00F77940">
        <w:br w:type="page"/>
      </w:r>
    </w:p>
    <w:p w14:paraId="094A568A" w14:textId="77777777" w:rsidR="00DD6033" w:rsidRDefault="00DD6033" w:rsidP="00BF7F8D">
      <w:pPr>
        <w:adjustRightInd w:val="0"/>
        <w:snapToGrid w:val="0"/>
        <w:jc w:val="both"/>
      </w:pPr>
    </w:p>
    <w:p w14:paraId="6B84B7CA" w14:textId="665650F7" w:rsidR="009A2405" w:rsidRPr="00DD6033" w:rsidRDefault="002917EA" w:rsidP="00BF7F8D">
      <w:pPr>
        <w:adjustRightInd w:val="0"/>
        <w:snapToGrid w:val="0"/>
        <w:jc w:val="both"/>
        <w:rPr>
          <w:rFonts w:eastAsia="SimSun" w:cs="Arial"/>
          <w:szCs w:val="20"/>
        </w:rPr>
      </w:pPr>
      <w:r>
        <w:rPr>
          <w:noProof/>
        </w:rPr>
        <w:drawing>
          <wp:inline distT="0" distB="0" distL="0" distR="0" wp14:anchorId="4531CA48" wp14:editId="53D0077D">
            <wp:extent cx="5486400" cy="2230120"/>
            <wp:effectExtent l="0" t="0" r="0" b="0"/>
            <wp:docPr id="147493207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486400" cy="2230120"/>
                    </a:xfrm>
                    <a:prstGeom prst="rect">
                      <a:avLst/>
                    </a:prstGeom>
                    <a:noFill/>
                    <a:ln>
                      <a:noFill/>
                    </a:ln>
                  </pic:spPr>
                </pic:pic>
              </a:graphicData>
            </a:graphic>
          </wp:inline>
        </w:drawing>
      </w:r>
    </w:p>
    <w:p w14:paraId="43988835" w14:textId="1166930B" w:rsidR="00DD6033" w:rsidRPr="00BF7F8D" w:rsidRDefault="007B0484" w:rsidP="00BF7F8D">
      <w:pPr>
        <w:adjustRightInd w:val="0"/>
        <w:snapToGrid w:val="0"/>
        <w:jc w:val="both"/>
        <w:rPr>
          <w:rFonts w:eastAsia="SimSun" w:cs="Arial"/>
          <w:szCs w:val="20"/>
        </w:rPr>
      </w:pPr>
      <w:r w:rsidRPr="00BF7F8D">
        <w:rPr>
          <w:rFonts w:eastAsia="SimSun" w:cs="Arial"/>
          <w:b/>
          <w:bCs/>
          <w:szCs w:val="20"/>
        </w:rPr>
        <w:t xml:space="preserve">Figure </w:t>
      </w:r>
      <w:r w:rsidR="00DD6033" w:rsidRPr="00BF7F8D">
        <w:rPr>
          <w:rFonts w:eastAsia="SimSun" w:cs="Arial"/>
          <w:b/>
          <w:bCs/>
          <w:szCs w:val="20"/>
        </w:rPr>
        <w:t>S</w:t>
      </w:r>
      <w:r w:rsidRPr="00BF7F8D">
        <w:rPr>
          <w:rFonts w:eastAsia="SimSun" w:cs="Arial"/>
          <w:b/>
          <w:bCs/>
          <w:szCs w:val="20"/>
        </w:rPr>
        <w:t>5</w:t>
      </w:r>
      <w:r w:rsidRPr="00BF7F8D">
        <w:rPr>
          <w:rFonts w:eastAsia="SimSun" w:cs="Arial"/>
          <w:szCs w:val="20"/>
        </w:rPr>
        <w:t xml:space="preserve"> </w:t>
      </w:r>
      <w:r w:rsidR="00DD6033" w:rsidRPr="00BF7F8D">
        <w:rPr>
          <w:rFonts w:eastAsia="SimSun" w:cs="Arial"/>
          <w:szCs w:val="20"/>
        </w:rPr>
        <w:t>CLSM images and the FCM analysis of the intracellular uptake of MIBFP NPs by ZR75.1 cells after various intervals of incubation, the scale bar is 25 µm.</w:t>
      </w:r>
    </w:p>
    <w:p w14:paraId="3228FE2E" w14:textId="23D192EC" w:rsidR="00F77940" w:rsidRDefault="007B0484" w:rsidP="00BF7F8D">
      <w:pPr>
        <w:adjustRightInd w:val="0"/>
        <w:snapToGrid w:val="0"/>
        <w:jc w:val="both"/>
      </w:pPr>
      <w:r w:rsidRPr="00015E55">
        <w:rPr>
          <w:rFonts w:eastAsia="SimSun" w:cs="Arial"/>
          <w:b/>
          <w:bCs/>
          <w:szCs w:val="20"/>
        </w:rPr>
        <w:t xml:space="preserve">Abbreviations: </w:t>
      </w:r>
      <w:r w:rsidR="00DD6033" w:rsidRPr="00B568D9">
        <w:rPr>
          <w:rFonts w:eastAsia="SimSun" w:cs="Arial"/>
          <w:szCs w:val="20"/>
        </w:rPr>
        <w:t>CLSM</w:t>
      </w:r>
      <w:r w:rsidR="00DD6033">
        <w:rPr>
          <w:rFonts w:eastAsia="SimSun" w:cs="Arial"/>
          <w:szCs w:val="20"/>
        </w:rPr>
        <w:t xml:space="preserve">, </w:t>
      </w:r>
      <w:r w:rsidR="00DD6033" w:rsidRPr="00BB64B8">
        <w:t>confocal laser scanning microscope</w:t>
      </w:r>
      <w:r w:rsidR="00DD6033">
        <w:t xml:space="preserve">; </w:t>
      </w:r>
      <w:r w:rsidR="00DD6033" w:rsidRPr="0097465D">
        <w:rPr>
          <w:rFonts w:eastAsia="SimSun" w:cs="Arial"/>
          <w:szCs w:val="20"/>
        </w:rPr>
        <w:t>FCM</w:t>
      </w:r>
      <w:r w:rsidR="00DD6033">
        <w:rPr>
          <w:rFonts w:eastAsia="SimSun" w:cs="Arial"/>
          <w:szCs w:val="20"/>
        </w:rPr>
        <w:t xml:space="preserve">, </w:t>
      </w:r>
      <w:r w:rsidR="00DD6033" w:rsidRPr="00BB64B8">
        <w:t>flow cytometry</w:t>
      </w:r>
      <w:r w:rsidR="00DD6033">
        <w:t xml:space="preserve">; </w:t>
      </w:r>
      <w:r w:rsidR="00DD6033" w:rsidRPr="007B0484">
        <w:rPr>
          <w:rFonts w:eastAsia="SimSun" w:cs="Arial" w:hint="eastAsia"/>
          <w:iCs/>
          <w:szCs w:val="20"/>
        </w:rPr>
        <w:t>MIBF</w:t>
      </w:r>
      <w:r w:rsidR="00DD6033" w:rsidRPr="007B0484">
        <w:rPr>
          <w:rFonts w:eastAsia="SimSun" w:cs="Arial"/>
          <w:iCs/>
          <w:szCs w:val="20"/>
        </w:rPr>
        <w:t>P NP</w:t>
      </w:r>
      <w:r w:rsidR="00DD6033">
        <w:rPr>
          <w:rFonts w:eastAsia="SimSun" w:cs="Arial"/>
          <w:iCs/>
          <w:szCs w:val="20"/>
        </w:rPr>
        <w:t>s,</w:t>
      </w:r>
      <w:r w:rsidR="00DD6033" w:rsidRPr="0019205D">
        <w:rPr>
          <w:rFonts w:cs="Arial"/>
          <w:bCs/>
        </w:rPr>
        <w:t xml:space="preserve"> </w:t>
      </w:r>
      <w:r w:rsidR="00DD6033" w:rsidRPr="0066640C">
        <w:rPr>
          <w:rFonts w:cs="Arial"/>
          <w:bCs/>
        </w:rPr>
        <w:t>mAbs</w:t>
      </w:r>
      <w:r w:rsidR="00DD6033">
        <w:rPr>
          <w:rFonts w:cs="Arial"/>
          <w:bCs/>
        </w:rPr>
        <w:t xml:space="preserve">, </w:t>
      </w:r>
      <w:r w:rsidR="00DD6033" w:rsidRPr="0066640C">
        <w:rPr>
          <w:rFonts w:cs="Arial"/>
          <w:bCs/>
        </w:rPr>
        <w:t>ICG</w:t>
      </w:r>
      <w:r w:rsidR="00DD6033">
        <w:rPr>
          <w:rFonts w:hint="eastAsia"/>
          <w:lang w:eastAsia="zh-CN"/>
        </w:rPr>
        <w:t>,</w:t>
      </w:r>
      <w:r w:rsidR="00DD6033">
        <w:rPr>
          <w:lang w:eastAsia="zh-CN"/>
        </w:rPr>
        <w:t xml:space="preserve"> </w:t>
      </w:r>
      <w:r w:rsidR="00DD6033" w:rsidRPr="0066640C">
        <w:rPr>
          <w:rFonts w:cs="Arial"/>
          <w:bCs/>
        </w:rPr>
        <w:t>pB-DOX</w:t>
      </w:r>
      <w:r w:rsidR="00DD6033">
        <w:rPr>
          <w:rFonts w:cs="Arial"/>
          <w:bCs/>
        </w:rPr>
        <w:t xml:space="preserve"> and </w:t>
      </w:r>
      <w:r w:rsidR="00DD6033" w:rsidRPr="0066640C">
        <w:rPr>
          <w:rFonts w:cs="Arial"/>
          <w:bCs/>
        </w:rPr>
        <w:t>Fe</w:t>
      </w:r>
      <w:r w:rsidR="00DD6033" w:rsidRPr="0066640C">
        <w:rPr>
          <w:rFonts w:cs="Arial"/>
          <w:bCs/>
          <w:vertAlign w:val="subscript"/>
        </w:rPr>
        <w:t>3</w:t>
      </w:r>
      <w:r w:rsidR="00DD6033" w:rsidRPr="0066640C">
        <w:rPr>
          <w:rFonts w:cs="Arial"/>
          <w:bCs/>
        </w:rPr>
        <w:t>O</w:t>
      </w:r>
      <w:r w:rsidR="00DD6033" w:rsidRPr="0066640C">
        <w:rPr>
          <w:rFonts w:cs="Arial"/>
          <w:bCs/>
          <w:vertAlign w:val="subscript"/>
        </w:rPr>
        <w:t>4</w:t>
      </w:r>
      <w:r w:rsidR="00DD6033" w:rsidRPr="0019205D">
        <w:rPr>
          <w:rFonts w:cs="Arial"/>
          <w:bCs/>
        </w:rPr>
        <w:t>,</w:t>
      </w:r>
      <w:r w:rsidR="00DD6033">
        <w:rPr>
          <w:rFonts w:eastAsia="SimSun" w:cs="Arial"/>
          <w:szCs w:val="20"/>
        </w:rPr>
        <w:t xml:space="preserve"> coloaded</w:t>
      </w:r>
      <w:r w:rsidR="00DD6033" w:rsidRPr="0019205D">
        <w:rPr>
          <w:rFonts w:cs="Arial"/>
          <w:bCs/>
        </w:rPr>
        <w:t xml:space="preserve"> </w:t>
      </w:r>
      <w:r w:rsidR="00DD6033" w:rsidRPr="0066640C">
        <w:rPr>
          <w:rFonts w:cs="Arial"/>
          <w:bCs/>
        </w:rPr>
        <w:t>poly</w:t>
      </w:r>
      <w:r w:rsidR="00DD6033">
        <w:rPr>
          <w:rFonts w:cs="Arial"/>
          <w:bCs/>
        </w:rPr>
        <w:t xml:space="preserve"> (lactic-co-glycolic acid</w:t>
      </w:r>
      <w:r w:rsidR="00DD6033">
        <w:rPr>
          <w:rFonts w:cs="Arial" w:hint="eastAsia"/>
          <w:bCs/>
          <w:lang w:eastAsia="zh-CN"/>
        </w:rPr>
        <w:t>)</w:t>
      </w:r>
      <w:r w:rsidR="00DD6033">
        <w:rPr>
          <w:rFonts w:hint="eastAsia"/>
          <w:lang w:eastAsia="zh-CN"/>
        </w:rPr>
        <w:t xml:space="preserve"> </w:t>
      </w:r>
      <w:r w:rsidR="00DD6033" w:rsidRPr="0066640C">
        <w:rPr>
          <w:rFonts w:cs="Arial"/>
          <w:bCs/>
        </w:rPr>
        <w:t>nanoparticles</w:t>
      </w:r>
      <w:r w:rsidR="00DD6033">
        <w:t>.</w:t>
      </w:r>
      <w:r w:rsidR="00F77940">
        <w:br w:type="page"/>
      </w:r>
    </w:p>
    <w:p w14:paraId="39FE3D3A" w14:textId="77777777" w:rsidR="00DD6033" w:rsidRDefault="00DD6033" w:rsidP="00BF7F8D">
      <w:pPr>
        <w:adjustRightInd w:val="0"/>
        <w:snapToGrid w:val="0"/>
        <w:jc w:val="both"/>
      </w:pPr>
    </w:p>
    <w:p w14:paraId="3973FC23" w14:textId="2B0C3863" w:rsidR="003C3845" w:rsidRDefault="002917EA" w:rsidP="00BF7F8D">
      <w:pPr>
        <w:adjustRightInd w:val="0"/>
        <w:snapToGrid w:val="0"/>
        <w:jc w:val="both"/>
        <w:rPr>
          <w:lang w:eastAsia="zh-CN"/>
        </w:rPr>
      </w:pPr>
      <w:r>
        <w:rPr>
          <w:noProof/>
        </w:rPr>
        <w:drawing>
          <wp:inline distT="0" distB="0" distL="0" distR="0" wp14:anchorId="50CC1AC1" wp14:editId="2FA7CF7F">
            <wp:extent cx="5486400" cy="2249170"/>
            <wp:effectExtent l="0" t="0" r="0" b="0"/>
            <wp:docPr id="1405420766"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486400" cy="2249170"/>
                    </a:xfrm>
                    <a:prstGeom prst="rect">
                      <a:avLst/>
                    </a:prstGeom>
                    <a:noFill/>
                    <a:ln>
                      <a:noFill/>
                    </a:ln>
                  </pic:spPr>
                </pic:pic>
              </a:graphicData>
            </a:graphic>
          </wp:inline>
        </w:drawing>
      </w:r>
    </w:p>
    <w:p w14:paraId="20478AD2" w14:textId="2C6CFDE0" w:rsidR="002917EA" w:rsidRPr="00BF7F8D" w:rsidRDefault="002917EA" w:rsidP="00BF7F8D">
      <w:pPr>
        <w:adjustRightInd w:val="0"/>
        <w:snapToGrid w:val="0"/>
        <w:jc w:val="both"/>
        <w:rPr>
          <w:rFonts w:eastAsia="SimSun" w:cs="Arial"/>
          <w:szCs w:val="20"/>
        </w:rPr>
      </w:pPr>
      <w:r w:rsidRPr="00BF7F8D">
        <w:rPr>
          <w:rFonts w:eastAsia="SimSun" w:cs="Arial"/>
          <w:b/>
          <w:bCs/>
          <w:szCs w:val="20"/>
        </w:rPr>
        <w:t>Figure S</w:t>
      </w:r>
      <w:r w:rsidRPr="00BF7F8D">
        <w:rPr>
          <w:rFonts w:eastAsia="SimSun" w:cs="Arial" w:hint="eastAsia"/>
          <w:b/>
          <w:bCs/>
          <w:szCs w:val="20"/>
          <w:lang w:eastAsia="zh-CN"/>
        </w:rPr>
        <w:t>6</w:t>
      </w:r>
      <w:r w:rsidRPr="00BF7F8D">
        <w:rPr>
          <w:rFonts w:eastAsia="SimSun" w:cs="Arial"/>
          <w:szCs w:val="20"/>
        </w:rPr>
        <w:t xml:space="preserve"> CLSM images and the FCM analysis of the intracellular uptake of MIBFP NPs by </w:t>
      </w:r>
      <w:r w:rsidRPr="00BF7F8D">
        <w:rPr>
          <w:rFonts w:eastAsia="SimSun" w:cs="Arial" w:hint="eastAsia"/>
          <w:szCs w:val="20"/>
          <w:lang w:eastAsia="zh-CN"/>
        </w:rPr>
        <w:t>HMEC</w:t>
      </w:r>
      <w:r w:rsidRPr="00BF7F8D">
        <w:rPr>
          <w:rFonts w:eastAsia="SimSun" w:cs="Arial"/>
          <w:szCs w:val="20"/>
        </w:rPr>
        <w:t xml:space="preserve"> cells after various intervals of incubation, the scale bar is 25 µm.</w:t>
      </w:r>
    </w:p>
    <w:p w14:paraId="73A55AE0" w14:textId="5A0B623F" w:rsidR="00F77940" w:rsidRDefault="002917EA" w:rsidP="00BF7F8D">
      <w:pPr>
        <w:adjustRightInd w:val="0"/>
        <w:snapToGrid w:val="0"/>
        <w:jc w:val="both"/>
      </w:pPr>
      <w:r w:rsidRPr="00015E55">
        <w:rPr>
          <w:rFonts w:eastAsia="SimSun" w:cs="Arial"/>
          <w:b/>
          <w:bCs/>
          <w:szCs w:val="20"/>
        </w:rPr>
        <w:t xml:space="preserve">Abbreviations: </w:t>
      </w:r>
      <w:r w:rsidRPr="00B568D9">
        <w:rPr>
          <w:rFonts w:eastAsia="SimSun" w:cs="Arial"/>
          <w:szCs w:val="20"/>
        </w:rPr>
        <w:t>CLSM</w:t>
      </w:r>
      <w:r>
        <w:rPr>
          <w:rFonts w:eastAsia="SimSun" w:cs="Arial"/>
          <w:szCs w:val="20"/>
        </w:rPr>
        <w:t xml:space="preserve">, </w:t>
      </w:r>
      <w:r w:rsidRPr="00BB64B8">
        <w:t>confocal laser scanning microscope</w:t>
      </w:r>
      <w:r>
        <w:t xml:space="preserve">; </w:t>
      </w:r>
      <w:r w:rsidRPr="0097465D">
        <w:rPr>
          <w:rFonts w:eastAsia="SimSun" w:cs="Arial"/>
          <w:szCs w:val="20"/>
        </w:rPr>
        <w:t>FCM</w:t>
      </w:r>
      <w:r>
        <w:rPr>
          <w:rFonts w:eastAsia="SimSun" w:cs="Arial"/>
          <w:szCs w:val="20"/>
        </w:rPr>
        <w:t xml:space="preserve">, </w:t>
      </w:r>
      <w:r w:rsidRPr="00BB64B8">
        <w:t>flow cytometry</w:t>
      </w:r>
      <w:r>
        <w:t xml:space="preserve">; </w:t>
      </w:r>
      <w:r w:rsidRPr="007B0484">
        <w:rPr>
          <w:rFonts w:eastAsia="SimSun" w:cs="Arial" w:hint="eastAsia"/>
          <w:iCs/>
          <w:szCs w:val="20"/>
        </w:rPr>
        <w:t>MIBF</w:t>
      </w:r>
      <w:r w:rsidRPr="007B0484">
        <w:rPr>
          <w:rFonts w:eastAsia="SimSun" w:cs="Arial"/>
          <w:iCs/>
          <w:szCs w:val="20"/>
        </w:rPr>
        <w:t>P NP</w:t>
      </w:r>
      <w:r>
        <w:rPr>
          <w:rFonts w:eastAsia="SimSun" w:cs="Arial"/>
          <w:iCs/>
          <w:szCs w:val="20"/>
        </w:rPr>
        <w:t>s,</w:t>
      </w:r>
      <w:r w:rsidRPr="0019205D">
        <w:rPr>
          <w:rFonts w:cs="Arial"/>
          <w:bCs/>
        </w:rPr>
        <w:t xml:space="preserve"> </w:t>
      </w:r>
      <w:proofErr w:type="spellStart"/>
      <w:r w:rsidRPr="0066640C">
        <w:rPr>
          <w:rFonts w:cs="Arial"/>
          <w:bCs/>
        </w:rPr>
        <w:t>mAbs</w:t>
      </w:r>
      <w:proofErr w:type="spellEnd"/>
      <w:r>
        <w:rPr>
          <w:rFonts w:cs="Arial"/>
          <w:bCs/>
        </w:rPr>
        <w:t xml:space="preserve">, </w:t>
      </w:r>
      <w:r w:rsidRPr="0066640C">
        <w:rPr>
          <w:rFonts w:cs="Arial"/>
          <w:bCs/>
        </w:rPr>
        <w:t>ICG</w:t>
      </w:r>
      <w:r>
        <w:rPr>
          <w:rFonts w:hint="eastAsia"/>
          <w:lang w:eastAsia="zh-CN"/>
        </w:rPr>
        <w:t>,</w:t>
      </w:r>
      <w:r>
        <w:rPr>
          <w:lang w:eastAsia="zh-CN"/>
        </w:rPr>
        <w:t xml:space="preserve"> </w:t>
      </w:r>
      <w:proofErr w:type="spellStart"/>
      <w:r w:rsidRPr="0066640C">
        <w:rPr>
          <w:rFonts w:cs="Arial"/>
          <w:bCs/>
        </w:rPr>
        <w:t>pB</w:t>
      </w:r>
      <w:proofErr w:type="spellEnd"/>
      <w:r w:rsidRPr="0066640C">
        <w:rPr>
          <w:rFonts w:cs="Arial"/>
          <w:bCs/>
        </w:rPr>
        <w:t>-DOX</w:t>
      </w:r>
      <w:r>
        <w:rPr>
          <w:rFonts w:cs="Arial"/>
          <w:bCs/>
        </w:rPr>
        <w:t xml:space="preserve"> and </w:t>
      </w:r>
      <w:r w:rsidRPr="0066640C">
        <w:rPr>
          <w:rFonts w:cs="Arial"/>
          <w:bCs/>
        </w:rPr>
        <w:t>Fe</w:t>
      </w:r>
      <w:r w:rsidRPr="0066640C">
        <w:rPr>
          <w:rFonts w:cs="Arial"/>
          <w:bCs/>
          <w:vertAlign w:val="subscript"/>
        </w:rPr>
        <w:t>3</w:t>
      </w:r>
      <w:r w:rsidRPr="0066640C">
        <w:rPr>
          <w:rFonts w:cs="Arial"/>
          <w:bCs/>
        </w:rPr>
        <w:t>O</w:t>
      </w:r>
      <w:r w:rsidRPr="0066640C">
        <w:rPr>
          <w:rFonts w:cs="Arial"/>
          <w:bCs/>
          <w:vertAlign w:val="subscript"/>
        </w:rPr>
        <w:t>4</w:t>
      </w:r>
      <w:r w:rsidRPr="0019205D">
        <w:rPr>
          <w:rFonts w:cs="Arial"/>
          <w:bCs/>
        </w:rPr>
        <w:t>,</w:t>
      </w:r>
      <w:r>
        <w:rPr>
          <w:rFonts w:eastAsia="SimSun" w:cs="Arial"/>
          <w:szCs w:val="20"/>
        </w:rPr>
        <w:t xml:space="preserve"> coloaded</w:t>
      </w:r>
      <w:r w:rsidRPr="0019205D">
        <w:rPr>
          <w:rFonts w:cs="Arial"/>
          <w:bCs/>
        </w:rPr>
        <w:t xml:space="preserve"> </w:t>
      </w:r>
      <w:r w:rsidRPr="0066640C">
        <w:rPr>
          <w:rFonts w:cs="Arial"/>
          <w:bCs/>
        </w:rPr>
        <w:t>poly</w:t>
      </w:r>
      <w:r>
        <w:rPr>
          <w:rFonts w:cs="Arial"/>
          <w:bCs/>
        </w:rPr>
        <w:t xml:space="preserve"> (lactic-co-glycolic acid</w:t>
      </w:r>
      <w:r>
        <w:rPr>
          <w:rFonts w:cs="Arial" w:hint="eastAsia"/>
          <w:bCs/>
          <w:lang w:eastAsia="zh-CN"/>
        </w:rPr>
        <w:t>)</w:t>
      </w:r>
      <w:r>
        <w:rPr>
          <w:rFonts w:hint="eastAsia"/>
          <w:lang w:eastAsia="zh-CN"/>
        </w:rPr>
        <w:t xml:space="preserve"> </w:t>
      </w:r>
      <w:r w:rsidRPr="0066640C">
        <w:rPr>
          <w:rFonts w:cs="Arial"/>
          <w:bCs/>
        </w:rPr>
        <w:t>nanoparticles</w:t>
      </w:r>
      <w:r>
        <w:t>.</w:t>
      </w:r>
      <w:r w:rsidR="00F77940">
        <w:br w:type="page"/>
      </w:r>
    </w:p>
    <w:p w14:paraId="01C4F417" w14:textId="77777777" w:rsidR="002917EA" w:rsidRDefault="002917EA" w:rsidP="00BF7F8D">
      <w:pPr>
        <w:adjustRightInd w:val="0"/>
        <w:snapToGrid w:val="0"/>
        <w:jc w:val="both"/>
      </w:pPr>
    </w:p>
    <w:p w14:paraId="101CE475" w14:textId="66EFDC0E" w:rsidR="003C3845" w:rsidRPr="006847D5" w:rsidRDefault="00A53EF7" w:rsidP="00BF7F8D">
      <w:pPr>
        <w:adjustRightInd w:val="0"/>
        <w:snapToGrid w:val="0"/>
        <w:jc w:val="both"/>
        <w:rPr>
          <w:lang w:eastAsia="zh-CN"/>
        </w:rPr>
      </w:pPr>
      <w:r>
        <w:rPr>
          <w:noProof/>
        </w:rPr>
        <w:drawing>
          <wp:inline distT="0" distB="0" distL="0" distR="0" wp14:anchorId="766E9CCE" wp14:editId="46FC529E">
            <wp:extent cx="5486400" cy="3691255"/>
            <wp:effectExtent l="0" t="0" r="0" b="4445"/>
            <wp:docPr id="33024082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86400" cy="3691255"/>
                    </a:xfrm>
                    <a:prstGeom prst="rect">
                      <a:avLst/>
                    </a:prstGeom>
                    <a:noFill/>
                    <a:ln>
                      <a:noFill/>
                    </a:ln>
                  </pic:spPr>
                </pic:pic>
              </a:graphicData>
            </a:graphic>
          </wp:inline>
        </w:drawing>
      </w:r>
    </w:p>
    <w:p w14:paraId="10C6EEC7" w14:textId="4B002B85" w:rsidR="00DD6033" w:rsidRPr="00C27AC6" w:rsidRDefault="00DD6033" w:rsidP="00BF7F8D">
      <w:pPr>
        <w:adjustRightInd w:val="0"/>
        <w:snapToGrid w:val="0"/>
        <w:jc w:val="both"/>
        <w:rPr>
          <w:rFonts w:eastAsia="SimSun" w:cs="Arial"/>
          <w:b/>
          <w:bCs/>
          <w:szCs w:val="20"/>
        </w:rPr>
      </w:pPr>
      <w:r>
        <w:rPr>
          <w:rFonts w:eastAsia="SimSun" w:cs="Arial"/>
          <w:szCs w:val="20"/>
        </w:rPr>
        <w:t xml:space="preserve"> </w:t>
      </w:r>
      <w:r w:rsidR="007B0484" w:rsidRPr="008E2BC6">
        <w:rPr>
          <w:rFonts w:eastAsia="SimSun" w:cs="Arial"/>
          <w:b/>
          <w:bCs/>
          <w:szCs w:val="20"/>
        </w:rPr>
        <w:t xml:space="preserve">Figure </w:t>
      </w:r>
      <w:r>
        <w:rPr>
          <w:rFonts w:eastAsia="SimSun" w:cs="Arial"/>
          <w:b/>
          <w:bCs/>
          <w:szCs w:val="20"/>
        </w:rPr>
        <w:t>S</w:t>
      </w:r>
      <w:r w:rsidR="00FF5ED1">
        <w:rPr>
          <w:rFonts w:eastAsia="SimSun" w:cs="Arial" w:hint="eastAsia"/>
          <w:b/>
          <w:bCs/>
          <w:szCs w:val="20"/>
          <w:lang w:eastAsia="zh-CN"/>
        </w:rPr>
        <w:t>7</w:t>
      </w:r>
      <w:r w:rsidR="007B0484">
        <w:rPr>
          <w:rFonts w:eastAsia="SimSun" w:cs="Arial"/>
          <w:szCs w:val="20"/>
        </w:rPr>
        <w:t xml:space="preserve"> </w:t>
      </w:r>
      <w:r w:rsidRPr="00DD6033">
        <w:rPr>
          <w:rFonts w:eastAsia="SimSun" w:cs="Arial"/>
          <w:bCs/>
          <w:szCs w:val="20"/>
        </w:rPr>
        <w:t>H&amp;E staining images in major organs from each group. The Scale bars is 100 µm.</w:t>
      </w:r>
    </w:p>
    <w:p w14:paraId="16601F7B" w14:textId="5E665F2E" w:rsidR="009F5AAA" w:rsidRPr="007B0484" w:rsidRDefault="007B0484" w:rsidP="00BF7F8D">
      <w:pPr>
        <w:adjustRightInd w:val="0"/>
        <w:snapToGrid w:val="0"/>
        <w:jc w:val="both"/>
        <w:rPr>
          <w:rFonts w:eastAsia="SimSun" w:cs="Arial"/>
          <w:szCs w:val="20"/>
        </w:rPr>
      </w:pPr>
      <w:r w:rsidRPr="008E2BC6">
        <w:rPr>
          <w:rFonts w:eastAsia="SimSun" w:cs="Arial"/>
          <w:b/>
          <w:bCs/>
          <w:szCs w:val="20"/>
        </w:rPr>
        <w:t>Abbreviations:</w:t>
      </w:r>
      <w:r>
        <w:rPr>
          <w:rFonts w:eastAsia="SimSun" w:cs="Arial"/>
          <w:szCs w:val="20"/>
        </w:rPr>
        <w:t xml:space="preserve"> </w:t>
      </w:r>
      <w:r w:rsidR="00DD6033" w:rsidRPr="009F5AAA">
        <w:rPr>
          <w:rFonts w:eastAsia="SimSun" w:cs="Arial"/>
          <w:szCs w:val="20"/>
        </w:rPr>
        <w:t>H&amp;E</w:t>
      </w:r>
      <w:r w:rsidR="00DD6033">
        <w:rPr>
          <w:rFonts w:cs="Arial"/>
          <w:bCs/>
        </w:rPr>
        <w:t xml:space="preserve">, </w:t>
      </w:r>
      <w:r w:rsidR="00DD6033">
        <w:rPr>
          <w:rFonts w:eastAsia="SimSun" w:cs="Arial"/>
          <w:szCs w:val="20"/>
        </w:rPr>
        <w:t>hematoxylin and eosin staining</w:t>
      </w:r>
      <w:r w:rsidR="00C27AC6">
        <w:rPr>
          <w:rFonts w:cs="Arial"/>
          <w:color w:val="000000" w:themeColor="text1"/>
        </w:rPr>
        <w:t xml:space="preserve">; </w:t>
      </w:r>
      <w:r w:rsidR="00C27AC6" w:rsidRPr="007B0484">
        <w:rPr>
          <w:rFonts w:eastAsia="SimSun" w:cs="Arial" w:hint="eastAsia"/>
          <w:iCs/>
          <w:szCs w:val="20"/>
        </w:rPr>
        <w:t>MIBF</w:t>
      </w:r>
      <w:r w:rsidR="00C27AC6" w:rsidRPr="007B0484">
        <w:rPr>
          <w:rFonts w:eastAsia="SimSun" w:cs="Arial"/>
          <w:iCs/>
          <w:szCs w:val="20"/>
        </w:rPr>
        <w:t>P NP</w:t>
      </w:r>
      <w:r w:rsidR="00C27AC6">
        <w:rPr>
          <w:rFonts w:eastAsia="SimSun" w:cs="Arial"/>
          <w:iCs/>
          <w:szCs w:val="20"/>
        </w:rPr>
        <w:t>s,</w:t>
      </w:r>
      <w:r w:rsidR="00C27AC6" w:rsidRPr="0019205D">
        <w:rPr>
          <w:rFonts w:cs="Arial"/>
          <w:bCs/>
        </w:rPr>
        <w:t xml:space="preserve"> </w:t>
      </w:r>
      <w:r w:rsidR="00C27AC6" w:rsidRPr="0066640C">
        <w:rPr>
          <w:rFonts w:cs="Arial"/>
          <w:bCs/>
        </w:rPr>
        <w:t>mAbs</w:t>
      </w:r>
      <w:r w:rsidR="00C27AC6">
        <w:rPr>
          <w:rFonts w:cs="Arial"/>
          <w:bCs/>
        </w:rPr>
        <w:t xml:space="preserve">, </w:t>
      </w:r>
      <w:r w:rsidR="00C27AC6" w:rsidRPr="0066640C">
        <w:rPr>
          <w:rFonts w:cs="Arial"/>
          <w:bCs/>
        </w:rPr>
        <w:t>ICG</w:t>
      </w:r>
      <w:r w:rsidR="00C27AC6">
        <w:rPr>
          <w:rFonts w:hint="eastAsia"/>
          <w:lang w:eastAsia="zh-CN"/>
        </w:rPr>
        <w:t>,</w:t>
      </w:r>
      <w:r w:rsidR="00C27AC6">
        <w:rPr>
          <w:lang w:eastAsia="zh-CN"/>
        </w:rPr>
        <w:t xml:space="preserve"> </w:t>
      </w:r>
      <w:r w:rsidR="00C27AC6" w:rsidRPr="0066640C">
        <w:rPr>
          <w:rFonts w:cs="Arial"/>
          <w:bCs/>
        </w:rPr>
        <w:t>pB-DOX</w:t>
      </w:r>
      <w:r w:rsidR="00C27AC6">
        <w:rPr>
          <w:rFonts w:cs="Arial"/>
          <w:bCs/>
        </w:rPr>
        <w:t xml:space="preserve"> and </w:t>
      </w:r>
      <w:r w:rsidR="00C27AC6" w:rsidRPr="0066640C">
        <w:rPr>
          <w:rFonts w:cs="Arial"/>
          <w:bCs/>
        </w:rPr>
        <w:t>Fe</w:t>
      </w:r>
      <w:r w:rsidR="00C27AC6" w:rsidRPr="0066640C">
        <w:rPr>
          <w:rFonts w:cs="Arial"/>
          <w:bCs/>
          <w:vertAlign w:val="subscript"/>
        </w:rPr>
        <w:t>3</w:t>
      </w:r>
      <w:r w:rsidR="00C27AC6" w:rsidRPr="0066640C">
        <w:rPr>
          <w:rFonts w:cs="Arial"/>
          <w:bCs/>
        </w:rPr>
        <w:t>O</w:t>
      </w:r>
      <w:r w:rsidR="00C27AC6" w:rsidRPr="0066640C">
        <w:rPr>
          <w:rFonts w:cs="Arial"/>
          <w:bCs/>
          <w:vertAlign w:val="subscript"/>
        </w:rPr>
        <w:t>4</w:t>
      </w:r>
      <w:r w:rsidR="00C27AC6" w:rsidRPr="0019205D">
        <w:rPr>
          <w:rFonts w:cs="Arial"/>
          <w:bCs/>
        </w:rPr>
        <w:t>,</w:t>
      </w:r>
      <w:r w:rsidR="00C27AC6">
        <w:rPr>
          <w:rFonts w:eastAsia="SimSun" w:cs="Arial"/>
          <w:szCs w:val="20"/>
        </w:rPr>
        <w:t xml:space="preserve"> coloaded</w:t>
      </w:r>
      <w:r w:rsidR="00C27AC6" w:rsidRPr="0019205D">
        <w:rPr>
          <w:rFonts w:cs="Arial"/>
          <w:bCs/>
        </w:rPr>
        <w:t xml:space="preserve"> </w:t>
      </w:r>
      <w:r w:rsidR="00C27AC6" w:rsidRPr="0066640C">
        <w:rPr>
          <w:rFonts w:cs="Arial"/>
          <w:bCs/>
        </w:rPr>
        <w:t>poly</w:t>
      </w:r>
      <w:r w:rsidR="00C27AC6">
        <w:rPr>
          <w:rFonts w:cs="Arial"/>
          <w:bCs/>
        </w:rPr>
        <w:t xml:space="preserve"> (lactic-co-glycolic acid</w:t>
      </w:r>
      <w:r w:rsidR="00C27AC6">
        <w:rPr>
          <w:rFonts w:cs="Arial" w:hint="eastAsia"/>
          <w:bCs/>
          <w:lang w:eastAsia="zh-CN"/>
        </w:rPr>
        <w:t>)</w:t>
      </w:r>
      <w:r w:rsidR="00C27AC6">
        <w:rPr>
          <w:rFonts w:hint="eastAsia"/>
          <w:lang w:eastAsia="zh-CN"/>
        </w:rPr>
        <w:t xml:space="preserve"> </w:t>
      </w:r>
      <w:r w:rsidR="00C27AC6" w:rsidRPr="0066640C">
        <w:rPr>
          <w:rFonts w:cs="Arial"/>
          <w:bCs/>
        </w:rPr>
        <w:t>nanoparticles</w:t>
      </w:r>
      <w:r w:rsidR="00C27AC6">
        <w:t>.</w:t>
      </w:r>
    </w:p>
    <w:sectPr w:rsidR="009F5AAA" w:rsidRPr="007B0484" w:rsidSect="00D039B0">
      <w:footerReference w:type="even" r:id="rId15"/>
      <w:footerReference w:type="default" r:id="rId16"/>
      <w:footerReference w:type="first" r:id="rId17"/>
      <w:pgSz w:w="12240" w:h="15840"/>
      <w:pgMar w:top="1440" w:right="1800" w:bottom="1440" w:left="1800" w:header="720" w:footer="720" w:gutter="0"/>
      <w:lnNumType w:countBy="1" w:restart="continuou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140219" w14:textId="77777777" w:rsidR="00857D40" w:rsidRDefault="00857D40">
      <w:r>
        <w:separator/>
      </w:r>
    </w:p>
  </w:endnote>
  <w:endnote w:type="continuationSeparator" w:id="0">
    <w:p w14:paraId="778ED005" w14:textId="77777777" w:rsidR="00857D40" w:rsidRDefault="00857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Rockwell">
    <w:panose1 w:val="02060603020205020403"/>
    <w:charset w:val="00"/>
    <w:family w:val="roman"/>
    <w:pitch w:val="variable"/>
    <w:sig w:usb0="00000007" w:usb1="00000000" w:usb2="00000000" w:usb3="00000000" w:csb0="00000003"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B89816" w14:textId="77777777" w:rsidR="006C5368" w:rsidRDefault="006C5368" w:rsidP="00FF26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CAF2E2E" w14:textId="77777777" w:rsidR="006C5368" w:rsidRDefault="006C53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7C767A7" w14:textId="6FB5C562" w:rsidR="006C5368" w:rsidRDefault="00D82CEA" w:rsidP="00FF2660">
    <w:pPr>
      <w:pStyle w:val="Footer"/>
      <w:framePr w:wrap="around" w:vAnchor="text" w:hAnchor="margin" w:xAlign="center" w:y="1"/>
      <w:rPr>
        <w:rStyle w:val="PageNumber"/>
      </w:rPr>
    </w:pPr>
    <w:r>
      <w:rPr>
        <w:noProof/>
      </w:rPr>
      <mc:AlternateContent>
        <mc:Choice Requires="wps">
          <w:drawing>
            <wp:anchor distT="0" distB="0" distL="114300" distR="114300" simplePos="0" relativeHeight="251657216" behindDoc="0" locked="0" layoutInCell="0" allowOverlap="1" wp14:anchorId="7AB8E50F" wp14:editId="33DE3C22">
              <wp:simplePos x="0" y="0"/>
              <wp:positionH relativeFrom="page">
                <wp:posOffset>0</wp:posOffset>
              </wp:positionH>
              <wp:positionV relativeFrom="page">
                <wp:posOffset>9603740</wp:posOffset>
              </wp:positionV>
              <wp:extent cx="7772400" cy="264160"/>
              <wp:effectExtent l="0" t="2540" r="0" b="0"/>
              <wp:wrapNone/>
              <wp:docPr id="622757308" name="MSIPCM8ef54de2a7a4d03c423a990a" descr="{&quot;HashCode&quot;:-1348403003,&quot;Height&quot;:792.0,&quot;Width&quot;:612.0,&quot;Placement&quot;:&quot;Footer&quot;,&quot;Index&quot;:&quot;Primary&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BE7705" w14:textId="11E8F27B"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7AB8E50F" id="_x0000_t202" coordsize="21600,21600" o:spt="202" path="m,l,21600r21600,l21600,xe">
              <v:stroke joinstyle="miter"/>
              <v:path gradientshapeok="t" o:connecttype="rect"/>
            </v:shapetype>
            <v:shape id="MSIPCM8ef54de2a7a4d03c423a990a" o:spid="_x0000_s1026" type="#_x0000_t202" alt="{&quot;HashCode&quot;:-1348403003,&quot;Height&quot;:792.0,&quot;Width&quot;:612.0,&quot;Placement&quot;:&quot;Footer&quot;,&quot;Index&quot;:&quot;Primary&quot;,&quot;Section&quot;:1,&quot;Top&quot;:0.0,&quot;Left&quot;:0.0}" style="position:absolute;margin-left:0;margin-top:756.2pt;width:612pt;height:20.8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" o:allowincell="f" filled="f" stroked="f">
              <v:textbox inset="20pt,0,,0">
                <w:txbxContent>
                  <w:p w14:paraId="5CBE7705" w14:textId="11E8F27B"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v:textbox>
              <w10:wrap anchorx="page" anchory="page"/>
            </v:shape>
          </w:pict>
        </mc:Fallback>
      </mc:AlternateContent>
    </w:r>
    <w:r w:rsidR="006C5368">
      <w:rPr>
        <w:rStyle w:val="PageNumber"/>
      </w:rPr>
      <w:fldChar w:fldCharType="begin"/>
    </w:r>
    <w:r w:rsidR="006C5368">
      <w:rPr>
        <w:rStyle w:val="PageNumber"/>
      </w:rPr>
      <w:instrText xml:space="preserve">PAGE  </w:instrText>
    </w:r>
    <w:r w:rsidR="006C5368">
      <w:rPr>
        <w:rStyle w:val="PageNumber"/>
      </w:rPr>
      <w:fldChar w:fldCharType="separate"/>
    </w:r>
    <w:r w:rsidR="00C94612">
      <w:rPr>
        <w:rStyle w:val="PageNumber"/>
        <w:noProof/>
      </w:rPr>
      <w:t>5</w:t>
    </w:r>
    <w:r w:rsidR="006C5368">
      <w:rPr>
        <w:rStyle w:val="PageNumber"/>
      </w:rPr>
      <w:fldChar w:fldCharType="end"/>
    </w:r>
  </w:p>
  <w:p w14:paraId="57E037CD" w14:textId="77777777" w:rsidR="006C5368" w:rsidRDefault="006C53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7E9367" w14:textId="2D5073CE" w:rsidR="00740F67" w:rsidRDefault="00D82CEA">
    <w:pPr>
      <w:pStyle w:val="Footer"/>
    </w:pPr>
    <w:r>
      <w:rPr>
        <w:noProof/>
      </w:rPr>
      <mc:AlternateContent>
        <mc:Choice Requires="wps">
          <w:drawing>
            <wp:anchor distT="0" distB="0" distL="114300" distR="114300" simplePos="0" relativeHeight="251658240" behindDoc="0" locked="0" layoutInCell="0" allowOverlap="1" wp14:anchorId="2D742D44" wp14:editId="27777857">
              <wp:simplePos x="0" y="0"/>
              <wp:positionH relativeFrom="page">
                <wp:posOffset>0</wp:posOffset>
              </wp:positionH>
              <wp:positionV relativeFrom="page">
                <wp:posOffset>9603740</wp:posOffset>
              </wp:positionV>
              <wp:extent cx="7772400" cy="264160"/>
              <wp:effectExtent l="0" t="2540" r="0" b="0"/>
              <wp:wrapNone/>
              <wp:docPr id="1861909695" name="MSIPCM71df4afb82ef22201046dfa6" descr="{&quot;HashCode&quot;:-1348403003,&quot;Height&quot;:792.0,&quot;Width&quot;:612.0,&quot;Placement&quot;:&quot;Footer&quot;,&quot;Index&quot;:&quot;FirstPage&quot;,&quot;Section&quot;:1,&quot;Top&quot;:0.0,&quot;Left&quot;: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2400" cy="264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858B6" w14:textId="2F40394D"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wps:txbx>
                    <wps:bodyPr rot="0" vert="horz" wrap="square" lIns="254000" tIns="0" rIns="91440" bIns="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2D742D44" id="_x0000_t202" coordsize="21600,21600" o:spt="202" path="m,l,21600r21600,l21600,xe">
              <v:stroke joinstyle="miter"/>
              <v:path gradientshapeok="t" o:connecttype="rect"/>
            </v:shapetype>
            <v:shape id="MSIPCM71df4afb82ef22201046dfa6" o:spid="_x0000_s1027" type="#_x0000_t202" alt="{&quot;HashCode&quot;:-1348403003,&quot;Height&quot;:792.0,&quot;Width&quot;:612.0,&quot;Placement&quot;:&quot;Footer&quot;,&quot;Index&quot;:&quot;FirstPage&quot;,&quot;Section&quot;:1,&quot;Top&quot;:0.0,&quot;Left&quot;:0.0}" style="position:absolute;margin-left:0;margin-top:756.2pt;width:612pt;height:20.8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" o:allowincell="f" filled="f" stroked="f">
              <v:textbox inset="20pt,0,,0">
                <w:txbxContent>
                  <w:p w14:paraId="640858B6" w14:textId="2F40394D" w:rsidR="00740F67" w:rsidRPr="00740F67" w:rsidRDefault="00740F67" w:rsidP="00740F67">
                    <w:pPr>
                      <w:rPr>
                        <w:rFonts w:ascii="Rockwell" w:hAnsi="Rockwell"/>
                        <w:color w:val="0078D7"/>
                        <w:sz w:val="18"/>
                      </w:rPr>
                    </w:pPr>
                    <w:r w:rsidRPr="00740F67">
                      <w:rPr>
                        <w:rFonts w:ascii="Rockwell" w:hAnsi="Rockwell"/>
                        <w:color w:val="0078D7"/>
                        <w:sz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26621A" w14:textId="77777777" w:rsidR="00857D40" w:rsidRDefault="00857D40">
      <w:r>
        <w:separator/>
      </w:r>
    </w:p>
  </w:footnote>
  <w:footnote w:type="continuationSeparator" w:id="0">
    <w:p w14:paraId="09906E54" w14:textId="77777777" w:rsidR="00857D40" w:rsidRDefault="00857D4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AE03DA"/>
    <w:multiLevelType w:val="hybridMultilevel"/>
    <w:tmpl w:val="6DC0CA80"/>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CC6603A"/>
    <w:multiLevelType w:val="hybridMultilevel"/>
    <w:tmpl w:val="A1A4AB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41D96842"/>
    <w:multiLevelType w:val="hybridMultilevel"/>
    <w:tmpl w:val="37B8F894"/>
    <w:lvl w:ilvl="0" w:tplc="DEAC301E">
      <w:start w:val="1"/>
      <w:numFmt w:val="decimal"/>
      <w:lvlText w:val="%1."/>
      <w:lvlJc w:val="left"/>
      <w:pPr>
        <w:tabs>
          <w:tab w:val="num" w:pos="720"/>
        </w:tabs>
        <w:ind w:left="720" w:hanging="360"/>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62440B8E"/>
    <w:multiLevelType w:val="multilevel"/>
    <w:tmpl w:val="5F303E74"/>
    <w:lvl w:ilvl="0">
      <w:start w:val="1"/>
      <w:numFmt w:val="decimal"/>
      <w:lvlText w:val="%1."/>
      <w:lvlJc w:val="left"/>
      <w:pPr>
        <w:tabs>
          <w:tab w:val="num" w:pos="720"/>
        </w:tabs>
        <w:ind w:left="720" w:hanging="360"/>
      </w:pPr>
      <w:rPr>
        <w:rFonts w:hint="default"/>
        <w:b/>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69617AF9"/>
    <w:multiLevelType w:val="hybridMultilevel"/>
    <w:tmpl w:val="DF0C73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5521476"/>
    <w:multiLevelType w:val="hybridMultilevel"/>
    <w:tmpl w:val="3F6C727A"/>
    <w:lvl w:ilvl="0" w:tplc="2F30AAA6">
      <w:start w:val="1"/>
      <w:numFmt w:val="decimal"/>
      <w:lvlText w:val="%1."/>
      <w:lvlJc w:val="left"/>
      <w:pPr>
        <w:tabs>
          <w:tab w:val="num" w:pos="720"/>
        </w:tabs>
        <w:ind w:left="720" w:hanging="360"/>
      </w:pPr>
      <w:rPr>
        <w:rFonts w:hint="default"/>
        <w:b w:val="0"/>
        <w:sz w:val="20"/>
        <w:szCs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645811063">
    <w:abstractNumId w:val="1"/>
  </w:num>
  <w:num w:numId="2" w16cid:durableId="270280036">
    <w:abstractNumId w:val="2"/>
  </w:num>
  <w:num w:numId="3" w16cid:durableId="709231974">
    <w:abstractNumId w:val="5"/>
  </w:num>
  <w:num w:numId="4" w16cid:durableId="1854609451">
    <w:abstractNumId w:val="3"/>
  </w:num>
  <w:num w:numId="5" w16cid:durableId="693575561">
    <w:abstractNumId w:val="0"/>
  </w:num>
  <w:num w:numId="6" w16cid:durableId="104190736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ibraries" w:val="&lt;ENLibraries&gt;&lt;Libraries&gt;&lt;item&gt;Contraceptives Implantable-Converted.enl&lt;/item&gt;&lt;/Libraries&gt;&lt;/ENLibraries&gt;"/>
  </w:docVars>
  <w:rsids>
    <w:rsidRoot w:val="00B30BC3"/>
    <w:rsid w:val="000013AC"/>
    <w:rsid w:val="00006E2A"/>
    <w:rsid w:val="000132F4"/>
    <w:rsid w:val="00015068"/>
    <w:rsid w:val="00033695"/>
    <w:rsid w:val="000342A0"/>
    <w:rsid w:val="00035CCC"/>
    <w:rsid w:val="00043C1E"/>
    <w:rsid w:val="0005257A"/>
    <w:rsid w:val="00054361"/>
    <w:rsid w:val="000614ED"/>
    <w:rsid w:val="00062025"/>
    <w:rsid w:val="000666AF"/>
    <w:rsid w:val="0007252D"/>
    <w:rsid w:val="0008401B"/>
    <w:rsid w:val="0008535F"/>
    <w:rsid w:val="00087F9B"/>
    <w:rsid w:val="000A4388"/>
    <w:rsid w:val="000B2769"/>
    <w:rsid w:val="000B2BC9"/>
    <w:rsid w:val="000C59ED"/>
    <w:rsid w:val="000D3E37"/>
    <w:rsid w:val="000E6B48"/>
    <w:rsid w:val="000E7758"/>
    <w:rsid w:val="000F01DA"/>
    <w:rsid w:val="000F3098"/>
    <w:rsid w:val="00110BCD"/>
    <w:rsid w:val="00117777"/>
    <w:rsid w:val="00127CD5"/>
    <w:rsid w:val="001335FC"/>
    <w:rsid w:val="001337FB"/>
    <w:rsid w:val="0017004E"/>
    <w:rsid w:val="00170AC5"/>
    <w:rsid w:val="00170F20"/>
    <w:rsid w:val="0017129E"/>
    <w:rsid w:val="00171B1E"/>
    <w:rsid w:val="00173279"/>
    <w:rsid w:val="00174EE5"/>
    <w:rsid w:val="00191F49"/>
    <w:rsid w:val="0019205D"/>
    <w:rsid w:val="001D40F1"/>
    <w:rsid w:val="001E7479"/>
    <w:rsid w:val="00203209"/>
    <w:rsid w:val="00212E22"/>
    <w:rsid w:val="00217D65"/>
    <w:rsid w:val="0022632E"/>
    <w:rsid w:val="00240E76"/>
    <w:rsid w:val="00246A32"/>
    <w:rsid w:val="00252D03"/>
    <w:rsid w:val="00270A96"/>
    <w:rsid w:val="00272487"/>
    <w:rsid w:val="00281FD0"/>
    <w:rsid w:val="002831F1"/>
    <w:rsid w:val="00285503"/>
    <w:rsid w:val="00286E82"/>
    <w:rsid w:val="002917EA"/>
    <w:rsid w:val="00294CB0"/>
    <w:rsid w:val="002A2D9E"/>
    <w:rsid w:val="002C21AC"/>
    <w:rsid w:val="002D1A3E"/>
    <w:rsid w:val="002F4012"/>
    <w:rsid w:val="002F5DD7"/>
    <w:rsid w:val="00302402"/>
    <w:rsid w:val="003155A1"/>
    <w:rsid w:val="00320521"/>
    <w:rsid w:val="00324666"/>
    <w:rsid w:val="0035756A"/>
    <w:rsid w:val="0037212B"/>
    <w:rsid w:val="0037576B"/>
    <w:rsid w:val="00380AD0"/>
    <w:rsid w:val="0038144B"/>
    <w:rsid w:val="00384159"/>
    <w:rsid w:val="0038573C"/>
    <w:rsid w:val="0038598C"/>
    <w:rsid w:val="00386EE2"/>
    <w:rsid w:val="0039041E"/>
    <w:rsid w:val="003948EC"/>
    <w:rsid w:val="003A6F39"/>
    <w:rsid w:val="003B4083"/>
    <w:rsid w:val="003C3845"/>
    <w:rsid w:val="003D69BD"/>
    <w:rsid w:val="003E1D74"/>
    <w:rsid w:val="003F1CEA"/>
    <w:rsid w:val="003F7B97"/>
    <w:rsid w:val="00410570"/>
    <w:rsid w:val="00411796"/>
    <w:rsid w:val="00412865"/>
    <w:rsid w:val="00416C1A"/>
    <w:rsid w:val="00431388"/>
    <w:rsid w:val="0043145A"/>
    <w:rsid w:val="00441D51"/>
    <w:rsid w:val="00473BF1"/>
    <w:rsid w:val="004754C9"/>
    <w:rsid w:val="004766B5"/>
    <w:rsid w:val="00486D99"/>
    <w:rsid w:val="00492325"/>
    <w:rsid w:val="004B52C5"/>
    <w:rsid w:val="004C3C7A"/>
    <w:rsid w:val="004C5313"/>
    <w:rsid w:val="004C5DB2"/>
    <w:rsid w:val="004E0368"/>
    <w:rsid w:val="004E183C"/>
    <w:rsid w:val="004E2F6D"/>
    <w:rsid w:val="004E782D"/>
    <w:rsid w:val="005041DF"/>
    <w:rsid w:val="00511DB2"/>
    <w:rsid w:val="00517EEE"/>
    <w:rsid w:val="00546A81"/>
    <w:rsid w:val="00553800"/>
    <w:rsid w:val="00556F09"/>
    <w:rsid w:val="00565970"/>
    <w:rsid w:val="00586096"/>
    <w:rsid w:val="0059155B"/>
    <w:rsid w:val="005A6431"/>
    <w:rsid w:val="005C4169"/>
    <w:rsid w:val="005E0325"/>
    <w:rsid w:val="005E1ECB"/>
    <w:rsid w:val="005E4079"/>
    <w:rsid w:val="00600B5C"/>
    <w:rsid w:val="0060400B"/>
    <w:rsid w:val="00611C5F"/>
    <w:rsid w:val="00616A5D"/>
    <w:rsid w:val="0062140C"/>
    <w:rsid w:val="00646CF0"/>
    <w:rsid w:val="00661C2D"/>
    <w:rsid w:val="00662E52"/>
    <w:rsid w:val="00664525"/>
    <w:rsid w:val="00665C72"/>
    <w:rsid w:val="0066640C"/>
    <w:rsid w:val="00667BDF"/>
    <w:rsid w:val="00680193"/>
    <w:rsid w:val="006847D5"/>
    <w:rsid w:val="006C1FFC"/>
    <w:rsid w:val="006C5368"/>
    <w:rsid w:val="006C58F2"/>
    <w:rsid w:val="006C6E88"/>
    <w:rsid w:val="006D0474"/>
    <w:rsid w:val="006D142F"/>
    <w:rsid w:val="006D4AC5"/>
    <w:rsid w:val="006E6876"/>
    <w:rsid w:val="006E721C"/>
    <w:rsid w:val="006E7713"/>
    <w:rsid w:val="00711171"/>
    <w:rsid w:val="00722EC4"/>
    <w:rsid w:val="00723455"/>
    <w:rsid w:val="007265D3"/>
    <w:rsid w:val="00740F67"/>
    <w:rsid w:val="00745C2A"/>
    <w:rsid w:val="00753E6B"/>
    <w:rsid w:val="00776A7C"/>
    <w:rsid w:val="00780A29"/>
    <w:rsid w:val="007900DA"/>
    <w:rsid w:val="007A1BDB"/>
    <w:rsid w:val="007A2AB8"/>
    <w:rsid w:val="007A3BEE"/>
    <w:rsid w:val="007B0484"/>
    <w:rsid w:val="007B5F35"/>
    <w:rsid w:val="007C30BC"/>
    <w:rsid w:val="007D038B"/>
    <w:rsid w:val="007E39E1"/>
    <w:rsid w:val="007E5D6F"/>
    <w:rsid w:val="007F2686"/>
    <w:rsid w:val="007F2BB0"/>
    <w:rsid w:val="007F32DA"/>
    <w:rsid w:val="007F3E8B"/>
    <w:rsid w:val="007F4BB4"/>
    <w:rsid w:val="00816541"/>
    <w:rsid w:val="0082495C"/>
    <w:rsid w:val="00827FC5"/>
    <w:rsid w:val="00847F03"/>
    <w:rsid w:val="00852799"/>
    <w:rsid w:val="00857D40"/>
    <w:rsid w:val="00872BF6"/>
    <w:rsid w:val="0088598F"/>
    <w:rsid w:val="00887016"/>
    <w:rsid w:val="008A08C0"/>
    <w:rsid w:val="008A4036"/>
    <w:rsid w:val="008A52A5"/>
    <w:rsid w:val="008B3DEA"/>
    <w:rsid w:val="008B697C"/>
    <w:rsid w:val="008B7AD5"/>
    <w:rsid w:val="008C0913"/>
    <w:rsid w:val="008C361E"/>
    <w:rsid w:val="008E3EA8"/>
    <w:rsid w:val="00900663"/>
    <w:rsid w:val="00901244"/>
    <w:rsid w:val="0091401F"/>
    <w:rsid w:val="009140DB"/>
    <w:rsid w:val="009147B3"/>
    <w:rsid w:val="0091646A"/>
    <w:rsid w:val="00927DE6"/>
    <w:rsid w:val="009345FC"/>
    <w:rsid w:val="00937F3D"/>
    <w:rsid w:val="00946800"/>
    <w:rsid w:val="00947FED"/>
    <w:rsid w:val="00952BA0"/>
    <w:rsid w:val="009563F4"/>
    <w:rsid w:val="00956C4D"/>
    <w:rsid w:val="0097465D"/>
    <w:rsid w:val="00976394"/>
    <w:rsid w:val="009828D3"/>
    <w:rsid w:val="0098619E"/>
    <w:rsid w:val="00986E40"/>
    <w:rsid w:val="00990425"/>
    <w:rsid w:val="00992CB9"/>
    <w:rsid w:val="00996FBB"/>
    <w:rsid w:val="009A1F5A"/>
    <w:rsid w:val="009A2405"/>
    <w:rsid w:val="009A4057"/>
    <w:rsid w:val="009B1D49"/>
    <w:rsid w:val="009C2292"/>
    <w:rsid w:val="009D203A"/>
    <w:rsid w:val="009D3AD0"/>
    <w:rsid w:val="009F5AAA"/>
    <w:rsid w:val="00A06800"/>
    <w:rsid w:val="00A10913"/>
    <w:rsid w:val="00A14843"/>
    <w:rsid w:val="00A20FFB"/>
    <w:rsid w:val="00A24DE4"/>
    <w:rsid w:val="00A3756A"/>
    <w:rsid w:val="00A445D7"/>
    <w:rsid w:val="00A526C7"/>
    <w:rsid w:val="00A53EF7"/>
    <w:rsid w:val="00A6170F"/>
    <w:rsid w:val="00A63CD7"/>
    <w:rsid w:val="00A70251"/>
    <w:rsid w:val="00A728F5"/>
    <w:rsid w:val="00AB389E"/>
    <w:rsid w:val="00AB47E4"/>
    <w:rsid w:val="00AC09AB"/>
    <w:rsid w:val="00AC1F93"/>
    <w:rsid w:val="00AC5480"/>
    <w:rsid w:val="00AD34FF"/>
    <w:rsid w:val="00AD76B0"/>
    <w:rsid w:val="00AE5062"/>
    <w:rsid w:val="00B07A46"/>
    <w:rsid w:val="00B24F9A"/>
    <w:rsid w:val="00B26A6E"/>
    <w:rsid w:val="00B30BC3"/>
    <w:rsid w:val="00B51015"/>
    <w:rsid w:val="00B568D9"/>
    <w:rsid w:val="00B7570E"/>
    <w:rsid w:val="00B82724"/>
    <w:rsid w:val="00B86FEB"/>
    <w:rsid w:val="00B9411C"/>
    <w:rsid w:val="00B96017"/>
    <w:rsid w:val="00BB027B"/>
    <w:rsid w:val="00BB64B8"/>
    <w:rsid w:val="00BF3845"/>
    <w:rsid w:val="00BF7F8D"/>
    <w:rsid w:val="00C07857"/>
    <w:rsid w:val="00C11BCC"/>
    <w:rsid w:val="00C27AC6"/>
    <w:rsid w:val="00C27B5D"/>
    <w:rsid w:val="00C30A28"/>
    <w:rsid w:val="00C43B3D"/>
    <w:rsid w:val="00C548FC"/>
    <w:rsid w:val="00C616E5"/>
    <w:rsid w:val="00C701F9"/>
    <w:rsid w:val="00C824D9"/>
    <w:rsid w:val="00C94612"/>
    <w:rsid w:val="00CB0023"/>
    <w:rsid w:val="00CB471C"/>
    <w:rsid w:val="00CC1ADF"/>
    <w:rsid w:val="00CD758F"/>
    <w:rsid w:val="00CE79D7"/>
    <w:rsid w:val="00CE7DDC"/>
    <w:rsid w:val="00CE7E96"/>
    <w:rsid w:val="00D00B4B"/>
    <w:rsid w:val="00D039B0"/>
    <w:rsid w:val="00D10823"/>
    <w:rsid w:val="00D108F1"/>
    <w:rsid w:val="00D20F53"/>
    <w:rsid w:val="00D50641"/>
    <w:rsid w:val="00D51863"/>
    <w:rsid w:val="00D578A6"/>
    <w:rsid w:val="00D700C3"/>
    <w:rsid w:val="00D7204D"/>
    <w:rsid w:val="00D81B3E"/>
    <w:rsid w:val="00D82CEA"/>
    <w:rsid w:val="00D94F22"/>
    <w:rsid w:val="00DA4361"/>
    <w:rsid w:val="00DB0A0D"/>
    <w:rsid w:val="00DD6033"/>
    <w:rsid w:val="00DE5F42"/>
    <w:rsid w:val="00DF4C7F"/>
    <w:rsid w:val="00DF6A1F"/>
    <w:rsid w:val="00E014CA"/>
    <w:rsid w:val="00E021BA"/>
    <w:rsid w:val="00E031E1"/>
    <w:rsid w:val="00E1216B"/>
    <w:rsid w:val="00E1328D"/>
    <w:rsid w:val="00E225F8"/>
    <w:rsid w:val="00E45ED2"/>
    <w:rsid w:val="00E60697"/>
    <w:rsid w:val="00E64D97"/>
    <w:rsid w:val="00E96D45"/>
    <w:rsid w:val="00EB4BD3"/>
    <w:rsid w:val="00EC0D75"/>
    <w:rsid w:val="00ED4D96"/>
    <w:rsid w:val="00ED6DD0"/>
    <w:rsid w:val="00EE0017"/>
    <w:rsid w:val="00EE2FBA"/>
    <w:rsid w:val="00EF272E"/>
    <w:rsid w:val="00F03012"/>
    <w:rsid w:val="00F05A9C"/>
    <w:rsid w:val="00F05E46"/>
    <w:rsid w:val="00F13B39"/>
    <w:rsid w:val="00F16121"/>
    <w:rsid w:val="00F210A1"/>
    <w:rsid w:val="00F24210"/>
    <w:rsid w:val="00F41860"/>
    <w:rsid w:val="00F424C5"/>
    <w:rsid w:val="00F56A5E"/>
    <w:rsid w:val="00F640EA"/>
    <w:rsid w:val="00F67733"/>
    <w:rsid w:val="00F77940"/>
    <w:rsid w:val="00F82795"/>
    <w:rsid w:val="00F91124"/>
    <w:rsid w:val="00F92B6D"/>
    <w:rsid w:val="00F9503E"/>
    <w:rsid w:val="00FA2EA1"/>
    <w:rsid w:val="00FB5A89"/>
    <w:rsid w:val="00FC05F2"/>
    <w:rsid w:val="00FD0F5F"/>
    <w:rsid w:val="00FD4807"/>
    <w:rsid w:val="00FF2660"/>
    <w:rsid w:val="00FF5ED1"/>
    <w:rsid w:val="00FF6EA8"/>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ED5FFCA"/>
  <w15:chartTrackingRefBased/>
  <w15:docId w15:val="{1BE45017-E03F-4C2F-8B94-D67DA7AE5F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917EA"/>
    <w:pPr>
      <w:spacing w:line="480" w:lineRule="auto"/>
    </w:pPr>
    <w:rPr>
      <w:rFonts w:ascii="Arial" w:hAnsi="Arial"/>
      <w:szCs w:val="24"/>
    </w:rPr>
  </w:style>
  <w:style w:type="paragraph" w:styleId="Heading1">
    <w:name w:val="heading 1"/>
    <w:basedOn w:val="Normal"/>
    <w:next w:val="Normal"/>
    <w:qFormat/>
    <w:rsid w:val="0060400B"/>
    <w:pPr>
      <w:keepNext/>
      <w:spacing w:before="240" w:after="60"/>
      <w:outlineLvl w:val="0"/>
    </w:pPr>
    <w:rPr>
      <w:rFonts w:cs="Arial"/>
      <w:b/>
      <w:bCs/>
      <w:kern w:val="32"/>
      <w:sz w:val="32"/>
      <w:szCs w:val="32"/>
    </w:rPr>
  </w:style>
  <w:style w:type="paragraph" w:styleId="Heading2">
    <w:name w:val="heading 2"/>
    <w:basedOn w:val="Normal"/>
    <w:next w:val="Normal"/>
    <w:qFormat/>
    <w:rsid w:val="0060400B"/>
    <w:pPr>
      <w:keepNext/>
      <w:spacing w:before="240" w:after="60"/>
      <w:outlineLvl w:val="1"/>
    </w:pPr>
    <w:rPr>
      <w:rFonts w:cs="Arial"/>
      <w:b/>
      <w:bCs/>
      <w:i/>
      <w:iCs/>
      <w:sz w:val="28"/>
      <w:szCs w:val="28"/>
    </w:rPr>
  </w:style>
  <w:style w:type="paragraph" w:styleId="Heading3">
    <w:name w:val="heading 3"/>
    <w:basedOn w:val="Normal"/>
    <w:next w:val="Normal"/>
    <w:qFormat/>
    <w:rsid w:val="0060400B"/>
    <w:pPr>
      <w:keepNext/>
      <w:spacing w:before="240" w:after="60"/>
      <w:outlineLvl w:val="2"/>
    </w:pPr>
    <w:rPr>
      <w:rFonts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F82795"/>
    <w:pPr>
      <w:tabs>
        <w:tab w:val="center" w:pos="4320"/>
        <w:tab w:val="right" w:pos="8640"/>
      </w:tabs>
    </w:pPr>
  </w:style>
  <w:style w:type="character" w:styleId="PageNumber">
    <w:name w:val="page number"/>
    <w:basedOn w:val="DefaultParagraphFont"/>
    <w:rsid w:val="00F82795"/>
  </w:style>
  <w:style w:type="character" w:styleId="Emphasis">
    <w:name w:val="Emphasis"/>
    <w:qFormat/>
    <w:rsid w:val="00FF6EA8"/>
    <w:rPr>
      <w:b/>
      <w:bCs/>
      <w:i w:val="0"/>
      <w:iCs w:val="0"/>
    </w:rPr>
  </w:style>
  <w:style w:type="character" w:styleId="Hyperlink">
    <w:name w:val="Hyperlink"/>
    <w:rsid w:val="00887016"/>
    <w:rPr>
      <w:color w:val="0000FF"/>
      <w:u w:val="single"/>
    </w:rPr>
  </w:style>
  <w:style w:type="character" w:styleId="CommentReference">
    <w:name w:val="annotation reference"/>
    <w:rsid w:val="00D00B4B"/>
    <w:rPr>
      <w:sz w:val="16"/>
      <w:szCs w:val="16"/>
    </w:rPr>
  </w:style>
  <w:style w:type="paragraph" w:styleId="CommentText">
    <w:name w:val="annotation text"/>
    <w:basedOn w:val="Normal"/>
    <w:semiHidden/>
    <w:rsid w:val="00D00B4B"/>
    <w:rPr>
      <w:szCs w:val="20"/>
    </w:rPr>
  </w:style>
  <w:style w:type="paragraph" w:styleId="CommentSubject">
    <w:name w:val="annotation subject"/>
    <w:basedOn w:val="CommentText"/>
    <w:next w:val="CommentText"/>
    <w:semiHidden/>
    <w:rsid w:val="00D00B4B"/>
    <w:rPr>
      <w:b/>
      <w:bCs/>
    </w:rPr>
  </w:style>
  <w:style w:type="paragraph" w:styleId="BalloonText">
    <w:name w:val="Balloon Text"/>
    <w:basedOn w:val="Normal"/>
    <w:semiHidden/>
    <w:rsid w:val="00D00B4B"/>
    <w:rPr>
      <w:rFonts w:ascii="Tahoma" w:hAnsi="Tahoma" w:cs="Tahoma"/>
      <w:sz w:val="16"/>
      <w:szCs w:val="16"/>
    </w:rPr>
  </w:style>
  <w:style w:type="character" w:styleId="LineNumber">
    <w:name w:val="line number"/>
    <w:rsid w:val="00C94612"/>
  </w:style>
  <w:style w:type="paragraph" w:styleId="Header">
    <w:name w:val="header"/>
    <w:basedOn w:val="Normal"/>
    <w:link w:val="HeaderChar"/>
    <w:rsid w:val="00740F67"/>
    <w:pPr>
      <w:tabs>
        <w:tab w:val="center" w:pos="4680"/>
        <w:tab w:val="right" w:pos="9360"/>
      </w:tabs>
    </w:pPr>
  </w:style>
  <w:style w:type="character" w:customStyle="1" w:styleId="HeaderChar">
    <w:name w:val="Header Char"/>
    <w:link w:val="Header"/>
    <w:rsid w:val="00740F67"/>
    <w:rPr>
      <w:rFonts w:ascii="Arial" w:hAnsi="Arial"/>
      <w:szCs w:val="24"/>
      <w:lang w:val="en-US" w:eastAsia="en-US"/>
    </w:rPr>
  </w:style>
  <w:style w:type="paragraph" w:styleId="Revision">
    <w:name w:val="Revision"/>
    <w:hidden/>
    <w:uiPriority w:val="99"/>
    <w:semiHidden/>
    <w:rsid w:val="00A526C7"/>
    <w:rPr>
      <w:rFonts w:ascii="Arial" w:hAnsi="Arial"/>
      <w:szCs w:val="24"/>
    </w:rPr>
  </w:style>
  <w:style w:type="character" w:styleId="FollowedHyperlink">
    <w:name w:val="FollowedHyperlink"/>
    <w:basedOn w:val="DefaultParagraphFont"/>
    <w:rsid w:val="00441D51"/>
    <w:rPr>
      <w:color w:val="954F72" w:themeColor="followedHyperlink"/>
      <w:u w:val="single"/>
    </w:rPr>
  </w:style>
  <w:style w:type="character" w:styleId="UnresolvedMention">
    <w:name w:val="Unresolved Mention"/>
    <w:basedOn w:val="DefaultParagraphFont"/>
    <w:uiPriority w:val="99"/>
    <w:semiHidden/>
    <w:unhideWhenUsed/>
    <w:rsid w:val="00441D51"/>
    <w:rPr>
      <w:color w:val="605E5C"/>
      <w:shd w:val="clear" w:color="auto" w:fill="E1DFDD"/>
    </w:rPr>
  </w:style>
  <w:style w:type="character" w:customStyle="1" w:styleId="cf01">
    <w:name w:val="cf01"/>
    <w:basedOn w:val="DefaultParagraphFont"/>
    <w:rsid w:val="00872BF6"/>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tiff"/><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E19C2-02EE-4151-9227-011FDDD7A8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741</Words>
  <Characters>3939</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The contraceptive implant</vt:lpstr>
    </vt:vector>
  </TitlesOfParts>
  <Company>Dove Medical Press</Company>
  <LinksUpToDate>false</LinksUpToDate>
  <CharactersWithSpaces>4671</CharactersWithSpaces>
  <SharedDoc>false</SharedDoc>
  <HLinks>
    <vt:vector size="36" baseType="variant">
      <vt:variant>
        <vt:i4>1048578</vt:i4>
      </vt:variant>
      <vt:variant>
        <vt:i4>15</vt:i4>
      </vt:variant>
      <vt:variant>
        <vt:i4>0</vt:i4>
      </vt:variant>
      <vt:variant>
        <vt:i4>5</vt:i4>
      </vt:variant>
      <vt:variant>
        <vt:lpwstr>https://www.dovepress.com/author_guidelines.php?content_id=3511</vt:lpwstr>
      </vt:variant>
      <vt:variant>
        <vt:lpwstr/>
      </vt:variant>
      <vt:variant>
        <vt:i4>6881324</vt:i4>
      </vt:variant>
      <vt:variant>
        <vt:i4>12</vt:i4>
      </vt:variant>
      <vt:variant>
        <vt:i4>0</vt:i4>
      </vt:variant>
      <vt:variant>
        <vt:i4>5</vt:i4>
      </vt:variant>
      <vt:variant>
        <vt:lpwstr>http://www.ncbi.nlm.nih.gov/sites/entrez?Db=pubmed&amp;Cmd=Search&amp;Term=%22Efficacy%20of%20Vasopressin%20Antagonism%20in%20Heart%20Failure%20Outcome%20Study%20With%20Tolvaptan%20(EVEREST)%20Investigators%22%5BCorporate%20Author%5D&amp;itool=EntrezSystem2.PEntrez.Pubmed.Pubmed_ResultsPanel.Pubmed_DiscoveryPanel.Pubmed_RVAbstractPlus</vt:lpwstr>
      </vt:variant>
      <vt:variant>
        <vt:lpwstr/>
      </vt:variant>
      <vt:variant>
        <vt:i4>5177376</vt:i4>
      </vt:variant>
      <vt:variant>
        <vt:i4>9</vt:i4>
      </vt:variant>
      <vt:variant>
        <vt:i4>0</vt:i4>
      </vt:variant>
      <vt:variant>
        <vt:i4>5</vt:i4>
      </vt:variant>
      <vt:variant>
        <vt:lpwstr>http://www.ncbi.nlm.nih.gov/sites/entrez?Db=pubmed&amp;Cmd=Search&amp;Term=%22Burnett%20JC%20Jr%22%5BAuthor%5D&amp;itool=EntrezSystem2.PEntrez.Pubmed.Pubmed_ResultsPanel.Pubmed_DiscoveryPanel.Pubmed_RVAbstractPlus</vt:lpwstr>
      </vt:variant>
      <vt:variant>
        <vt:lpwstr/>
      </vt:variant>
      <vt:variant>
        <vt:i4>6488138</vt:i4>
      </vt:variant>
      <vt:variant>
        <vt:i4>6</vt:i4>
      </vt:variant>
      <vt:variant>
        <vt:i4>0</vt:i4>
      </vt:variant>
      <vt:variant>
        <vt:i4>5</vt:i4>
      </vt:variant>
      <vt:variant>
        <vt:lpwstr>http://www.ncbi.nlm.nih.gov/sites/entrez?Db=pubmed&amp;Cmd=Search&amp;Term=%22Konstam%20MA%22%5BAuthor%5D&amp;itool=EntrezSystem2.PEntrez.Pubmed.Pubmed_ResultsPanel.Pubmed_DiscoveryPanel.Pubmed_RVAbstractPlus</vt:lpwstr>
      </vt:variant>
      <vt:variant>
        <vt:lpwstr/>
      </vt:variant>
      <vt:variant>
        <vt:i4>7733341</vt:i4>
      </vt:variant>
      <vt:variant>
        <vt:i4>3</vt:i4>
      </vt:variant>
      <vt:variant>
        <vt:i4>0</vt:i4>
      </vt:variant>
      <vt:variant>
        <vt:i4>5</vt:i4>
      </vt:variant>
      <vt:variant>
        <vt:lpwstr>http://www.ncbi.nlm.nih.gov/sites/entrez?Db=pubmed&amp;Cmd=Search&amp;Term=%22Gheorghiade%20M%22%5BAuthor%5D&amp;itool=EntrezSystem2.PEntrez.Pubmed.Pubmed_ResultsPanel.Pubmed_DiscoveryPanel.Pubmed_RVAbstractPlus</vt:lpwstr>
      </vt:variant>
      <vt:variant>
        <vt:lpwstr/>
      </vt:variant>
      <vt:variant>
        <vt:i4>4849753</vt:i4>
      </vt:variant>
      <vt:variant>
        <vt:i4>0</vt:i4>
      </vt:variant>
      <vt:variant>
        <vt:i4>0</vt:i4>
      </vt:variant>
      <vt:variant>
        <vt:i4>5</vt:i4>
      </vt:variant>
      <vt:variant>
        <vt:lpwstr>http://www.dovepress.com/author_guidelines.php?folder_id=208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Manuscript template</dc:title>
  <dc:subject/>
  <dc:creator>Angela Jones</dc:creator>
  <cp:keywords/>
  <dc:description/>
  <cp:lastModifiedBy>Pratt, Lucas</cp:lastModifiedBy>
  <cp:revision>2</cp:revision>
  <cp:lastPrinted>2009-01-07T21:57:00Z</cp:lastPrinted>
  <dcterms:created xsi:type="dcterms:W3CDTF">2024-08-05T23:09:00Z</dcterms:created>
  <dcterms:modified xsi:type="dcterms:W3CDTF">2024-08-05T23:09:00Z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bbab825-a111-45e4-86a1-18cee0005896_Enabled">
    <vt:lpwstr>true</vt:lpwstr>
  </property>
  <property fmtid="{D5CDD505-2E9C-101B-9397-08002B2CF9AE}" pid="3" name="MSIP_Label_2bbab825-a111-45e4-86a1-18cee0005896_SetDate">
    <vt:lpwstr>2022-06-22T01:38:32Z</vt:lpwstr>
  </property>
  <property fmtid="{D5CDD505-2E9C-101B-9397-08002B2CF9AE}" pid="4" name="MSIP_Label_2bbab825-a111-45e4-86a1-18cee0005896_Method">
    <vt:lpwstr>Standard</vt:lpwstr>
  </property>
  <property fmtid="{D5CDD505-2E9C-101B-9397-08002B2CF9AE}" pid="5" name="MSIP_Label_2bbab825-a111-45e4-86a1-18cee0005896_Name">
    <vt:lpwstr>2bbab825-a111-45e4-86a1-18cee0005896</vt:lpwstr>
  </property>
  <property fmtid="{D5CDD505-2E9C-101B-9397-08002B2CF9AE}" pid="6" name="MSIP_Label_2bbab825-a111-45e4-86a1-18cee0005896_SiteId">
    <vt:lpwstr>2567d566-604c-408a-8a60-55d0dc9d9d6b</vt:lpwstr>
  </property>
  <property fmtid="{D5CDD505-2E9C-101B-9397-08002B2CF9AE}" pid="7" name="MSIP_Label_2bbab825-a111-45e4-86a1-18cee0005896_ActionId">
    <vt:lpwstr>0936c748-9820-4e4e-a7fa-9383c967e889</vt:lpwstr>
  </property>
  <property fmtid="{D5CDD505-2E9C-101B-9397-08002B2CF9AE}" pid="8" name="MSIP_Label_2bbab825-a111-45e4-86a1-18cee0005896_ContentBits">
    <vt:lpwstr>2</vt:lpwstr>
  </property>
</Properties>
</file>