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spacing w:line="360" w:lineRule="auto"/>
        <w:rPr>
          <w:rFonts w:hint="default" w:ascii="Arial" w:hAnsi="Arial" w:cs="Arial"/>
          <w:b w:val="0"/>
          <w:color w:val="000000"/>
          <w:sz w:val="22"/>
          <w:szCs w:val="22"/>
        </w:rPr>
      </w:pPr>
      <w:r>
        <w:rPr>
          <w:rFonts w:hint="default" w:ascii="Arial" w:hAnsi="Arial" w:cs="Arial"/>
          <w:color w:val="000000"/>
          <w:sz w:val="22"/>
          <w:szCs w:val="22"/>
        </w:rPr>
        <w:t>Supplementary Material</w:t>
      </w:r>
    </w:p>
    <w:p>
      <w:pPr>
        <w:pStyle w:val="2"/>
        <w:keepNext w:val="0"/>
        <w:keepLines w:val="0"/>
        <w:pageBreakBefore w:val="0"/>
        <w:widowControl w:val="0"/>
        <w:numPr>
          <w:ilvl w:val="0"/>
          <w:numId w:val="1"/>
        </w:numPr>
        <w:kinsoku/>
        <w:wordWrap/>
        <w:overflowPunct/>
        <w:topLinePunct w:val="0"/>
        <w:autoSpaceDE/>
        <w:autoSpaceDN/>
        <w:bidi w:val="0"/>
        <w:adjustRightInd/>
        <w:snapToGrid/>
        <w:spacing w:line="360" w:lineRule="auto"/>
        <w:textAlignment w:val="auto"/>
        <w:rPr>
          <w:rFonts w:hint="default" w:ascii="Arial" w:hAnsi="Arial" w:cs="Arial"/>
          <w:kern w:val="36"/>
          <w:sz w:val="22"/>
          <w:szCs w:val="22"/>
        </w:rPr>
      </w:pPr>
      <w:r>
        <w:rPr>
          <w:rFonts w:hint="default" w:ascii="Arial" w:hAnsi="Arial" w:cs="Arial"/>
          <w:kern w:val="36"/>
          <w:sz w:val="22"/>
          <w:szCs w:val="22"/>
        </w:rPr>
        <w:t>Supplemental material and methods</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Arial" w:hAnsi="Arial" w:cs="Arial" w:eastAsiaTheme="minorEastAsia"/>
          <w:b/>
          <w:bCs/>
          <w:sz w:val="22"/>
          <w:szCs w:val="22"/>
          <w:lang w:eastAsia="zh-CN"/>
        </w:rPr>
      </w:pPr>
      <w:r>
        <w:rPr>
          <w:rFonts w:hint="default" w:ascii="Arial" w:hAnsi="Arial" w:cs="Arial" w:eastAsiaTheme="minorEastAsia"/>
          <w:b/>
          <w:bCs/>
          <w:sz w:val="22"/>
          <w:szCs w:val="22"/>
          <w:lang w:eastAsia="zh-CN"/>
        </w:rPr>
        <w:t>Baseline examination</w:t>
      </w:r>
    </w:p>
    <w:p>
      <w:pPr>
        <w:spacing w:line="360" w:lineRule="auto"/>
        <w:jc w:val="both"/>
        <w:rPr>
          <w:rFonts w:hint="default" w:ascii="Arial" w:hAnsi="Arial" w:cs="Arial" w:eastAsiaTheme="minorEastAsia"/>
          <w:sz w:val="22"/>
          <w:szCs w:val="22"/>
          <w:lang w:eastAsia="zh-CN"/>
        </w:rPr>
      </w:pPr>
      <w:r>
        <w:rPr>
          <w:rFonts w:hint="default" w:ascii="Arial" w:hAnsi="Arial" w:cs="Arial" w:eastAsiaTheme="minorEastAsia"/>
          <w:sz w:val="22"/>
          <w:szCs w:val="22"/>
          <w:lang w:eastAsia="zh-CN"/>
        </w:rPr>
        <w:t xml:space="preserve">Anthropometric measurements were taken by trained nurses. Data for height and weight were 3 acquired following a protocol standardized to an accuracy of 0.1 kg and 0.1 cm, respectively. Current smokers were defined as having smoked 100 cigarettes in their lifetime and currently smoking. Blood pressure was measured using a mercury sphygmomanometer after the patient had rested quietly for at least 10 minutes, and the average of multiple measurements was taken as the systolic and diastolic blood pressure values. All biochemical tests were measured by blood sampling after an overnight fast. </w:t>
      </w:r>
    </w:p>
    <w:p>
      <w:pPr>
        <w:spacing w:line="360" w:lineRule="auto"/>
        <w:jc w:val="both"/>
        <w:rPr>
          <w:rFonts w:hint="default" w:ascii="Arial" w:hAnsi="Arial" w:cs="Arial" w:eastAsiaTheme="minorEastAsia"/>
          <w:b/>
          <w:bCs/>
          <w:sz w:val="22"/>
          <w:szCs w:val="22"/>
          <w:lang w:eastAsia="zh-CN"/>
        </w:rPr>
      </w:pPr>
      <w:r>
        <w:rPr>
          <w:rFonts w:hint="default" w:ascii="Arial" w:hAnsi="Arial" w:cs="Arial" w:eastAsiaTheme="minorEastAsia"/>
          <w:b/>
          <w:bCs/>
          <w:sz w:val="22"/>
          <w:szCs w:val="22"/>
          <w:lang w:eastAsia="zh-CN"/>
        </w:rPr>
        <w:t>Definitions</w:t>
      </w:r>
    </w:p>
    <w:p>
      <w:pPr>
        <w:spacing w:line="360" w:lineRule="auto"/>
        <w:jc w:val="both"/>
        <w:rPr>
          <w:rFonts w:hint="default" w:ascii="Arial" w:hAnsi="Arial" w:cs="Arial" w:eastAsiaTheme="minorEastAsia"/>
          <w:sz w:val="22"/>
          <w:szCs w:val="22"/>
          <w:lang w:eastAsia="zh-CN"/>
        </w:rPr>
      </w:pPr>
      <w:r>
        <w:rPr>
          <w:rFonts w:hint="default" w:ascii="Arial" w:hAnsi="Arial" w:cs="Arial" w:eastAsiaTheme="minorEastAsia"/>
          <w:sz w:val="22"/>
          <w:szCs w:val="22"/>
          <w:lang w:eastAsia="zh-CN"/>
        </w:rPr>
        <w:t>Criteria for hypertension included self-reported hypertension, current use of anti-hypertensive medication, or systolic blood pressure (SBP) ≥ 140 mmHg and/or diastolic blood pressure (DBP) ≥ 90 mmHg recorded for at least three consecutive readings. diabetes was defined as fasting serum glucose ≥7.0 mmol/L, the 2-h serum glucose of the oral glucose tolerance test ≥11.1 mmol/L, or the current use of hypoglycaemic medication or insulin. coronary heart disease</w:t>
      </w:r>
      <w:r>
        <w:rPr>
          <w:rFonts w:hint="default" w:ascii="Arial" w:hAnsi="Arial" w:cs="Arial" w:eastAsiaTheme="minorEastAsia"/>
          <w:sz w:val="22"/>
          <w:szCs w:val="22"/>
          <w:lang w:val="en-US" w:eastAsia="zh-CN"/>
        </w:rPr>
        <w:t xml:space="preserve"> (</w:t>
      </w:r>
      <w:r>
        <w:rPr>
          <w:rFonts w:hint="default" w:ascii="Arial" w:hAnsi="Arial" w:cs="Arial" w:eastAsiaTheme="minorEastAsia"/>
          <w:sz w:val="22"/>
          <w:szCs w:val="22"/>
          <w:lang w:eastAsia="zh-CN"/>
        </w:rPr>
        <w:t>CHD</w:t>
      </w:r>
      <w:r>
        <w:rPr>
          <w:rFonts w:hint="default" w:ascii="Arial" w:hAnsi="Arial" w:cs="Arial" w:eastAsiaTheme="minorEastAsia"/>
          <w:sz w:val="22"/>
          <w:szCs w:val="22"/>
          <w:lang w:val="en-US" w:eastAsia="zh-CN"/>
        </w:rPr>
        <w:t>)</w:t>
      </w:r>
      <w:r>
        <w:rPr>
          <w:rFonts w:hint="default" w:ascii="Arial" w:hAnsi="Arial" w:cs="Arial" w:eastAsiaTheme="minorEastAsia"/>
          <w:sz w:val="22"/>
          <w:szCs w:val="22"/>
          <w:lang w:eastAsia="zh-CN"/>
        </w:rPr>
        <w:t xml:space="preserve"> was defined as a fatal or nonfatal myocardial infarction, unstable angina, and coronary revascularization. To identify </w:t>
      </w:r>
      <w:r>
        <w:rPr>
          <w:rFonts w:hint="default" w:ascii="Arial" w:hAnsi="Arial" w:eastAsia="宋体" w:cs="Arial"/>
          <w:color w:val="000000"/>
          <w:sz w:val="22"/>
          <w:szCs w:val="22"/>
          <w:lang w:eastAsia="zh-CN"/>
        </w:rPr>
        <w:t>primary aldosteronism</w:t>
      </w:r>
      <w:r>
        <w:rPr>
          <w:rFonts w:hint="default" w:ascii="Arial" w:hAnsi="Arial" w:eastAsia="宋体" w:cs="Arial"/>
          <w:color w:val="000000"/>
          <w:sz w:val="22"/>
          <w:szCs w:val="22"/>
          <w:lang w:val="en-US" w:eastAsia="zh-CN"/>
        </w:rPr>
        <w:t xml:space="preserve"> (</w:t>
      </w:r>
      <w:r>
        <w:rPr>
          <w:rFonts w:hint="default" w:ascii="Arial" w:hAnsi="Arial" w:cs="Arial" w:eastAsiaTheme="minorEastAsia"/>
          <w:sz w:val="22"/>
          <w:szCs w:val="22"/>
          <w:lang w:eastAsia="zh-CN"/>
        </w:rPr>
        <w:t>PA</w:t>
      </w:r>
      <w:r>
        <w:rPr>
          <w:rFonts w:hint="default" w:ascii="Arial" w:hAnsi="Arial" w:cs="Arial" w:eastAsiaTheme="minorEastAsia"/>
          <w:sz w:val="22"/>
          <w:szCs w:val="22"/>
          <w:lang w:val="en-US" w:eastAsia="zh-CN"/>
        </w:rPr>
        <w:t xml:space="preserve">) </w:t>
      </w:r>
      <w:r>
        <w:rPr>
          <w:rFonts w:hint="default" w:ascii="Arial" w:hAnsi="Arial" w:cs="Arial" w:eastAsiaTheme="minorEastAsia"/>
          <w:sz w:val="22"/>
          <w:szCs w:val="22"/>
          <w:lang w:eastAsia="zh-CN"/>
        </w:rPr>
        <w:t>according to the Endocrine Society's Clinical Practice Guidelines, patients were diagnosed with PA based on a PAC level of ≥ 12 ng/dL, an aldosterone-to-renin ratio ≥ 20, and a PAC value ≥ 10 ng/dL confirmed by saline infusion testing</w:t>
      </w:r>
      <w:r>
        <w:rPr>
          <w:rFonts w:hint="default" w:ascii="Arial" w:hAnsi="Arial" w:cs="Arial"/>
          <w:sz w:val="22"/>
          <w:szCs w:val="22"/>
          <w:lang w:val="en-US" w:eastAsia="zh-CN"/>
        </w:rPr>
        <w:t xml:space="preserve"> </w:t>
      </w:r>
      <w:r>
        <w:rPr>
          <w:rFonts w:hint="default" w:ascii="Arial" w:hAnsi="Arial" w:cs="Arial"/>
          <w:color w:val="FF0000"/>
          <w:sz w:val="22"/>
          <w:szCs w:val="22"/>
          <w:lang w:val="en-US" w:eastAsia="zh-CN"/>
        </w:rPr>
        <w:fldChar w:fldCharType="begin">
          <w:fldData xml:space="preserve">PEVuZE5vdGU+PENpdGU+PEF1dGhvcj5GYXJyZWxsPC9BdXRob3I+PFllYXI+MjAwNzwvWWVhcj48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Y2FsPjxwYWdlcz43NzUtNzwvcGFnZXM+PHZvbHVtZT4yMjwvdm9sdW1lPjxudW1iZXI+NjwvbnVt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</w:fldData>
        </w:fldChar>
      </w:r>
      <w:r>
        <w:rPr>
          <w:rFonts w:hint="default" w:ascii="Arial" w:hAnsi="Arial" w:cs="Arial"/>
          <w:color w:val="FF0000"/>
          <w:sz w:val="22"/>
          <w:szCs w:val="22"/>
          <w:lang w:val="en-US" w:eastAsia="zh-CN"/>
        </w:rPr>
        <w:instrText xml:space="preserve"> ADDIN EN.CITE </w:instrText>
      </w:r>
      <w:r>
        <w:rPr>
          <w:rFonts w:hint="default" w:ascii="Arial" w:hAnsi="Arial" w:cs="Arial"/>
          <w:color w:val="FF0000"/>
          <w:sz w:val="22"/>
          <w:szCs w:val="22"/>
          <w:lang w:val="en-US" w:eastAsia="zh-CN"/>
        </w:rPr>
        <w:fldChar w:fldCharType="begin">
          <w:fldData xml:space="preserve">PEVuZE5vdGU+PENpdGU+PEF1dGhvcj5GYXJyZWxsPC9BdXRob3I+PFllYXI+MjAwNzwvWWVhcj48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</w:fldData>
        </w:fldChar>
      </w:r>
      <w:r>
        <w:rPr>
          <w:rFonts w:hint="default" w:ascii="Arial" w:hAnsi="Arial" w:cs="Arial"/>
          <w:color w:val="FF0000"/>
          <w:sz w:val="22"/>
          <w:szCs w:val="22"/>
          <w:lang w:val="en-US" w:eastAsia="zh-CN"/>
        </w:rPr>
        <w:instrText xml:space="preserve"> ADDIN EN.CITE.DATA </w:instrText>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fldChar w:fldCharType="end"/>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t>(1)</w:t>
      </w:r>
      <w:r>
        <w:rPr>
          <w:rFonts w:hint="default" w:ascii="Arial" w:hAnsi="Arial" w:cs="Arial"/>
          <w:color w:val="FF0000"/>
          <w:sz w:val="22"/>
          <w:szCs w:val="22"/>
          <w:lang w:val="en-US" w:eastAsia="zh-CN"/>
        </w:rPr>
        <w:fldChar w:fldCharType="end"/>
      </w:r>
      <w:r>
        <w:rPr>
          <w:rFonts w:hint="default" w:ascii="Arial" w:hAnsi="Arial" w:cs="Arial" w:eastAsiaTheme="minorEastAsia"/>
          <w:sz w:val="22"/>
          <w:szCs w:val="22"/>
          <w:lang w:eastAsia="zh-CN"/>
        </w:rPr>
        <w:t>. Menopausal status was defined according to World Health Organization recommendations, which regard amenorrhea lasting 12 months as indicative of the menopause</w:t>
      </w:r>
      <w:r>
        <w:rPr>
          <w:rFonts w:hint="default" w:ascii="Arial" w:hAnsi="Arial" w:cs="Arial"/>
          <w:sz w:val="22"/>
          <w:szCs w:val="22"/>
          <w:lang w:val="en-US" w:eastAsia="zh-CN"/>
        </w:rPr>
        <w:t xml:space="preserve"> </w:t>
      </w:r>
      <w:r>
        <w:rPr>
          <w:rFonts w:hint="default" w:ascii="Arial" w:hAnsi="Arial" w:cs="Arial"/>
          <w:color w:val="FF0000"/>
          <w:sz w:val="22"/>
          <w:szCs w:val="22"/>
          <w:lang w:val="en-US" w:eastAsia="zh-CN"/>
        </w:rPr>
        <w:fldChar w:fldCharType="begin">
          <w:fldData xml:space="preserve">PEVuZE5vdGU+PENpdGU+PEF1dGhvcj5GdW5kZXI8L0F1dGhvcj48WWVhcj4yMDE2PC9ZZWFyPjxS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IG1ldGFib2xpc208L2FiYnItMT48L2FsdC1wZXJpb2RpY2FsPjxwYWdlcz4xODg5LTkxNjwvcGFn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</w:fldData>
        </w:fldChar>
      </w:r>
      <w:r>
        <w:rPr>
          <w:rFonts w:hint="default" w:ascii="Arial" w:hAnsi="Arial" w:cs="Arial"/>
          <w:color w:val="FF0000"/>
          <w:sz w:val="22"/>
          <w:szCs w:val="22"/>
          <w:lang w:val="en-US" w:eastAsia="zh-CN"/>
        </w:rPr>
        <w:instrText xml:space="preserve"> ADDIN EN.CITE </w:instrText>
      </w:r>
      <w:r>
        <w:rPr>
          <w:rFonts w:hint="default" w:ascii="Arial" w:hAnsi="Arial" w:cs="Arial"/>
          <w:color w:val="FF0000"/>
          <w:sz w:val="22"/>
          <w:szCs w:val="22"/>
          <w:lang w:val="en-US" w:eastAsia="zh-CN"/>
        </w:rPr>
        <w:fldChar w:fldCharType="begin">
          <w:fldData xml:space="preserve">PEVuZE5vdGU+PENpdGU+PEF1dGhvcj5GdW5kZXI8L0F1dGhvcj48WWVhcj4yMDE2PC9ZZWFyPjxS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</w:fldData>
        </w:fldChar>
      </w:r>
      <w:r>
        <w:rPr>
          <w:rFonts w:hint="default" w:ascii="Arial" w:hAnsi="Arial" w:cs="Arial"/>
          <w:color w:val="FF0000"/>
          <w:sz w:val="22"/>
          <w:szCs w:val="22"/>
          <w:lang w:val="en-US" w:eastAsia="zh-CN"/>
        </w:rPr>
        <w:instrText xml:space="preserve"> ADDIN EN.CITE.DATA </w:instrText>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fldChar w:fldCharType="end"/>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t>(2)</w:t>
      </w:r>
      <w:r>
        <w:rPr>
          <w:rFonts w:hint="default" w:ascii="Arial" w:hAnsi="Arial" w:cs="Arial"/>
          <w:color w:val="FF0000"/>
          <w:sz w:val="22"/>
          <w:szCs w:val="22"/>
          <w:lang w:val="en-US" w:eastAsia="zh-CN"/>
        </w:rPr>
        <w:fldChar w:fldCharType="end"/>
      </w:r>
      <w:r>
        <w:rPr>
          <w:rFonts w:hint="default" w:ascii="Arial" w:hAnsi="Arial" w:cs="Arial" w:eastAsiaTheme="minorEastAsia"/>
          <w:sz w:val="22"/>
          <w:szCs w:val="22"/>
          <w:lang w:eastAsia="zh-CN"/>
        </w:rPr>
        <w:t>.</w:t>
      </w:r>
      <w:r>
        <w:rPr>
          <w:rFonts w:hint="default" w:ascii="Arial" w:hAnsi="Arial" w:cs="Arial"/>
          <w:sz w:val="22"/>
          <w:szCs w:val="22"/>
          <w:lang w:val="en-US" w:eastAsia="zh-CN"/>
        </w:rPr>
        <w:t xml:space="preserve"> </w:t>
      </w:r>
      <w:r>
        <w:rPr>
          <w:rFonts w:hint="default" w:ascii="Arial" w:hAnsi="Arial" w:cs="Arial" w:eastAsiaTheme="minorEastAsia"/>
          <w:sz w:val="22"/>
          <w:szCs w:val="22"/>
          <w:lang w:eastAsia="zh-CN"/>
        </w:rPr>
        <w:t>The body mass index (BMI) was calculated as per the formula: Weight (kg)/Height</w:t>
      </w:r>
      <w:r>
        <w:rPr>
          <w:rFonts w:hint="default" w:ascii="Arial" w:hAnsi="Arial" w:cs="Arial" w:eastAsiaTheme="minorEastAsia"/>
          <w:sz w:val="22"/>
          <w:szCs w:val="22"/>
          <w:vertAlign w:val="superscript"/>
          <w:lang w:eastAsia="zh-CN"/>
        </w:rPr>
        <w:t>2</w:t>
      </w:r>
      <w:r>
        <w:rPr>
          <w:rFonts w:hint="default" w:ascii="Arial" w:hAnsi="Arial" w:cs="Arial" w:eastAsiaTheme="minorEastAsia"/>
          <w:sz w:val="22"/>
          <w:szCs w:val="22"/>
          <w:lang w:eastAsia="zh-CN"/>
        </w:rPr>
        <w:t xml:space="preserve"> (m).</w:t>
      </w:r>
    </w:p>
    <w:p>
      <w:pPr>
        <w:spacing w:line="360" w:lineRule="auto"/>
        <w:jc w:val="both"/>
        <w:rPr>
          <w:rFonts w:hint="default" w:ascii="Arial" w:hAnsi="Arial" w:cs="Arial" w:eastAsiaTheme="minorEastAsia"/>
          <w:b/>
          <w:bCs/>
          <w:sz w:val="22"/>
          <w:szCs w:val="22"/>
          <w:lang w:eastAsia="zh-CN"/>
        </w:rPr>
      </w:pPr>
      <w:r>
        <w:rPr>
          <w:rFonts w:hint="default" w:ascii="Arial" w:hAnsi="Arial" w:cs="Arial" w:eastAsiaTheme="minorEastAsia"/>
          <w:b/>
          <w:bCs/>
          <w:sz w:val="22"/>
          <w:szCs w:val="22"/>
          <w:lang w:eastAsia="zh-CN"/>
        </w:rPr>
        <w:t>Bone Mineral Density Assessment</w:t>
      </w:r>
    </w:p>
    <w:p>
      <w:pPr>
        <w:spacing w:line="360" w:lineRule="auto"/>
        <w:jc w:val="both"/>
        <w:rPr>
          <w:rFonts w:hint="default" w:ascii="Arial" w:hAnsi="Arial" w:cs="Arial" w:eastAsiaTheme="minorEastAsia"/>
          <w:sz w:val="22"/>
          <w:szCs w:val="22"/>
          <w:lang w:eastAsia="zh-CN"/>
        </w:rPr>
      </w:pPr>
      <w:r>
        <w:rPr>
          <w:rFonts w:hint="default" w:ascii="Arial" w:hAnsi="Arial" w:cs="Arial"/>
          <w:sz w:val="22"/>
          <w:szCs w:val="22"/>
        </w:rPr>
        <w:t>Dual-energy X-ray absorptiometry</w:t>
      </w:r>
      <w:r>
        <w:rPr>
          <w:rFonts w:hint="default" w:ascii="Arial" w:hAnsi="Arial" w:cs="Arial" w:eastAsiaTheme="minorEastAsia"/>
          <w:sz w:val="22"/>
          <w:szCs w:val="22"/>
          <w:lang w:eastAsia="zh-CN"/>
        </w:rPr>
        <w:t xml:space="preserve"> (DXA) scans were performed by two health technologists who were certified radiology technologists using the bone densitometer </w:t>
      </w:r>
      <w:r>
        <w:rPr>
          <w:rFonts w:hint="default" w:ascii="Arial" w:hAnsi="Arial" w:cs="Arial"/>
          <w:sz w:val="22"/>
          <w:szCs w:val="22"/>
        </w:rPr>
        <w:t>(Horizon Wi S/N302999M, Hologic, MA, USA)</w:t>
      </w:r>
      <w:r>
        <w:rPr>
          <w:rFonts w:hint="default" w:ascii="Arial" w:hAnsi="Arial" w:cs="Arial"/>
          <w:sz w:val="22"/>
          <w:szCs w:val="22"/>
          <w:lang w:val="en-US" w:eastAsia="zh-CN"/>
        </w:rPr>
        <w:t xml:space="preserve"> </w:t>
      </w:r>
      <w:r>
        <w:rPr>
          <w:rFonts w:hint="default" w:ascii="Arial" w:hAnsi="Arial" w:cs="Arial"/>
          <w:color w:val="FF0000"/>
          <w:sz w:val="22"/>
          <w:szCs w:val="22"/>
          <w:lang w:val="en-US" w:eastAsia="zh-CN"/>
        </w:rPr>
        <w:fldChar w:fldCharType="begin"/>
      </w:r>
      <w:r>
        <w:rPr>
          <w:rFonts w:hint="default" w:ascii="Arial" w:hAnsi="Arial" w:cs="Arial"/>
          <w:color w:val="FF0000"/>
          <w:sz w:val="22"/>
          <w:szCs w:val="22"/>
          <w:lang w:val="en-US" w:eastAsia="zh-CN"/>
        </w:rPr>
        <w:instrText xml:space="preserve"> ADDIN EN.CITE &lt;EndNote&gt;&lt;Cite&gt;&lt;Author&gt;Clemons&lt;/Author&gt;&lt;Year&gt;2007&lt;/Year&gt;&lt;RecNum&gt;663&lt;/RecNum&gt;&lt;DisplayText&gt;(3)&lt;/DisplayText&gt;&lt;record&gt;&lt;rec-number&gt;663&lt;/rec-number&gt;&lt;foreign-keys&gt;&lt;key app="EN" db-id="ewtvwt0pb9pxwue0webp09fs9ws09x20zrad" timestamp="1700575743"&gt;663&lt;/key&gt;&lt;/foreign-keys&gt;&lt;ref-type name="Journal Article"&gt;17&lt;/ref-type&gt;&lt;contributors&gt;&lt;authors&gt;&lt;author&gt;Clemons, M.&lt;/author&gt;&lt;author&gt;Simmons, C.&lt;/author&gt;&lt;/authors&gt;&lt;/contributors&gt;&lt;auth-address&gt;Division of Medical Oncology/Haematology, Princess Margaret Hospital, Suite 5-205, 610 University Avenue, M5G 2M9 Toronto, ON, Canada. Mark.Clemons@uhn.on.ca&lt;/auth-address&gt;&lt;titles&gt;&lt;title&gt;Identifying menopause in breast cancer patients: considerations and implications&lt;/title&gt;&lt;secondary-title&gt;Breast Cancer Res Treat&lt;/secondary-title&gt;&lt;alt-title&gt;Breast cancer research and treatment&lt;/alt-title&gt;&lt;/titles&gt;&lt;periodical&gt;&lt;full-title&gt;Breast Cancer Res Treat&lt;/full-title&gt;&lt;abbr-1&gt;Breast cancer research and treatment&lt;/abbr-1&gt;&lt;/periodical&gt;&lt;alt-periodical&gt;&lt;full-title&gt;Breast Cancer Res Treat&lt;/full-title&gt;&lt;abbr-1&gt;Breast cancer research and treatment&lt;/abbr-1&gt;&lt;/alt-periodical&gt;&lt;pages&gt;115-20&lt;/pages&gt;&lt;volume&gt;104&lt;/volume&gt;&lt;number&gt;2&lt;/number&gt;&lt;edition&gt;2006/10/25&lt;/edition&gt;&lt;keywords&gt;&lt;keyword&gt;Antineoplastic Agents, Hormonal/*therapeutic use&lt;/keyword&gt;&lt;keyword&gt;Aromatase Inhibitors/*therapeutic use&lt;/keyword&gt;&lt;keyword&gt;Breast Neoplasms/diagnosis/*drug therapy&lt;/keyword&gt;&lt;keyword&gt;Female&lt;/keyword&gt;&lt;keyword&gt;Humans&lt;/keyword&gt;&lt;keyword&gt;*Menopause&lt;/keyword&gt;&lt;keyword&gt;Neoplasms, Hormone-Dependent/diagnosis/*drug therapy&lt;/keyword&gt;&lt;/keywords&gt;&lt;dates&gt;&lt;year&gt;2007&lt;/year&gt;&lt;pub-dates&gt;&lt;date&gt;Aug&lt;/date&gt;&lt;/pub-dates&gt;&lt;/dates&gt;&lt;isbn&gt;0167-6806 (Print)&amp;#xD;0167-6806&lt;/isbn&gt;&lt;accession-num&gt;17061039&lt;/accession-num&gt;&lt;urls&gt;&lt;/urls&gt;&lt;electronic-resource-num&gt;10.1007/s10549-006-9401-y&lt;/electronic-resource-num&gt;&lt;remote-database-provider&gt;NLM&lt;/remote-database-provider&gt;&lt;language&gt;eng&lt;/language&gt;&lt;/record&gt;&lt;/Cite&gt;&lt;/EndNote&gt;</w:instrText>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t>(3)</w:t>
      </w:r>
      <w:r>
        <w:rPr>
          <w:rFonts w:hint="default" w:ascii="Arial" w:hAnsi="Arial" w:cs="Arial"/>
          <w:color w:val="FF0000"/>
          <w:sz w:val="22"/>
          <w:szCs w:val="22"/>
          <w:lang w:val="en-US" w:eastAsia="zh-CN"/>
        </w:rPr>
        <w:fldChar w:fldCharType="end"/>
      </w:r>
      <w:r>
        <w:rPr>
          <w:rFonts w:hint="default" w:ascii="Arial" w:hAnsi="Arial" w:cs="Arial"/>
          <w:sz w:val="22"/>
          <w:szCs w:val="22"/>
        </w:rPr>
        <w:t>. The DXA machine was calibrated daily with a phantom. Lumbar spine (L1–L4) and femoral regions (total femur; femur neck; Ward's triangle) scans of each subject were performed and analyzed upon test completion, with each scan taking approximately 5 min</w:t>
      </w:r>
      <w:r>
        <w:rPr>
          <w:rFonts w:hint="default" w:ascii="Arial" w:hAnsi="Arial" w:cs="Arial"/>
          <w:sz w:val="22"/>
          <w:szCs w:val="22"/>
          <w:lang w:val="en-US" w:eastAsia="zh-CN"/>
        </w:rPr>
        <w:t xml:space="preserve"> </w:t>
      </w:r>
      <w:r>
        <w:rPr>
          <w:rFonts w:hint="default" w:ascii="Arial" w:hAnsi="Arial" w:cs="Arial"/>
          <w:color w:val="FF0000"/>
          <w:sz w:val="22"/>
          <w:szCs w:val="22"/>
          <w:lang w:val="en-US" w:eastAsia="zh-CN"/>
        </w:rPr>
        <w:fldChar w:fldCharType="begin">
          <w:fldData xml:space="preserve">PEVuZE5vdGU+PENpdGU+PEF1dGhvcj5XZW48L0F1dGhvcj48WWVhcj4yMDIyPC9ZZWFyPjxSZWNO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</w:fldData>
        </w:fldChar>
      </w:r>
      <w:r>
        <w:rPr>
          <w:rFonts w:hint="default" w:ascii="Arial" w:hAnsi="Arial" w:cs="Arial"/>
          <w:color w:val="FF0000"/>
          <w:sz w:val="22"/>
          <w:szCs w:val="22"/>
          <w:lang w:val="en-US" w:eastAsia="zh-CN"/>
        </w:rPr>
        <w:instrText xml:space="preserve"> ADDIN EN.CITE </w:instrText>
      </w:r>
      <w:r>
        <w:rPr>
          <w:rFonts w:hint="default" w:ascii="Arial" w:hAnsi="Arial" w:cs="Arial"/>
          <w:color w:val="FF0000"/>
          <w:sz w:val="22"/>
          <w:szCs w:val="22"/>
          <w:lang w:val="en-US" w:eastAsia="zh-CN"/>
        </w:rPr>
        <w:fldChar w:fldCharType="begin">
          <w:fldData xml:space="preserve">PEVuZE5vdGU+PENpdGU+PEF1dGhvcj5XZW48L0F1dGhvcj48WWVhcj4yMDIyPC9ZZWFyPjxSZWNO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</w:fldData>
        </w:fldChar>
      </w:r>
      <w:r>
        <w:rPr>
          <w:rFonts w:hint="default" w:ascii="Arial" w:hAnsi="Arial" w:cs="Arial"/>
          <w:color w:val="FF0000"/>
          <w:sz w:val="22"/>
          <w:szCs w:val="22"/>
          <w:lang w:val="en-US" w:eastAsia="zh-CN"/>
        </w:rPr>
        <w:instrText xml:space="preserve"> ADDIN EN.CITE.DATA </w:instrText>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fldChar w:fldCharType="end"/>
      </w:r>
      <w:r>
        <w:rPr>
          <w:rFonts w:hint="default" w:ascii="Arial" w:hAnsi="Arial" w:cs="Arial"/>
          <w:color w:val="FF0000"/>
          <w:sz w:val="22"/>
          <w:szCs w:val="22"/>
          <w:lang w:val="en-US" w:eastAsia="zh-CN"/>
        </w:rPr>
        <w:fldChar w:fldCharType="separate"/>
      </w:r>
      <w:r>
        <w:rPr>
          <w:rFonts w:hint="default" w:ascii="Arial" w:hAnsi="Arial" w:cs="Arial"/>
          <w:color w:val="FF0000"/>
          <w:sz w:val="22"/>
          <w:szCs w:val="22"/>
          <w:lang w:val="en-US" w:eastAsia="zh-CN"/>
        </w:rPr>
        <w:t>(4)</w:t>
      </w:r>
      <w:r>
        <w:rPr>
          <w:rFonts w:hint="default" w:ascii="Arial" w:hAnsi="Arial" w:cs="Arial"/>
          <w:color w:val="FF0000"/>
          <w:sz w:val="22"/>
          <w:szCs w:val="22"/>
          <w:lang w:val="en-US" w:eastAsia="zh-CN"/>
        </w:rPr>
        <w:fldChar w:fldCharType="end"/>
      </w:r>
      <w:r>
        <w:rPr>
          <w:rFonts w:hint="default" w:ascii="Arial" w:hAnsi="Arial" w:cs="Arial"/>
          <w:sz w:val="22"/>
          <w:szCs w:val="22"/>
        </w:rPr>
        <w:t>. The short-term in vivo coefficient of variation for the DXA machine was 1.8% for the lumbar spine and 1.2% for the femoral regions. The lumbar and femoral regions BMD were computed automatically by the DXA scanner.</w:t>
      </w:r>
    </w:p>
    <w:p>
      <w:pPr>
        <w:jc w:val="both"/>
        <w:rPr>
          <w:rFonts w:hint="default" w:ascii="Arial" w:hAnsi="Arial" w:eastAsia="Times New Roman" w:cs="Arial"/>
          <w:color w:val="000000"/>
          <w:sz w:val="22"/>
          <w:szCs w:val="22"/>
          <w:lang w:eastAsia="en-GB"/>
        </w:rPr>
      </w:pPr>
      <w:r>
        <w:rPr>
          <w:rFonts w:hint="default" w:ascii="Arial" w:hAnsi="Arial" w:cs="Arial"/>
          <w:b/>
          <w:color w:val="000000"/>
          <w:sz w:val="22"/>
          <w:szCs w:val="22"/>
          <w:lang w:eastAsia="zh-CN"/>
        </w:rPr>
        <w:t>D</w:t>
      </w:r>
      <w:r>
        <w:rPr>
          <w:rFonts w:hint="default" w:ascii="Arial" w:hAnsi="Arial" w:cs="Arial"/>
          <w:b/>
          <w:color w:val="000000"/>
          <w:sz w:val="22"/>
          <w:szCs w:val="22"/>
        </w:rPr>
        <w:t>etails of the statistical analyses</w:t>
      </w:r>
      <w:r>
        <w:rPr>
          <w:rFonts w:hint="default" w:ascii="Arial" w:hAnsi="Arial" w:eastAsia="Times New Roman" w:cs="Arial"/>
          <w:color w:val="000000"/>
          <w:sz w:val="22"/>
          <w:szCs w:val="22"/>
          <w:lang w:eastAsia="en-GB"/>
        </w:rPr>
        <w:t>.</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color w:val="000000"/>
          <w:sz w:val="22"/>
          <w:szCs w:val="22"/>
          <w:lang w:eastAsia="zh-CN"/>
        </w:rPr>
      </w:pPr>
      <w:r>
        <w:rPr>
          <w:rFonts w:hint="default" w:ascii="Arial" w:hAnsi="Arial" w:eastAsia="宋体" w:cs="Arial"/>
          <w:color w:val="000000"/>
          <w:sz w:val="22"/>
          <w:szCs w:val="22"/>
          <w:lang w:eastAsia="zh-CN"/>
        </w:rPr>
        <w:t xml:space="preserve">Variables of baseline characteristics are shown as n (%) if categorical, mean (SD) if normally distributed, and median (interquartile range) if nonnormally distributed. </w:t>
      </w:r>
      <w:bookmarkStart w:id="0" w:name="OLE_LINK2"/>
      <w:r>
        <w:rPr>
          <w:rFonts w:hint="default" w:ascii="Arial" w:hAnsi="Arial" w:eastAsia="宋体" w:cs="Arial"/>
          <w:color w:val="000000"/>
          <w:sz w:val="22"/>
          <w:szCs w:val="22"/>
          <w:lang w:eastAsia="zh-CN"/>
        </w:rPr>
        <w:t>In order to compare features between the two groups, Chi-square test was used for categorical variables, and independent sample T-test or Mann-Whitney U test was used for continuous variables with normal and skew distributions.</w:t>
      </w:r>
      <w:bookmarkEnd w:id="0"/>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color w:val="000000"/>
          <w:sz w:val="22"/>
          <w:szCs w:val="22"/>
          <w:lang w:val="en-US" w:eastAsia="zh-CN"/>
        </w:rPr>
      </w:pPr>
      <w:r>
        <w:rPr>
          <w:rFonts w:hint="default" w:ascii="Arial" w:hAnsi="Arial" w:eastAsia="宋体" w:cs="Arial"/>
          <w:color w:val="000000"/>
          <w:sz w:val="22"/>
          <w:szCs w:val="22"/>
          <w:lang w:eastAsia="zh-CN"/>
        </w:rPr>
        <w:t xml:space="preserve">Prior to any regression analysis, we tested multicollinearity among the predictors by checking for the variance inflation factor. Multicollinearity analyses revealed that variance inflation factors were smaller than 10 for all predictor variables, confirming that regression models were not affected by the presence of multicollinearity. Multivariable linear regression models were used to estimate the associations between </w:t>
      </w:r>
      <w:r>
        <w:rPr>
          <w:rFonts w:hint="default" w:ascii="Arial" w:hAnsi="Arial" w:eastAsia="宋体" w:cs="Arial"/>
          <w:color w:val="000000"/>
          <w:sz w:val="22"/>
          <w:szCs w:val="22"/>
          <w:lang w:val="en-US" w:eastAsia="zh-CN"/>
        </w:rPr>
        <w:t xml:space="preserve">cumulative drug doses and BMD and </w:t>
      </w:r>
      <w:r>
        <w:rPr>
          <w:rFonts w:hint="default" w:ascii="Arial" w:hAnsi="Arial" w:eastAsia="宋体" w:cs="Arial"/>
          <w:color w:val="000000"/>
          <w:sz w:val="22"/>
          <w:szCs w:val="22"/>
          <w:lang w:eastAsia="zh-CN"/>
        </w:rPr>
        <w:t xml:space="preserve">FRAX score, respectively. The relationship between spironolactone use and </w:t>
      </w:r>
      <w:r>
        <w:rPr>
          <w:rFonts w:hint="default" w:ascii="Arial" w:hAnsi="Arial" w:eastAsia="宋体" w:cs="Arial"/>
          <w:color w:val="000000"/>
          <w:sz w:val="22"/>
          <w:szCs w:val="22"/>
          <w:lang w:val="en-US" w:eastAsia="zh-CN"/>
        </w:rPr>
        <w:t>reduced bone mass</w:t>
      </w:r>
      <w:r>
        <w:rPr>
          <w:rFonts w:hint="default" w:ascii="Arial" w:hAnsi="Arial" w:eastAsia="宋体" w:cs="Arial"/>
          <w:color w:val="000000"/>
          <w:sz w:val="22"/>
          <w:szCs w:val="22"/>
          <w:lang w:eastAsia="zh-CN"/>
        </w:rPr>
        <w:t xml:space="preserve"> and osteoporosis was examined by multivariate logistic regression model. This study set f</w:t>
      </w:r>
      <w:r>
        <w:rPr>
          <w:rFonts w:hint="default" w:ascii="Arial" w:hAnsi="Arial" w:eastAsia="宋体" w:cs="Arial"/>
          <w:color w:val="000000"/>
          <w:sz w:val="22"/>
          <w:szCs w:val="22"/>
          <w:lang w:val="en-US" w:eastAsia="zh-CN"/>
        </w:rPr>
        <w:t>our</w:t>
      </w:r>
      <w:r>
        <w:rPr>
          <w:rFonts w:hint="default" w:ascii="Arial" w:hAnsi="Arial" w:eastAsia="宋体" w:cs="Arial"/>
          <w:color w:val="000000"/>
          <w:sz w:val="22"/>
          <w:szCs w:val="22"/>
          <w:lang w:eastAsia="zh-CN"/>
        </w:rPr>
        <w:t xml:space="preserve"> different models (Model 1: unadjusted; Model 2: adjusted for </w:t>
      </w:r>
      <w:r>
        <w:rPr>
          <w:rFonts w:hint="default" w:ascii="Arial" w:hAnsi="Arial" w:cs="Arial"/>
          <w:sz w:val="22"/>
          <w:szCs w:val="22"/>
          <w:lang w:val="en-US" w:eastAsia="zh-CN"/>
        </w:rPr>
        <w:t>age, sex, BMI, and smoking status</w:t>
      </w:r>
      <w:r>
        <w:rPr>
          <w:rFonts w:hint="default" w:ascii="Arial" w:hAnsi="Arial" w:eastAsia="宋体" w:cs="Arial"/>
          <w:color w:val="000000"/>
          <w:sz w:val="22"/>
          <w:szCs w:val="22"/>
          <w:lang w:eastAsia="zh-CN"/>
        </w:rPr>
        <w:t xml:space="preserve">; Model 3: Model 2 plus adjustment for </w:t>
      </w:r>
      <w:r>
        <w:rPr>
          <w:rFonts w:hint="default" w:ascii="Arial" w:hAnsi="Arial" w:eastAsia="宋体" w:cs="Arial"/>
          <w:color w:val="000000"/>
          <w:sz w:val="22"/>
          <w:szCs w:val="22"/>
          <w:lang w:val="en-US" w:eastAsia="zh-CN"/>
        </w:rPr>
        <w:t>serum potassium, PTH, serum calcium, serum phosphorus, and ALP</w:t>
      </w:r>
      <w:r>
        <w:rPr>
          <w:rFonts w:hint="default" w:ascii="Arial" w:hAnsi="Arial" w:eastAsia="宋体" w:cs="Arial"/>
          <w:color w:val="000000"/>
          <w:sz w:val="22"/>
          <w:szCs w:val="22"/>
          <w:lang w:eastAsia="zh-CN"/>
        </w:rPr>
        <w:t xml:space="preserve">. Model 4: Model 3 plus adjustment </w:t>
      </w:r>
      <w:r>
        <w:rPr>
          <w:rFonts w:hint="default" w:ascii="Arial" w:hAnsi="Arial" w:eastAsia="宋体" w:cs="Arial"/>
          <w:color w:val="000000"/>
          <w:sz w:val="22"/>
          <w:szCs w:val="22"/>
          <w:lang w:val="en-US" w:eastAsia="zh-CN"/>
        </w:rPr>
        <w:t>the use probability of spironolactone</w:t>
      </w:r>
      <w:r>
        <w:rPr>
          <w:rFonts w:hint="default" w:ascii="Arial" w:hAnsi="Arial" w:cs="Arial"/>
          <w:sz w:val="22"/>
          <w:szCs w:val="22"/>
          <w:lang w:val="en-US" w:eastAsia="zh-CN"/>
        </w:rPr>
        <w:t>.</w:t>
      </w:r>
      <w:r>
        <w:rPr>
          <w:rFonts w:hint="default" w:ascii="Arial" w:hAnsi="Arial" w:eastAsia="宋体" w:cs="Arial"/>
          <w:color w:val="000000"/>
          <w:sz w:val="22"/>
          <w:szCs w:val="22"/>
          <w:lang w:eastAsia="zh-CN"/>
        </w:rPr>
        <w:t xml:space="preserve"> In addition, the restricted inverse square spline (four nodes at the 5th, 35th, 65th, and 95th percentiles of the </w:t>
      </w:r>
      <w:r>
        <w:rPr>
          <w:rFonts w:hint="default" w:ascii="Arial" w:hAnsi="Arial" w:eastAsia="宋体" w:cs="Arial"/>
          <w:color w:val="000000"/>
          <w:sz w:val="22"/>
          <w:szCs w:val="22"/>
          <w:lang w:val="en-US" w:eastAsia="zh-CN"/>
        </w:rPr>
        <w:t>cumulative drug doses</w:t>
      </w:r>
      <w:r>
        <w:rPr>
          <w:rFonts w:hint="default" w:ascii="Arial" w:hAnsi="Arial" w:eastAsia="宋体" w:cs="Arial"/>
          <w:color w:val="000000"/>
          <w:sz w:val="22"/>
          <w:szCs w:val="22"/>
          <w:lang w:eastAsia="zh-CN"/>
        </w:rPr>
        <w:t xml:space="preserve"> distribution) was used to evaluate</w:t>
      </w:r>
      <w:r>
        <w:rPr>
          <w:rFonts w:hint="default" w:ascii="Arial" w:hAnsi="Arial" w:eastAsia="宋体" w:cs="Arial"/>
          <w:color w:val="000000"/>
          <w:sz w:val="22"/>
          <w:szCs w:val="22"/>
          <w:lang w:val="en-US" w:eastAsia="zh-CN"/>
        </w:rPr>
        <w:t xml:space="preserve"> the dose-response relationship between cumulative drug dose and the risks of decreased bone mass and osteoporosis</w:t>
      </w:r>
      <w:r>
        <w:rPr>
          <w:rFonts w:hint="default" w:ascii="Arial" w:hAnsi="Arial" w:eastAsia="宋体" w:cs="Arial"/>
          <w:color w:val="000000"/>
          <w:sz w:val="22"/>
          <w:szCs w:val="22"/>
          <w:lang w:eastAsia="zh-CN"/>
        </w:rPr>
        <w:t xml:space="preserve">, and the turning points were further calculated using a recursive algorithm. Moreover, based on the turning point, we conducted a </w:t>
      </w:r>
      <w:r>
        <w:rPr>
          <w:rFonts w:hint="default" w:ascii="Arial" w:hAnsi="Arial" w:eastAsia="宋体" w:cs="Arial"/>
          <w:color w:val="000000"/>
          <w:sz w:val="22"/>
          <w:szCs w:val="22"/>
          <w:lang w:val="en-US" w:eastAsia="zh-CN"/>
        </w:rPr>
        <w:t>two-stage comparisons</w:t>
      </w:r>
      <w:r>
        <w:rPr>
          <w:rFonts w:hint="default" w:ascii="Arial" w:hAnsi="Arial" w:eastAsia="宋体" w:cs="Arial"/>
          <w:color w:val="000000"/>
          <w:sz w:val="22"/>
          <w:szCs w:val="22"/>
          <w:lang w:eastAsia="zh-CN"/>
        </w:rPr>
        <w:t xml:space="preserve"> before and after the turning point. In addition, subgroup analyses were conducted by gender, age, body mass index, smoking status, menopause, diabetes, and use of various medication types, and multiplicative interaction tests were applied</w:t>
      </w:r>
      <w:r>
        <w:rPr>
          <w:rFonts w:hint="default" w:ascii="Arial" w:hAnsi="Arial" w:eastAsia="宋体" w:cs="Arial"/>
          <w:color w:val="000000"/>
          <w:sz w:val="22"/>
          <w:szCs w:val="22"/>
          <w:lang w:val="en-US" w:eastAsia="zh-CN"/>
        </w:rPr>
        <w:t>. Finally, in order to demonstrate the robustness of the results, we also excluded PA for sensitivity analysis.</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Arial" w:hAnsi="Arial" w:eastAsia="宋体" w:cs="Arial"/>
          <w:color w:val="000000"/>
          <w:sz w:val="22"/>
          <w:szCs w:val="22"/>
          <w:lang w:val="en-US" w:eastAsia="zh-CN"/>
        </w:rPr>
      </w:pPr>
      <w:r>
        <w:rPr>
          <w:rFonts w:hint="default" w:ascii="Arial" w:hAnsi="Arial" w:eastAsia="宋体" w:cs="Arial"/>
          <w:color w:val="000000"/>
          <w:sz w:val="22"/>
          <w:szCs w:val="22"/>
          <w:lang w:val="en-US" w:eastAsia="zh-CN"/>
        </w:rPr>
        <w:t>All analyses were done using R (4.2.2). All P-values were two-sided, and P-values of &lt;0.05 denoted statistical significance.</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sz w:val="24"/>
          <w:szCs w:val="24"/>
          <w:lang w:eastAsia="zh-CN"/>
        </w:rPr>
      </w:pPr>
    </w:p>
    <w:p/>
    <w:p/>
    <w:p/>
    <w:p/>
    <w:p/>
    <w:p/>
    <w:p/>
    <w:p/>
    <w:p/>
    <w:p/>
    <w:p/>
    <w:p/>
    <w:p/>
    <w:p/>
    <w:p/>
    <w:p/>
    <w:p/>
    <w:p/>
    <w:p/>
    <w:p/>
    <w:p/>
    <w:p/>
    <w:p/>
    <w:p/>
    <w:p/>
    <w:p/>
    <w:p/>
    <w:p/>
    <w:p/>
    <w:p/>
    <w:p/>
    <w:p/>
    <w:p/>
    <w:p>
      <w:pPr>
        <w:rPr>
          <w:rFonts w:hint="default" w:ascii="Arial" w:hAnsi="Arial" w:cs="Arial"/>
          <w:b/>
          <w:bCs/>
          <w:sz w:val="22"/>
          <w:szCs w:val="22"/>
        </w:rPr>
      </w:pPr>
      <w:r>
        <w:rPr>
          <w:rFonts w:hint="default" w:ascii="Arial" w:hAnsi="Arial" w:cs="Arial"/>
          <w:b/>
          <w:bCs/>
          <w:sz w:val="22"/>
          <w:szCs w:val="22"/>
          <w:lang w:val="en-US" w:eastAsia="zh-CN"/>
        </w:rPr>
        <w:t xml:space="preserve">2   </w:t>
      </w:r>
      <w:r>
        <w:rPr>
          <w:rFonts w:hint="default" w:ascii="Arial" w:hAnsi="Arial" w:cs="Arial"/>
          <w:b/>
          <w:bCs/>
          <w:sz w:val="22"/>
          <w:szCs w:val="22"/>
          <w:lang w:eastAsia="zh-CN"/>
        </w:rPr>
        <w:t>Supplementary Tables</w:t>
      </w:r>
    </w:p>
    <w:p>
      <w:pPr>
        <w:spacing w:before="240"/>
        <w:jc w:val="both"/>
        <w:rPr>
          <w:rFonts w:hint="default" w:ascii="Arial" w:hAnsi="Arial" w:cs="Arial"/>
          <w:sz w:val="22"/>
          <w:szCs w:val="22"/>
        </w:rPr>
      </w:pPr>
      <w:r>
        <w:rPr>
          <w:rFonts w:hint="default" w:ascii="Arial" w:hAnsi="Arial" w:cs="Arial"/>
          <w:b/>
          <w:bCs/>
          <w:sz w:val="22"/>
          <w:szCs w:val="22"/>
        </w:rPr>
        <w:t>Table S1</w:t>
      </w:r>
      <w:r>
        <w:rPr>
          <w:rFonts w:hint="default" w:ascii="Arial" w:hAnsi="Arial" w:cs="Arial"/>
          <w:sz w:val="22"/>
          <w:szCs w:val="22"/>
        </w:rPr>
        <w:t>. List of medications included in the study</w:t>
      </w:r>
    </w:p>
    <w:tbl>
      <w:tblPr>
        <w:tblStyle w:val="4"/>
        <w:tblW w:w="11899" w:type="dxa"/>
        <w:jc w:val="center"/>
        <w:tblBorders>
          <w:top w:val="single" w:color="000000" w:sz="4" w:space="0"/>
          <w:left w:val="none" w:color="auto" w:sz="0" w:space="0"/>
          <w:bottom w:val="single" w:color="000000" w:sz="4"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608"/>
        <w:gridCol w:w="7291"/>
      </w:tblGrid>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jc w:val="center"/>
        </w:trPr>
        <w:tc>
          <w:tcPr>
            <w:tcW w:w="4608" w:type="dxa"/>
            <w:tcBorders>
              <w:top w:val="single" w:color="000000" w:sz="12" w:space="0"/>
              <w:left w:val="nil"/>
              <w:bottom w:val="single" w:color="000000" w:sz="12" w:space="0"/>
              <w:right w:val="nil"/>
            </w:tcBorders>
          </w:tcPr>
          <w:p>
            <w:pPr>
              <w:keepNext w:val="0"/>
              <w:keepLines w:val="0"/>
              <w:widowControl/>
              <w:suppressLineNumbers w:val="0"/>
              <w:spacing w:before="240" w:beforeAutospacing="0" w:afterAutospacing="0"/>
              <w:ind w:left="0" w:right="0"/>
              <w:jc w:val="center"/>
              <w:rPr>
                <w:rFonts w:hint="default" w:ascii="Arial" w:hAnsi="Arial" w:eastAsia="Calibri" w:cs="Arial"/>
                <w:sz w:val="22"/>
                <w:szCs w:val="22"/>
                <w:lang w:eastAsia="zh-CN"/>
              </w:rPr>
            </w:pPr>
            <w:r>
              <w:rPr>
                <w:rFonts w:hint="default" w:ascii="Arial" w:hAnsi="Arial" w:cs="Arial"/>
                <w:sz w:val="22"/>
                <w:szCs w:val="22"/>
              </w:rPr>
              <w:t>Drug class</w:t>
            </w:r>
          </w:p>
        </w:tc>
        <w:tc>
          <w:tcPr>
            <w:tcW w:w="7291" w:type="dxa"/>
            <w:tcBorders>
              <w:top w:val="single" w:color="000000" w:sz="12" w:space="0"/>
              <w:left w:val="nil"/>
              <w:bottom w:val="single" w:color="000000" w:sz="12" w:space="0"/>
              <w:right w:val="nil"/>
            </w:tcBorders>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Drug name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jc w:val="center"/>
        </w:trPr>
        <w:tc>
          <w:tcPr>
            <w:tcW w:w="4608" w:type="dxa"/>
            <w:tcBorders>
              <w:top w:val="single" w:color="000000" w:sz="12" w:space="0"/>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Aspirin</w:t>
            </w:r>
          </w:p>
        </w:tc>
        <w:tc>
          <w:tcPr>
            <w:tcW w:w="7291" w:type="dxa"/>
            <w:tcBorders>
              <w:top w:val="single" w:color="000000" w:sz="12" w:space="0"/>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Aspirin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Statin</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Atorvastatin, fluvastatin, pitavastatin, rosuvastatin, simvastatin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Diuretics</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Acetazolamide, amiloride, benzyl hydrochlorothiazide, bumetanide, furosemide, hydrochlorothiazide, indapamide, spironolactone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61"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Beta-blocker</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Atenolol, bisoprolol, carvedilol, metoprolol, propranolol</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61"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Calcium channel blockers</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Amlodipine, diltiazem, felodipine, lercanidipine, nifedipine,</w:t>
            </w:r>
          </w:p>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verapamil</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968"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Angiotensin-converting enzyme inhibitors or angiotensin receptor blockers</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Azilsartan, candestartan, captopril, enalapril, fosinopril, irbesartan, losartan, olmesartan, ramipril telmisartan, valsartan</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1274" w:hRule="atLeast"/>
          <w:jc w:val="center"/>
        </w:trPr>
        <w:tc>
          <w:tcPr>
            <w:tcW w:w="4608"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Oral antidiabetic agents</w:t>
            </w:r>
          </w:p>
        </w:tc>
        <w:tc>
          <w:tcPr>
            <w:tcW w:w="7291" w:type="dxa"/>
            <w:tcBorders>
              <w:top w:val="nil"/>
              <w:left w:val="nil"/>
              <w:bottom w:val="nil"/>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Metformin, glipizide, gliclazide, glimepiride, glyburide, alogliptin, linagliptin, sitagliptin, vidagliptin, saxagliptin, acarbose, nateglinide, meglitinide, repaglinde, pioglitzone,dulaglutide, exenatide, liraglutide</w:t>
            </w:r>
          </w:p>
        </w:tc>
      </w:tr>
      <w:tr>
        <w:tblPrEx>
          <w:tblBorders>
            <w:top w:val="single" w:color="000000" w:sz="4" w:space="0"/>
            <w:left w:val="none" w:color="auto" w:sz="0" w:space="0"/>
            <w:bottom w:val="single" w:color="000000" w:sz="4" w:space="0"/>
            <w:right w:val="none" w:color="auto" w:sz="0" w:space="0"/>
            <w:insideH w:val="none" w:color="auto" w:sz="0" w:space="0"/>
            <w:insideV w:val="none" w:color="auto" w:sz="0" w:space="0"/>
          </w:tblBorders>
          <w:tblCellMar>
            <w:top w:w="0" w:type="dxa"/>
            <w:left w:w="0" w:type="dxa"/>
            <w:bottom w:w="0" w:type="dxa"/>
            <w:right w:w="0" w:type="dxa"/>
          </w:tblCellMar>
        </w:tblPrEx>
        <w:trPr>
          <w:trHeight w:val="683" w:hRule="atLeast"/>
          <w:jc w:val="center"/>
        </w:trPr>
        <w:tc>
          <w:tcPr>
            <w:tcW w:w="4608" w:type="dxa"/>
            <w:tcBorders>
              <w:top w:val="nil"/>
              <w:left w:val="nil"/>
              <w:bottom w:val="single" w:color="000000" w:sz="12" w:space="0"/>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Insulin</w:t>
            </w:r>
          </w:p>
        </w:tc>
        <w:tc>
          <w:tcPr>
            <w:tcW w:w="7291" w:type="dxa"/>
            <w:tcBorders>
              <w:top w:val="nil"/>
              <w:left w:val="nil"/>
              <w:bottom w:val="single" w:color="000000" w:sz="12" w:space="0"/>
              <w:right w:val="nil"/>
            </w:tcBorders>
            <w:vAlign w:val="center"/>
          </w:tcPr>
          <w:p>
            <w:pPr>
              <w:keepNext w:val="0"/>
              <w:keepLines w:val="0"/>
              <w:widowControl/>
              <w:suppressLineNumbers w:val="0"/>
              <w:spacing w:before="240" w:beforeAutospacing="0" w:afterAutospacing="0"/>
              <w:ind w:left="0" w:right="0"/>
              <w:jc w:val="center"/>
              <w:rPr>
                <w:rFonts w:hint="default" w:ascii="Arial" w:hAnsi="Arial" w:cs="Arial"/>
                <w:sz w:val="22"/>
                <w:szCs w:val="22"/>
              </w:rPr>
            </w:pPr>
            <w:r>
              <w:rPr>
                <w:rFonts w:hint="default" w:ascii="Arial" w:hAnsi="Arial" w:cs="Arial"/>
                <w:sz w:val="22"/>
                <w:szCs w:val="22"/>
              </w:rPr>
              <w:t>Rapid, short, intermediate, and long-acting insulins</w:t>
            </w:r>
          </w:p>
        </w:tc>
      </w:tr>
    </w:tbl>
    <w:p>
      <w:pPr>
        <w:rPr>
          <w:rFonts w:hint="default" w:ascii="Arial" w:hAnsi="Arial" w:cs="Arial"/>
          <w:b/>
          <w:bCs/>
          <w:sz w:val="22"/>
          <w:szCs w:val="22"/>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Times New Roman" w:hAnsi="Times New Roman" w:cs="Times New Roman"/>
          <w:b/>
          <w:bCs/>
          <w:sz w:val="24"/>
          <w:szCs w:val="24"/>
        </w:rPr>
      </w:pPr>
    </w:p>
    <w:p>
      <w:pPr>
        <w:rPr>
          <w:rFonts w:hint="default" w:ascii="Arial" w:hAnsi="Arial" w:cs="Arial"/>
          <w:sz w:val="22"/>
          <w:szCs w:val="22"/>
        </w:rPr>
      </w:pPr>
      <w:r>
        <w:rPr>
          <w:rFonts w:hint="default" w:ascii="Arial" w:hAnsi="Arial" w:cs="Arial"/>
          <w:b/>
          <w:bCs/>
          <w:sz w:val="22"/>
          <w:szCs w:val="22"/>
        </w:rPr>
        <w:t xml:space="preserve">Table </w:t>
      </w:r>
      <w:r>
        <w:rPr>
          <w:rFonts w:hint="default" w:ascii="Arial" w:hAnsi="Arial" w:cs="Arial"/>
          <w:b/>
          <w:bCs/>
          <w:sz w:val="22"/>
          <w:szCs w:val="22"/>
          <w:lang w:val="en-US" w:eastAsia="zh-CN"/>
        </w:rPr>
        <w:t>S2</w:t>
      </w:r>
      <w:r>
        <w:rPr>
          <w:rFonts w:hint="default" w:ascii="Arial" w:hAnsi="Arial" w:cs="Arial"/>
          <w:sz w:val="22"/>
          <w:szCs w:val="22"/>
        </w:rPr>
        <w:t xml:space="preserve">. Covariance </w:t>
      </w:r>
      <w:r>
        <w:rPr>
          <w:rFonts w:hint="eastAsia" w:ascii="Arial" w:hAnsi="Arial" w:cs="Arial"/>
          <w:sz w:val="22"/>
          <w:szCs w:val="22"/>
          <w:lang w:val="en-US" w:eastAsia="zh-CN"/>
        </w:rPr>
        <w:t>d</w:t>
      </w:r>
      <w:r>
        <w:rPr>
          <w:rFonts w:hint="default" w:ascii="Arial" w:hAnsi="Arial" w:cs="Arial"/>
          <w:sz w:val="22"/>
          <w:szCs w:val="22"/>
        </w:rPr>
        <w:t>iagnostics</w:t>
      </w:r>
    </w:p>
    <w:p>
      <w:pPr>
        <w:rPr>
          <w:rFonts w:hint="default" w:ascii="Arial" w:hAnsi="Arial" w:cs="Arial"/>
          <w:sz w:val="22"/>
          <w:szCs w:val="22"/>
        </w:rPr>
      </w:pPr>
    </w:p>
    <w:tbl>
      <w:tblPr>
        <w:tblStyle w:val="4"/>
        <w:tblW w:w="43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074"/>
        <w:gridCol w:w="1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3074" w:type="dxa"/>
            <w:tcBorders>
              <w:top w:val="single" w:color="auto" w:sz="12" w:space="0"/>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Variables</w:t>
            </w:r>
          </w:p>
        </w:tc>
        <w:tc>
          <w:tcPr>
            <w:tcW w:w="1265" w:type="dxa"/>
            <w:tcBorders>
              <w:top w:val="single" w:color="auto" w:sz="12" w:space="0"/>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bookmarkStart w:id="1" w:name="OLE_LINK5"/>
            <w:r>
              <w:rPr>
                <w:rFonts w:hint="default" w:ascii="Arial" w:hAnsi="Arial" w:eastAsia="宋体" w:cs="Arial"/>
                <w:i w:val="0"/>
                <w:iCs w:val="0"/>
                <w:color w:val="000000"/>
                <w:kern w:val="0"/>
                <w:sz w:val="22"/>
                <w:szCs w:val="22"/>
                <w:u w:val="none"/>
                <w:lang w:val="en-US" w:eastAsia="zh-CN" w:bidi="ar"/>
              </w:rPr>
              <w:t>VIF</w:t>
            </w:r>
            <w:bookmarkEnd w:id="1"/>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0" w:type="auto"/>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Sex</w:t>
            </w:r>
          </w:p>
        </w:tc>
        <w:tc>
          <w:tcPr>
            <w:tcW w:w="0" w:type="auto"/>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u w:val="none"/>
              </w:rPr>
            </w:pPr>
            <w:r>
              <w:rPr>
                <w:rFonts w:hint="default" w:ascii="Arial" w:hAnsi="Arial" w:eastAsia="宋体" w:cs="Arial"/>
                <w:i w:val="0"/>
                <w:iCs w:val="0"/>
                <w:color w:val="auto"/>
                <w:kern w:val="0"/>
                <w:sz w:val="22"/>
                <w:szCs w:val="22"/>
                <w:u w:val="none"/>
                <w:lang w:val="en-US" w:eastAsia="zh-CN" w:bidi="ar"/>
              </w:rPr>
              <w:t>7.54727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Age</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1.962591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BMI</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1.21627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SBP</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1.773716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DBP</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2.265394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Current</w:t>
            </w:r>
            <w:r>
              <w:rPr>
                <w:rFonts w:hint="default" w:ascii="Arial" w:hAnsi="Arial" w:eastAsia="宋体" w:cs="Arial"/>
                <w:i w:val="0"/>
                <w:iCs w:val="0"/>
                <w:color w:val="000000"/>
                <w:sz w:val="22"/>
                <w:szCs w:val="22"/>
                <w:u w:val="none"/>
                <w:lang w:val="en-US" w:eastAsia="zh-CN"/>
              </w:rPr>
              <w:t xml:space="preserve"> s</w:t>
            </w:r>
            <w:r>
              <w:rPr>
                <w:rFonts w:hint="default" w:ascii="Arial" w:hAnsi="Arial" w:eastAsia="宋体" w:cs="Arial"/>
                <w:i w:val="0"/>
                <w:iCs w:val="0"/>
                <w:color w:val="000000"/>
                <w:sz w:val="22"/>
                <w:szCs w:val="22"/>
                <w:u w:val="none"/>
              </w:rPr>
              <w:t>moking</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1.589819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Menopausal</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auto"/>
                <w:sz w:val="22"/>
                <w:szCs w:val="22"/>
                <w:u w:val="none"/>
              </w:rPr>
            </w:pPr>
            <w:r>
              <w:rPr>
                <w:rFonts w:hint="default" w:ascii="Arial" w:hAnsi="Arial" w:eastAsia="宋体" w:cs="Arial"/>
                <w:i w:val="0"/>
                <w:iCs w:val="0"/>
                <w:color w:val="auto"/>
                <w:kern w:val="0"/>
                <w:sz w:val="22"/>
                <w:szCs w:val="22"/>
                <w:u w:val="none"/>
                <w:lang w:val="en-US" w:eastAsia="zh-CN" w:bidi="ar"/>
              </w:rPr>
              <w:t>6.629202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Serum potassium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PTH</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1.168955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Serum calcium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1.037433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25-</w:t>
            </w:r>
            <w:r>
              <w:rPr>
                <w:rFonts w:hint="default" w:ascii="Arial" w:hAnsi="Arial" w:eastAsia="宋体" w:cs="Arial"/>
                <w:i w:val="0"/>
                <w:iCs w:val="0"/>
                <w:color w:val="000000"/>
                <w:sz w:val="22"/>
                <w:szCs w:val="22"/>
                <w:u w:val="none"/>
                <w:lang w:val="en-US" w:eastAsia="zh-CN"/>
              </w:rPr>
              <w:t>h</w:t>
            </w:r>
            <w:r>
              <w:rPr>
                <w:rFonts w:hint="default" w:ascii="Arial" w:hAnsi="Arial" w:eastAsia="宋体" w:cs="Arial"/>
                <w:i w:val="0"/>
                <w:iCs w:val="0"/>
                <w:color w:val="000000"/>
                <w:sz w:val="22"/>
                <w:szCs w:val="22"/>
                <w:u w:val="none"/>
              </w:rPr>
              <w:t>ydroxyvitamin D</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1.093601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Serum phosphorus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1.145853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ALT</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3.849798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AST</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3.448509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Cr</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1.575069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ALP</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1.181397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TSH</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1.133995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rPr>
            </w:pPr>
            <w:r>
              <w:rPr>
                <w:rFonts w:hint="default" w:ascii="Arial" w:hAnsi="Arial" w:eastAsia="宋体" w:cs="Arial"/>
                <w:i w:val="0"/>
                <w:iCs w:val="0"/>
                <w:color w:val="000000"/>
                <w:kern w:val="0"/>
                <w:sz w:val="22"/>
                <w:szCs w:val="22"/>
                <w:u w:val="none"/>
                <w:lang w:val="en-US" w:eastAsia="zh-CN" w:bidi="ar"/>
              </w:rPr>
              <w:t>Urea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1.525883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PA</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1.083807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DM</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4.341657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CHD</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1.133207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Statins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1.18932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Diuretics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1.20997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Beta-blockers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1.260242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Calcium channel blockers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1.146465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rPr>
              <w:t>ACEIs/ARBs</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1.299392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lang w:val="en-US" w:eastAsia="zh-CN"/>
              </w:rPr>
              <w:t>A</w:t>
            </w:r>
            <w:r>
              <w:rPr>
                <w:rFonts w:hint="default" w:ascii="Arial" w:hAnsi="Arial" w:eastAsia="宋体" w:cs="Arial"/>
                <w:i w:val="0"/>
                <w:iCs w:val="0"/>
                <w:color w:val="000000"/>
                <w:sz w:val="22"/>
                <w:szCs w:val="22"/>
                <w:u w:val="none"/>
              </w:rPr>
              <w:t>ntihyperglycemic drug</w:t>
            </w:r>
          </w:p>
        </w:tc>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4.226728</w:t>
            </w:r>
          </w:p>
        </w:tc>
      </w:tr>
    </w:tbl>
    <w:p>
      <w:pPr>
        <w:rPr>
          <w:rFonts w:hint="default" w:ascii="Arial" w:hAnsi="Arial" w:cs="Arial"/>
          <w:sz w:val="22"/>
          <w:szCs w:val="22"/>
        </w:rPr>
      </w:pPr>
    </w:p>
    <w:p>
      <w:pPr>
        <w:rPr>
          <w:rFonts w:hint="default" w:ascii="Arial" w:hAnsi="Arial" w:cs="Arial"/>
          <w:sz w:val="22"/>
          <w:szCs w:val="22"/>
        </w:rPr>
      </w:pPr>
      <w:r>
        <w:rPr>
          <w:rFonts w:hint="default" w:ascii="Arial" w:hAnsi="Arial" w:cs="Arial"/>
          <w:sz w:val="22"/>
          <w:szCs w:val="22"/>
        </w:rPr>
        <w:t>VIF = 1/(1-R2). VIF step-by-step screening method: Calculate the VIF of each variable. If the maximum VIF value is ≥ 10, remove the variable with the maximum VIF value.</w:t>
      </w:r>
    </w:p>
    <w:p>
      <w:pPr>
        <w:rPr>
          <w:rFonts w:hint="default" w:ascii="Arial" w:hAnsi="Arial" w:cs="Arial"/>
          <w:sz w:val="22"/>
          <w:szCs w:val="22"/>
        </w:rPr>
      </w:pPr>
      <w:r>
        <w:rPr>
          <w:rFonts w:hint="default" w:ascii="Arial" w:hAnsi="Arial" w:cs="Arial"/>
          <w:sz w:val="22"/>
          <w:szCs w:val="22"/>
        </w:rPr>
        <w:t>Abbreviations:</w:t>
      </w:r>
      <w:r>
        <w:rPr>
          <w:rFonts w:hint="eastAsia" w:ascii="Arial" w:hAnsi="Arial" w:cs="Arial"/>
          <w:sz w:val="22"/>
          <w:szCs w:val="22"/>
          <w:lang w:val="en-US" w:eastAsia="zh-CN"/>
        </w:rPr>
        <w:t xml:space="preserve"> </w:t>
      </w:r>
      <w:r>
        <w:rPr>
          <w:rFonts w:hint="default" w:ascii="Arial" w:hAnsi="Arial" w:cs="Arial"/>
          <w:sz w:val="22"/>
          <w:szCs w:val="22"/>
        </w:rPr>
        <w:t>VIF</w:t>
      </w:r>
      <w:r>
        <w:rPr>
          <w:rFonts w:hint="eastAsia" w:ascii="Arial" w:hAnsi="Arial" w:cs="Arial"/>
          <w:sz w:val="22"/>
          <w:szCs w:val="22"/>
          <w:lang w:val="en-US" w:eastAsia="zh-CN"/>
        </w:rPr>
        <w:t>,</w:t>
      </w:r>
      <w:r>
        <w:rPr>
          <w:rFonts w:hint="default" w:ascii="Arial" w:hAnsi="Arial" w:cs="Arial"/>
          <w:sz w:val="22"/>
          <w:szCs w:val="22"/>
        </w:rPr>
        <w:t xml:space="preserve"> variance inflation factors</w:t>
      </w:r>
      <w:r>
        <w:rPr>
          <w:rFonts w:hint="eastAsia" w:ascii="Arial" w:hAnsi="Arial" w:cs="Arial"/>
          <w:sz w:val="22"/>
          <w:szCs w:val="22"/>
          <w:lang w:val="en-US" w:eastAsia="zh-CN"/>
        </w:rPr>
        <w:t>;</w:t>
      </w:r>
      <w:r>
        <w:rPr>
          <w:rFonts w:hint="default" w:ascii="Arial" w:hAnsi="Arial" w:cs="Arial"/>
          <w:sz w:val="22"/>
          <w:szCs w:val="22"/>
        </w:rPr>
        <w:t xml:space="preserve"> BMI, body mass index; SBP, systolic blood pressure; DBP, diastolic blood pressure; PTH, parathyroid hormone;</w:t>
      </w:r>
      <w:r>
        <w:rPr>
          <w:rFonts w:hint="default" w:ascii="Arial" w:hAnsi="Arial" w:cs="Arial"/>
          <w:sz w:val="22"/>
          <w:szCs w:val="22"/>
          <w:lang w:val="en-US" w:eastAsia="zh-CN"/>
        </w:rPr>
        <w:t xml:space="preserve"> ALT, alanine transaminase; AST, aspartate transaminase; Cr, creatinine; ALP, alkaline phosphatase; TSH, thyroid stimulating hormone; PA, primary aldosteronism; DM, diabetes mellitus; CHD, coronary heart disease; ACEIs, angiotensin-converting enzyme inhibitors; ARBs, angiotensin receptor blockers</w:t>
      </w:r>
      <w:r>
        <w:rPr>
          <w:rFonts w:hint="default" w:ascii="Arial" w:hAnsi="Arial" w:cs="Arial"/>
          <w:sz w:val="22"/>
          <w:szCs w:val="22"/>
        </w:rPr>
        <w:t>.</w:t>
      </w:r>
    </w:p>
    <w:p>
      <w:pPr>
        <w:rPr>
          <w:rFonts w:hint="default" w:ascii="Times New Roman" w:hAnsi="Times New Roman" w:cs="Times New Roman"/>
        </w:rPr>
      </w:pPr>
    </w:p>
    <w:p/>
    <w:p/>
    <w:p/>
    <w:p/>
    <w:p/>
    <w:p>
      <w:pPr>
        <w:rPr>
          <w:rFonts w:hint="default" w:ascii="Times New Roman" w:hAnsi="Times New Roman" w:cs="Times New Roman"/>
          <w:b/>
          <w:bCs/>
          <w:sz w:val="24"/>
          <w:szCs w:val="32"/>
          <w:lang w:val="en-US" w:eastAsia="zh-CN"/>
        </w:rPr>
      </w:pPr>
    </w:p>
    <w:p>
      <w:pPr>
        <w:rPr>
          <w:rFonts w:hint="default" w:ascii="Times New Roman" w:hAnsi="Times New Roman" w:cs="Times New Roman"/>
          <w:b/>
          <w:bCs/>
          <w:sz w:val="24"/>
          <w:szCs w:val="32"/>
          <w:lang w:val="en-US" w:eastAsia="zh-CN"/>
        </w:rPr>
      </w:pPr>
    </w:p>
    <w:p>
      <w:pPr>
        <w:rPr>
          <w:rFonts w:hint="default" w:ascii="Times New Roman" w:hAnsi="Times New Roman" w:cs="Times New Roman"/>
          <w:b/>
          <w:bCs/>
          <w:sz w:val="24"/>
          <w:szCs w:val="32"/>
          <w:lang w:val="en-US" w:eastAsia="zh-CN"/>
        </w:rPr>
      </w:pPr>
    </w:p>
    <w:p>
      <w:pPr>
        <w:rPr>
          <w:rFonts w:hint="default" w:ascii="Arial" w:hAnsi="Arial" w:cs="Arial"/>
          <w:sz w:val="22"/>
          <w:szCs w:val="22"/>
          <w:lang w:val="en-US" w:eastAsia="zh-CN"/>
        </w:rPr>
      </w:pPr>
      <w:r>
        <w:rPr>
          <w:rFonts w:hint="default" w:ascii="Arial" w:hAnsi="Arial" w:cs="Arial"/>
          <w:b/>
          <w:bCs/>
          <w:sz w:val="22"/>
          <w:szCs w:val="22"/>
          <w:lang w:val="en-US" w:eastAsia="zh-CN"/>
        </w:rPr>
        <w:t>Table S3.</w:t>
      </w:r>
      <w:r>
        <w:rPr>
          <w:rFonts w:hint="default" w:ascii="Arial" w:hAnsi="Arial" w:cs="Arial"/>
          <w:sz w:val="22"/>
          <w:szCs w:val="22"/>
          <w:lang w:val="en-US" w:eastAsia="zh-CN"/>
        </w:rPr>
        <w:t xml:space="preserve"> Effect of user versus non-user on decreased bone mass before matching</w:t>
      </w:r>
    </w:p>
    <w:p>
      <w:pPr>
        <w:rPr>
          <w:rFonts w:hint="default" w:ascii="Arial" w:hAnsi="Arial" w:cs="Arial"/>
          <w:sz w:val="22"/>
          <w:szCs w:val="22"/>
          <w:lang w:val="en-US" w:eastAsia="zh-CN"/>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0.479 (0.339, 0.678)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0.457 (0.321, 0.654)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0.412 (0.255, 0.597)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0.439 (0.332, 0.580)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
    <w:p/>
    <w:p/>
    <w:p/>
    <w:p/>
    <w:p/>
    <w:p/>
    <w:p/>
    <w:p/>
    <w:p/>
    <w:p/>
    <w:p/>
    <w:p/>
    <w:p/>
    <w:p/>
    <w:p/>
    <w:p/>
    <w:p/>
    <w:p/>
    <w:p/>
    <w:p>
      <w:pPr>
        <w:rPr>
          <w:rFonts w:hint="default" w:ascii="Times New Roman" w:hAnsi="Times New Roman" w:cs="Times New Roman"/>
          <w:b/>
          <w:bCs/>
          <w:sz w:val="24"/>
          <w:szCs w:val="32"/>
          <w:lang w:val="en-US" w:eastAsia="zh-CN"/>
        </w:rPr>
      </w:pPr>
    </w:p>
    <w:p>
      <w:pPr>
        <w:rPr>
          <w:rFonts w:hint="default" w:ascii="Arial" w:hAnsi="Arial" w:cs="Arial"/>
          <w:sz w:val="22"/>
          <w:szCs w:val="22"/>
          <w:lang w:val="en-US" w:eastAsia="zh-CN"/>
        </w:rPr>
      </w:pPr>
      <w:r>
        <w:rPr>
          <w:rFonts w:hint="default" w:ascii="Arial" w:hAnsi="Arial" w:cs="Arial"/>
          <w:b/>
          <w:bCs/>
          <w:sz w:val="22"/>
          <w:szCs w:val="22"/>
          <w:lang w:val="en-US" w:eastAsia="zh-CN"/>
        </w:rPr>
        <w:t>Table S4.</w:t>
      </w:r>
      <w:r>
        <w:rPr>
          <w:rFonts w:hint="default" w:ascii="Arial" w:hAnsi="Arial" w:cs="Arial"/>
          <w:sz w:val="22"/>
          <w:szCs w:val="22"/>
          <w:lang w:val="en-US" w:eastAsia="zh-CN"/>
        </w:rPr>
        <w:t xml:space="preserve"> Effect of user versus non-user on decreased bone mass after matching</w:t>
      </w:r>
    </w:p>
    <w:p>
      <w:pPr>
        <w:rPr>
          <w:rFonts w:hint="default" w:ascii="Arial" w:hAnsi="Arial" w:cs="Arial"/>
          <w:sz w:val="22"/>
          <w:szCs w:val="22"/>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0.452 (0.345, 0.593)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0.434 (0.328, 0.574)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0.386 (0.286, 0.520)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0.371 (0.273, 0.503)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ascii="Arial" w:hAnsi="Arial" w:cs="Arial"/>
          <w:sz w:val="22"/>
          <w:szCs w:val="22"/>
          <w:lang w:val="en-US" w:eastAsia="zh-CN"/>
        </w:rPr>
      </w:pPr>
    </w:p>
    <w:p/>
    <w:p/>
    <w:p/>
    <w:p/>
    <w:p/>
    <w:p/>
    <w:p/>
    <w:p/>
    <w:p/>
    <w:p/>
    <w:p/>
    <w:p/>
    <w:p/>
    <w:p/>
    <w:p/>
    <w:p/>
    <w:p/>
    <w:p/>
    <w:p/>
    <w:p/>
    <w:p/>
    <w:p/>
    <w:p>
      <w:pPr>
        <w:rPr>
          <w:rFonts w:hint="default" w:ascii="Times New Roman" w:hAnsi="Times New Roman" w:cs="Times New Roman"/>
          <w:b/>
          <w:bCs/>
          <w:sz w:val="24"/>
          <w:szCs w:val="24"/>
          <w:lang w:val="en-US" w:eastAsia="zh-CN"/>
        </w:rPr>
      </w:pPr>
    </w:p>
    <w:p>
      <w:pPr>
        <w:rPr>
          <w:rFonts w:hint="default" w:ascii="Arial" w:hAnsi="Arial" w:eastAsia="Segoe UI" w:cs="Arial"/>
          <w:i w:val="0"/>
          <w:iCs w:val="0"/>
          <w:caps w:val="0"/>
          <w:color w:val="374151"/>
          <w:spacing w:val="0"/>
          <w:sz w:val="22"/>
          <w:szCs w:val="22"/>
        </w:rPr>
      </w:pPr>
      <w:r>
        <w:rPr>
          <w:rFonts w:hint="default" w:ascii="Arial" w:hAnsi="Arial" w:cs="Arial"/>
          <w:b/>
          <w:bCs/>
          <w:sz w:val="22"/>
          <w:szCs w:val="22"/>
          <w:lang w:val="en-US" w:eastAsia="zh-CN"/>
        </w:rPr>
        <w:t xml:space="preserve">Table S5. </w:t>
      </w:r>
      <w:r>
        <w:rPr>
          <w:rFonts w:hint="default" w:ascii="Arial" w:hAnsi="Arial" w:eastAsia="Segoe UI" w:cs="Arial"/>
          <w:i w:val="0"/>
          <w:iCs w:val="0"/>
          <w:caps w:val="0"/>
          <w:color w:val="374151"/>
          <w:spacing w:val="0"/>
          <w:sz w:val="22"/>
          <w:szCs w:val="22"/>
        </w:rPr>
        <w:t xml:space="preserve">The relationship between cumulative drug dose and </w:t>
      </w:r>
      <w:r>
        <w:rPr>
          <w:rFonts w:hint="default" w:ascii="Arial" w:hAnsi="Arial" w:eastAsia="宋体" w:cs="Arial"/>
          <w:i w:val="0"/>
          <w:iCs w:val="0"/>
          <w:caps w:val="0"/>
          <w:color w:val="374151"/>
          <w:spacing w:val="0"/>
          <w:sz w:val="22"/>
          <w:szCs w:val="22"/>
          <w:lang w:val="en-US" w:eastAsia="zh-CN"/>
        </w:rPr>
        <w:t>BMD</w:t>
      </w:r>
      <w:r>
        <w:rPr>
          <w:rFonts w:hint="default" w:ascii="Arial" w:hAnsi="Arial" w:eastAsia="Segoe UI" w:cs="Arial"/>
          <w:i w:val="0"/>
          <w:iCs w:val="0"/>
          <w:caps w:val="0"/>
          <w:color w:val="374151"/>
          <w:spacing w:val="0"/>
          <w:sz w:val="22"/>
          <w:szCs w:val="22"/>
        </w:rPr>
        <w:t xml:space="preserve"> in various body regions.</w:t>
      </w:r>
    </w:p>
    <w:p>
      <w:pPr>
        <w:rPr>
          <w:rFonts w:hint="default" w:ascii="Arial" w:hAnsi="Arial" w:eastAsia="Segoe UI" w:cs="Arial"/>
          <w:i w:val="0"/>
          <w:iCs w:val="0"/>
          <w:caps w:val="0"/>
          <w:color w:val="374151"/>
          <w:spacing w:val="0"/>
          <w:sz w:val="22"/>
          <w:szCs w:val="22"/>
          <w:lang w:val="en-US" w:eastAsia="zh-CN"/>
        </w:rPr>
      </w:pPr>
    </w:p>
    <w:tbl>
      <w:tblPr>
        <w:tblStyle w:val="4"/>
        <w:tblW w:w="11238" w:type="dxa"/>
        <w:jc w:val="center"/>
        <w:tblLayout w:type="fixed"/>
        <w:tblCellMar>
          <w:top w:w="0" w:type="dxa"/>
          <w:left w:w="108" w:type="dxa"/>
          <w:bottom w:w="0" w:type="dxa"/>
          <w:right w:w="108" w:type="dxa"/>
        </w:tblCellMar>
      </w:tblPr>
      <w:tblGrid>
        <w:gridCol w:w="2247"/>
        <w:gridCol w:w="2247"/>
        <w:gridCol w:w="2247"/>
        <w:gridCol w:w="2247"/>
        <w:gridCol w:w="2250"/>
      </w:tblGrid>
      <w:tr>
        <w:tblPrEx>
          <w:tblCellMar>
            <w:top w:w="0" w:type="dxa"/>
            <w:left w:w="108" w:type="dxa"/>
            <w:bottom w:w="0" w:type="dxa"/>
            <w:right w:w="108" w:type="dxa"/>
          </w:tblCellMar>
        </w:tblPrEx>
        <w:trPr>
          <w:trHeight w:val="478" w:hRule="atLeast"/>
          <w:jc w:val="center"/>
        </w:trPr>
        <w:tc>
          <w:tcPr>
            <w:tcW w:w="2247" w:type="dxa"/>
            <w:vMerge w:val="restart"/>
            <w:tcBorders>
              <w:top w:val="single" w:color="auto" w:sz="12" w:space="0"/>
              <w:left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Exposure</w:t>
            </w: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Model 1</w:t>
            </w: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Model 2</w:t>
            </w: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Model 3</w:t>
            </w:r>
          </w:p>
        </w:tc>
        <w:tc>
          <w:tcPr>
            <w:tcW w:w="2250"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Model 4</w:t>
            </w:r>
          </w:p>
        </w:tc>
      </w:tr>
      <w:tr>
        <w:tblPrEx>
          <w:tblCellMar>
            <w:top w:w="0" w:type="dxa"/>
            <w:left w:w="108" w:type="dxa"/>
            <w:bottom w:w="0" w:type="dxa"/>
            <w:right w:w="108" w:type="dxa"/>
          </w:tblCellMar>
        </w:tblPrEx>
        <w:trPr>
          <w:trHeight w:val="426" w:hRule="atLeast"/>
          <w:jc w:val="center"/>
        </w:trPr>
        <w:tc>
          <w:tcPr>
            <w:tcW w:w="2247" w:type="dxa"/>
            <w:vMerge w:val="continue"/>
            <w:tcBorders>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bookmarkStart w:id="2" w:name="OLE_LINK6" w:colFirst="0" w:colLast="5"/>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 xml:space="preserve">β (95% CI) </w:t>
            </w:r>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 xml:space="preserve">β (95% CI) </w:t>
            </w:r>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 xml:space="preserve">β (95% CI) </w:t>
            </w:r>
          </w:p>
        </w:tc>
        <w:tc>
          <w:tcPr>
            <w:tcW w:w="2250"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 xml:space="preserve">β (95% CI) </w:t>
            </w:r>
          </w:p>
        </w:tc>
      </w:tr>
      <w:bookmarkEnd w:id="2"/>
      <w:tr>
        <w:tblPrEx>
          <w:tblCellMar>
            <w:top w:w="0" w:type="dxa"/>
            <w:left w:w="108" w:type="dxa"/>
            <w:bottom w:w="0" w:type="dxa"/>
            <w:right w:w="108" w:type="dxa"/>
          </w:tblCellMar>
        </w:tblPrEx>
        <w:trPr>
          <w:trHeight w:val="478" w:hRule="atLeast"/>
          <w:jc w:val="center"/>
        </w:trPr>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rPr>
            </w:pPr>
            <w:r>
              <w:rPr>
                <w:rFonts w:hint="default" w:ascii="Arial" w:hAnsi="Arial" w:eastAsia="宋体" w:cs="Arial"/>
                <w:b/>
                <w:bCs/>
                <w:color w:val="000000"/>
                <w:kern w:val="0"/>
                <w:sz w:val="22"/>
                <w:szCs w:val="22"/>
              </w:rPr>
              <w:t>Lumbar 1</w:t>
            </w: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0.07</w:t>
            </w:r>
            <w:r>
              <w:rPr>
                <w:rFonts w:hint="default" w:ascii="Arial" w:hAnsi="Arial" w:eastAsia="宋体" w:cs="Arial"/>
                <w:color w:val="000000"/>
                <w:kern w:val="0"/>
                <w:sz w:val="22"/>
                <w:szCs w:val="22"/>
                <w:lang w:val="en-US" w:eastAsia="zh-CN"/>
              </w:rPr>
              <w:t>7</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53</w:t>
            </w:r>
            <w:r>
              <w:rPr>
                <w:rFonts w:hint="default" w:ascii="Arial" w:hAnsi="Arial" w:eastAsia="宋体" w:cs="Arial"/>
                <w:color w:val="000000"/>
                <w:kern w:val="0"/>
                <w:sz w:val="22"/>
                <w:szCs w:val="22"/>
              </w:rPr>
              <w:t>, 0.</w:t>
            </w:r>
            <w:r>
              <w:rPr>
                <w:rFonts w:hint="default" w:ascii="Arial" w:hAnsi="Arial" w:eastAsia="宋体" w:cs="Arial"/>
                <w:color w:val="000000"/>
                <w:kern w:val="0"/>
                <w:sz w:val="22"/>
                <w:szCs w:val="22"/>
                <w:lang w:val="en-US" w:eastAsia="zh-CN"/>
              </w:rPr>
              <w:t>101</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68</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44</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92</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37</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14</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59</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40</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17</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63</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lang w:val="en-US" w:eastAsia="zh-CN"/>
              </w:rPr>
            </w:pPr>
            <w:r>
              <w:rPr>
                <w:rFonts w:hint="default" w:ascii="Arial" w:hAnsi="Arial" w:eastAsia="宋体" w:cs="Arial"/>
                <w:b/>
                <w:bCs/>
                <w:color w:val="000000"/>
                <w:kern w:val="0"/>
                <w:sz w:val="22"/>
                <w:szCs w:val="22"/>
              </w:rPr>
              <w:t xml:space="preserve">Lumbar </w:t>
            </w:r>
            <w:r>
              <w:rPr>
                <w:rFonts w:hint="default" w:ascii="Arial" w:hAnsi="Arial" w:eastAsia="宋体" w:cs="Arial"/>
                <w:b/>
                <w:bCs/>
                <w:color w:val="000000"/>
                <w:kern w:val="0"/>
                <w:sz w:val="22"/>
                <w:szCs w:val="22"/>
                <w:lang w:val="en-US" w:eastAsia="zh-CN"/>
              </w:rPr>
              <w:t>2</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83</w:t>
            </w:r>
            <w:r>
              <w:rPr>
                <w:rFonts w:hint="default" w:ascii="Arial" w:hAnsi="Arial" w:eastAsia="宋体" w:cs="Arial"/>
                <w:color w:val="000000"/>
                <w:kern w:val="0"/>
                <w:sz w:val="22"/>
                <w:szCs w:val="22"/>
              </w:rPr>
              <w:t xml:space="preserve"> (</w:t>
            </w:r>
            <w:r>
              <w:rPr>
                <w:rFonts w:hint="default" w:ascii="Arial" w:hAnsi="Arial" w:eastAsia="宋体" w:cs="Arial"/>
                <w:color w:val="000000"/>
                <w:kern w:val="0"/>
                <w:sz w:val="22"/>
                <w:szCs w:val="22"/>
                <w:lang w:val="en-US" w:eastAsia="zh-CN"/>
              </w:rPr>
              <w:t>0.060</w:t>
            </w:r>
            <w:r>
              <w:rPr>
                <w:rFonts w:hint="default" w:ascii="Arial" w:hAnsi="Arial" w:eastAsia="宋体" w:cs="Arial"/>
                <w:color w:val="000000"/>
                <w:kern w:val="0"/>
                <w:sz w:val="22"/>
                <w:szCs w:val="22"/>
              </w:rPr>
              <w:t>, 0.</w:t>
            </w:r>
            <w:r>
              <w:rPr>
                <w:rFonts w:hint="default" w:ascii="Arial" w:hAnsi="Arial" w:eastAsia="宋体" w:cs="Arial"/>
                <w:color w:val="000000"/>
                <w:kern w:val="0"/>
                <w:sz w:val="22"/>
                <w:szCs w:val="22"/>
                <w:lang w:val="en-US" w:eastAsia="zh-CN"/>
              </w:rPr>
              <w:t>104</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73</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51</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95</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50</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29</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71</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50</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28</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71</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lang w:val="en-US" w:eastAsia="zh-CN"/>
              </w:rPr>
            </w:pPr>
            <w:r>
              <w:rPr>
                <w:rFonts w:hint="default" w:ascii="Arial" w:hAnsi="Arial" w:eastAsia="宋体" w:cs="Arial"/>
                <w:b/>
                <w:bCs/>
                <w:color w:val="000000"/>
                <w:kern w:val="0"/>
                <w:sz w:val="22"/>
                <w:szCs w:val="22"/>
              </w:rPr>
              <w:t xml:space="preserve">Lumbar </w:t>
            </w:r>
            <w:r>
              <w:rPr>
                <w:rFonts w:hint="default" w:ascii="Arial" w:hAnsi="Arial" w:eastAsia="宋体" w:cs="Arial"/>
                <w:b/>
                <w:bCs/>
                <w:color w:val="000000"/>
                <w:kern w:val="0"/>
                <w:sz w:val="22"/>
                <w:szCs w:val="22"/>
                <w:lang w:val="en-US" w:eastAsia="zh-CN"/>
              </w:rPr>
              <w:t>3</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82</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60</w:t>
            </w:r>
            <w:r>
              <w:rPr>
                <w:rFonts w:hint="default" w:ascii="Arial" w:hAnsi="Arial" w:eastAsia="宋体" w:cs="Arial"/>
                <w:color w:val="000000"/>
                <w:kern w:val="0"/>
                <w:sz w:val="22"/>
                <w:szCs w:val="22"/>
              </w:rPr>
              <w:t>, 0.</w:t>
            </w:r>
            <w:r>
              <w:rPr>
                <w:rFonts w:hint="default" w:ascii="Arial" w:hAnsi="Arial" w:eastAsia="宋体" w:cs="Arial"/>
                <w:color w:val="000000"/>
                <w:kern w:val="0"/>
                <w:sz w:val="22"/>
                <w:szCs w:val="22"/>
                <w:lang w:val="en-US" w:eastAsia="zh-CN"/>
              </w:rPr>
              <w:t>105</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75</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53</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97</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51</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29</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72</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52</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30</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74</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lang w:val="en-US" w:eastAsia="zh-CN"/>
              </w:rPr>
            </w:pPr>
            <w:r>
              <w:rPr>
                <w:rFonts w:hint="default" w:ascii="Arial" w:hAnsi="Arial" w:eastAsia="宋体" w:cs="Arial"/>
                <w:b/>
                <w:bCs/>
                <w:color w:val="000000"/>
                <w:kern w:val="0"/>
                <w:sz w:val="22"/>
                <w:szCs w:val="22"/>
              </w:rPr>
              <w:t xml:space="preserve">Lumbar </w:t>
            </w:r>
            <w:r>
              <w:rPr>
                <w:rFonts w:hint="default" w:ascii="Arial" w:hAnsi="Arial" w:eastAsia="宋体" w:cs="Arial"/>
                <w:b/>
                <w:bCs/>
                <w:color w:val="000000"/>
                <w:kern w:val="0"/>
                <w:sz w:val="22"/>
                <w:szCs w:val="22"/>
                <w:lang w:val="en-US" w:eastAsia="zh-CN"/>
              </w:rPr>
              <w:t>4</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lang w:val="en-US" w:eastAsia="zh-CN"/>
              </w:rPr>
              <w:t>0.081</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w:t>
            </w:r>
            <w:r>
              <w:rPr>
                <w:rFonts w:hint="default" w:ascii="Arial" w:hAnsi="Arial" w:eastAsia="宋体" w:cs="Arial"/>
                <w:color w:val="000000"/>
                <w:kern w:val="0"/>
                <w:sz w:val="22"/>
                <w:szCs w:val="22"/>
              </w:rPr>
              <w:t>7, 0.</w:t>
            </w:r>
            <w:r>
              <w:rPr>
                <w:rFonts w:hint="default" w:ascii="Arial" w:hAnsi="Arial" w:eastAsia="宋体" w:cs="Arial"/>
                <w:color w:val="000000"/>
                <w:kern w:val="0"/>
                <w:sz w:val="22"/>
                <w:szCs w:val="22"/>
                <w:lang w:val="en-US" w:eastAsia="zh-CN"/>
              </w:rPr>
              <w:t>1</w:t>
            </w:r>
            <w:r>
              <w:rPr>
                <w:rFonts w:hint="default" w:ascii="Arial" w:hAnsi="Arial" w:eastAsia="宋体" w:cs="Arial"/>
                <w:color w:val="000000"/>
                <w:kern w:val="0"/>
                <w:sz w:val="22"/>
                <w:szCs w:val="22"/>
              </w:rPr>
              <w:t>0</w:t>
            </w:r>
            <w:r>
              <w:rPr>
                <w:rFonts w:hint="default" w:ascii="Arial" w:hAnsi="Arial" w:eastAsia="宋体" w:cs="Arial"/>
                <w:color w:val="000000"/>
                <w:kern w:val="0"/>
                <w:sz w:val="22"/>
                <w:szCs w:val="22"/>
                <w:lang w:val="en-US" w:eastAsia="zh-CN"/>
              </w:rPr>
              <w:t>4</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73</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49</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96</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41</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19</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63</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42</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20</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64</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rPr>
            </w:pPr>
            <w:r>
              <w:rPr>
                <w:rFonts w:hint="default" w:ascii="Arial" w:hAnsi="Arial" w:eastAsia="宋体" w:cs="Arial"/>
                <w:b/>
                <w:bCs/>
                <w:color w:val="000000"/>
                <w:kern w:val="0"/>
                <w:sz w:val="22"/>
                <w:szCs w:val="22"/>
              </w:rPr>
              <w:t>Neck</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lang w:val="en-US" w:eastAsia="zh-CN"/>
              </w:rPr>
              <w:t>0.034</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21</w:t>
            </w:r>
            <w:r>
              <w:rPr>
                <w:rFonts w:hint="default" w:ascii="Arial" w:hAnsi="Arial" w:eastAsia="宋体" w:cs="Arial"/>
                <w:color w:val="000000"/>
                <w:kern w:val="0"/>
                <w:sz w:val="22"/>
                <w:szCs w:val="22"/>
              </w:rPr>
              <w:t>, 0.</w:t>
            </w:r>
            <w:r>
              <w:rPr>
                <w:rFonts w:hint="default" w:ascii="Arial" w:hAnsi="Arial" w:eastAsia="宋体" w:cs="Arial"/>
                <w:color w:val="000000"/>
                <w:kern w:val="0"/>
                <w:sz w:val="22"/>
                <w:szCs w:val="22"/>
                <w:lang w:val="en-US" w:eastAsia="zh-CN"/>
              </w:rPr>
              <w:t>046</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34</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23</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46</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20</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08</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31</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17</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05</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28</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rPr>
            </w:pPr>
            <w:r>
              <w:rPr>
                <w:rFonts w:hint="default" w:ascii="Arial" w:hAnsi="Arial" w:eastAsia="宋体" w:cs="Arial"/>
                <w:b/>
                <w:bCs/>
                <w:color w:val="000000"/>
                <w:kern w:val="0"/>
                <w:sz w:val="22"/>
                <w:szCs w:val="22"/>
              </w:rPr>
              <w:t>Wards</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64</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50</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78</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66</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53</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79</w:t>
            </w:r>
            <w:r>
              <w:rPr>
                <w:rFonts w:hint="default" w:ascii="Arial" w:hAnsi="Arial" w:eastAsia="宋体" w:cs="Arial"/>
                <w:color w:val="000000"/>
                <w:kern w:val="0"/>
                <w:sz w:val="22"/>
                <w:szCs w:val="22"/>
              </w:rPr>
              <w:t xml:space="preserve">)  </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53</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39</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66</w:t>
            </w:r>
            <w:r>
              <w:rPr>
                <w:rFonts w:hint="default" w:ascii="Arial" w:hAnsi="Arial" w:eastAsia="宋体" w:cs="Arial"/>
                <w:color w:val="000000"/>
                <w:kern w:val="0"/>
                <w:sz w:val="22"/>
                <w:szCs w:val="22"/>
              </w:rPr>
              <w:t xml:space="preserve">)  </w:t>
            </w: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49</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36</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63</w:t>
            </w:r>
            <w:r>
              <w:rPr>
                <w:rFonts w:hint="default" w:ascii="Arial" w:hAnsi="Arial" w:eastAsia="宋体" w:cs="Arial"/>
                <w:color w:val="000000"/>
                <w:kern w:val="0"/>
                <w:sz w:val="22"/>
                <w:szCs w:val="22"/>
              </w:rPr>
              <w:t xml:space="preserve">)   </w:t>
            </w:r>
          </w:p>
        </w:tc>
      </w:tr>
      <w:tr>
        <w:tblPrEx>
          <w:tblCellMar>
            <w:top w:w="0" w:type="dxa"/>
            <w:left w:w="108" w:type="dxa"/>
            <w:bottom w:w="0" w:type="dxa"/>
            <w:right w:w="108" w:type="dxa"/>
          </w:tblCellMar>
        </w:tblPrEx>
        <w:trPr>
          <w:trHeight w:val="426" w:hRule="atLeast"/>
          <w:jc w:val="center"/>
        </w:trPr>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b/>
                <w:bCs/>
                <w:color w:val="000000"/>
                <w:kern w:val="0"/>
                <w:sz w:val="22"/>
                <w:szCs w:val="22"/>
              </w:rPr>
            </w:pPr>
            <w:r>
              <w:rPr>
                <w:rFonts w:hint="default" w:ascii="Arial" w:hAnsi="Arial" w:eastAsia="宋体" w:cs="Arial"/>
                <w:b/>
                <w:bCs/>
                <w:color w:val="000000"/>
                <w:kern w:val="0"/>
                <w:sz w:val="22"/>
                <w:szCs w:val="22"/>
              </w:rPr>
              <w:t>Total</w:t>
            </w: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4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c>
          <w:tcPr>
            <w:tcW w:w="2250"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Times New Roman" w:cs="Arial"/>
                <w:kern w:val="0"/>
                <w:sz w:val="22"/>
                <w:szCs w:val="22"/>
              </w:rPr>
            </w:pPr>
          </w:p>
        </w:tc>
      </w:tr>
      <w:tr>
        <w:tblPrEx>
          <w:tblCellMar>
            <w:top w:w="0" w:type="dxa"/>
            <w:left w:w="108" w:type="dxa"/>
            <w:bottom w:w="0" w:type="dxa"/>
            <w:right w:w="108" w:type="dxa"/>
          </w:tblCellMar>
        </w:tblPrEx>
        <w:trPr>
          <w:trHeight w:val="1276" w:hRule="atLeast"/>
          <w:jc w:val="center"/>
        </w:trPr>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cs="Arial"/>
                <w:sz w:val="22"/>
                <w:szCs w:val="22"/>
                <w:lang w:val="en-US" w:eastAsia="zh-CN"/>
              </w:rPr>
              <w:t>Cumulative dose</w:t>
            </w:r>
            <w:r>
              <w:rPr>
                <w:rFonts w:hint="default" w:ascii="Arial" w:hAnsi="Arial" w:eastAsia="宋体" w:cs="Arial"/>
                <w:color w:val="000000"/>
                <w:kern w:val="0"/>
                <w:sz w:val="22"/>
                <w:szCs w:val="22"/>
                <w:highlight w:val="none"/>
                <w:lang w:val="en-US" w:eastAsia="zh-CN"/>
              </w:rPr>
              <w:t xml:space="preserve"> (per 100 mg.months increase)</w:t>
            </w:r>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53</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41</w:t>
            </w:r>
            <w:r>
              <w:rPr>
                <w:rFonts w:hint="default" w:ascii="Arial" w:hAnsi="Arial" w:eastAsia="宋体" w:cs="Arial"/>
                <w:color w:val="000000"/>
                <w:kern w:val="0"/>
                <w:sz w:val="22"/>
                <w:szCs w:val="22"/>
              </w:rPr>
              <w:t>, 0.06</w:t>
            </w:r>
            <w:r>
              <w:rPr>
                <w:rFonts w:hint="default" w:ascii="Arial" w:hAnsi="Arial" w:eastAsia="宋体" w:cs="Arial"/>
                <w:color w:val="000000"/>
                <w:kern w:val="0"/>
                <w:sz w:val="22"/>
                <w:szCs w:val="22"/>
                <w:lang w:val="en-US" w:eastAsia="zh-CN"/>
              </w:rPr>
              <w:t>6</w:t>
            </w:r>
            <w:r>
              <w:rPr>
                <w:rFonts w:hint="default" w:ascii="Arial" w:hAnsi="Arial" w:eastAsia="宋体" w:cs="Arial"/>
                <w:color w:val="000000"/>
                <w:kern w:val="0"/>
                <w:sz w:val="22"/>
                <w:szCs w:val="22"/>
              </w:rPr>
              <w:t xml:space="preserve">) </w:t>
            </w:r>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w:t>
            </w:r>
            <w:r>
              <w:rPr>
                <w:rFonts w:hint="default" w:ascii="Arial" w:hAnsi="Arial" w:eastAsia="宋体" w:cs="Arial"/>
                <w:color w:val="000000"/>
                <w:kern w:val="0"/>
                <w:sz w:val="22"/>
                <w:szCs w:val="22"/>
                <w:lang w:val="en-US" w:eastAsia="zh-CN"/>
              </w:rPr>
              <w:t>049</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37</w:t>
            </w:r>
            <w:r>
              <w:rPr>
                <w:rFonts w:hint="default" w:ascii="Arial" w:hAnsi="Arial" w:eastAsia="宋体" w:cs="Arial"/>
                <w:color w:val="000000"/>
                <w:kern w:val="0"/>
                <w:sz w:val="22"/>
                <w:szCs w:val="22"/>
              </w:rPr>
              <w:t>, 0.06</w:t>
            </w:r>
            <w:r>
              <w:rPr>
                <w:rFonts w:hint="default" w:ascii="Arial" w:hAnsi="Arial" w:eastAsia="宋体" w:cs="Arial"/>
                <w:color w:val="000000"/>
                <w:kern w:val="0"/>
                <w:sz w:val="22"/>
                <w:szCs w:val="22"/>
                <w:lang w:val="en-US" w:eastAsia="zh-CN"/>
              </w:rPr>
              <w:t>1</w:t>
            </w:r>
            <w:r>
              <w:rPr>
                <w:rFonts w:hint="default" w:ascii="Arial" w:hAnsi="Arial" w:eastAsia="宋体" w:cs="Arial"/>
                <w:color w:val="000000"/>
                <w:kern w:val="0"/>
                <w:sz w:val="22"/>
                <w:szCs w:val="22"/>
              </w:rPr>
              <w:t xml:space="preserve">) </w:t>
            </w:r>
          </w:p>
        </w:tc>
        <w:tc>
          <w:tcPr>
            <w:tcW w:w="2247"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37</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25</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49</w:t>
            </w:r>
            <w:r>
              <w:rPr>
                <w:rFonts w:hint="default" w:ascii="Arial" w:hAnsi="Arial" w:eastAsia="宋体" w:cs="Arial"/>
                <w:color w:val="000000"/>
                <w:kern w:val="0"/>
                <w:sz w:val="22"/>
                <w:szCs w:val="22"/>
              </w:rPr>
              <w:t xml:space="preserve">) </w:t>
            </w:r>
          </w:p>
        </w:tc>
        <w:tc>
          <w:tcPr>
            <w:tcW w:w="2250"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rPr>
              <w:t>0.0</w:t>
            </w:r>
            <w:r>
              <w:rPr>
                <w:rFonts w:hint="default" w:ascii="Arial" w:hAnsi="Arial" w:eastAsia="宋体" w:cs="Arial"/>
                <w:color w:val="000000"/>
                <w:kern w:val="0"/>
                <w:sz w:val="22"/>
                <w:szCs w:val="22"/>
                <w:lang w:val="en-US" w:eastAsia="zh-CN"/>
              </w:rPr>
              <w:t>36</w:t>
            </w:r>
            <w:r>
              <w:rPr>
                <w:rFonts w:hint="default" w:ascii="Arial" w:hAnsi="Arial" w:eastAsia="宋体" w:cs="Arial"/>
                <w:color w:val="000000"/>
                <w:kern w:val="0"/>
                <w:sz w:val="22"/>
                <w:szCs w:val="22"/>
              </w:rPr>
              <w:t xml:space="preserve"> (0.0</w:t>
            </w:r>
            <w:r>
              <w:rPr>
                <w:rFonts w:hint="default" w:ascii="Arial" w:hAnsi="Arial" w:eastAsia="宋体" w:cs="Arial"/>
                <w:color w:val="000000"/>
                <w:kern w:val="0"/>
                <w:sz w:val="22"/>
                <w:szCs w:val="22"/>
                <w:lang w:val="en-US" w:eastAsia="zh-CN"/>
              </w:rPr>
              <w:t>24</w:t>
            </w:r>
            <w:r>
              <w:rPr>
                <w:rFonts w:hint="default" w:ascii="Arial" w:hAnsi="Arial" w:eastAsia="宋体" w:cs="Arial"/>
                <w:color w:val="000000"/>
                <w:kern w:val="0"/>
                <w:sz w:val="22"/>
                <w:szCs w:val="22"/>
              </w:rPr>
              <w:t>, 0.0</w:t>
            </w:r>
            <w:r>
              <w:rPr>
                <w:rFonts w:hint="default" w:ascii="Arial" w:hAnsi="Arial" w:eastAsia="宋体" w:cs="Arial"/>
                <w:color w:val="000000"/>
                <w:kern w:val="0"/>
                <w:sz w:val="22"/>
                <w:szCs w:val="22"/>
                <w:lang w:val="en-US" w:eastAsia="zh-CN"/>
              </w:rPr>
              <w:t>48</w:t>
            </w:r>
            <w:r>
              <w:rPr>
                <w:rFonts w:hint="default" w:ascii="Arial" w:hAnsi="Arial" w:eastAsia="宋体" w:cs="Arial"/>
                <w:color w:val="000000"/>
                <w:kern w:val="0"/>
                <w:sz w:val="22"/>
                <w:szCs w:val="22"/>
              </w:rPr>
              <w:t xml:space="preserve">)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4: </w:t>
      </w:r>
      <w:bookmarkStart w:id="3" w:name="OLE_LINK4"/>
      <w:r>
        <w:rPr>
          <w:rFonts w:hint="default" w:ascii="Arial" w:hAnsi="Arial" w:cs="Arial"/>
          <w:sz w:val="22"/>
          <w:szCs w:val="22"/>
          <w:lang w:val="en-US" w:eastAsia="zh-CN"/>
        </w:rPr>
        <w:t>Model 3 plus adjustment for the the use probability of spironolactone.</w:t>
      </w:r>
    </w:p>
    <w:bookmarkEnd w:id="3"/>
    <w:p>
      <w:pPr>
        <w:rPr>
          <w:rFonts w:hint="default" w:ascii="Arial" w:hAnsi="Arial" w:cs="Arial"/>
          <w:sz w:val="22"/>
          <w:szCs w:val="22"/>
          <w:lang w:val="en-US" w:eastAsia="zh-CN"/>
        </w:rPr>
      </w:pPr>
      <w:r>
        <w:rPr>
          <w:rFonts w:hint="default" w:ascii="Arial" w:hAnsi="Arial" w:cs="Arial"/>
          <w:sz w:val="22"/>
          <w:szCs w:val="22"/>
          <w:lang w:val="en-US" w:eastAsia="zh-CN"/>
        </w:rPr>
        <w:t>Abbreviations: BMD, bone mineral density; Neck, neck of the femur; Wards, Ward's triangle; Total, total femur; β, regression coefficient;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ascii="Arial" w:hAnsi="Arial" w:cs="Arial"/>
          <w:sz w:val="22"/>
          <w:szCs w:val="22"/>
          <w:lang w:val="en-US" w:eastAsia="zh-CN"/>
        </w:rPr>
      </w:pPr>
    </w:p>
    <w:p/>
    <w:p/>
    <w:p/>
    <w:p/>
    <w:p/>
    <w:p/>
    <w:p/>
    <w:p/>
    <w:p/>
    <w:p/>
    <w:p/>
    <w:p/>
    <w:p/>
    <w:p/>
    <w:p/>
    <w:p/>
    <w:p/>
    <w:p/>
    <w:p/>
    <w:p/>
    <w:p/>
    <w:p/>
    <w:p/>
    <w:p/>
    <w:p/>
    <w:p/>
    <w:p/>
    <w:p/>
    <w:p/>
    <w:p>
      <w:pPr>
        <w:rPr>
          <w:rFonts w:hint="default" w:ascii="Arial" w:hAnsi="Arial" w:cs="Arial"/>
          <w:sz w:val="22"/>
          <w:szCs w:val="22"/>
          <w:lang w:val="en-US" w:eastAsia="zh-CN"/>
        </w:rPr>
      </w:pPr>
      <w:r>
        <w:rPr>
          <w:rFonts w:hint="default" w:ascii="Arial" w:hAnsi="Arial" w:cs="Arial"/>
          <w:b/>
          <w:bCs/>
          <w:sz w:val="22"/>
          <w:szCs w:val="22"/>
          <w:lang w:val="en-US" w:eastAsia="zh-CN"/>
        </w:rPr>
        <w:t xml:space="preserve">Table S6. </w:t>
      </w:r>
      <w:r>
        <w:rPr>
          <w:rFonts w:hint="default" w:ascii="Arial" w:hAnsi="Arial" w:cs="Arial"/>
          <w:sz w:val="22"/>
          <w:szCs w:val="22"/>
          <w:lang w:val="en-US" w:eastAsia="zh-CN"/>
        </w:rPr>
        <w:t xml:space="preserve">Bone mass characteristics stratified according to the </w:t>
      </w:r>
      <w:r>
        <w:rPr>
          <w:rFonts w:hint="default" w:ascii="Arial" w:hAnsi="Arial" w:cs="Arial"/>
          <w:b w:val="0"/>
          <w:bCs w:val="0"/>
          <w:sz w:val="22"/>
          <w:szCs w:val="22"/>
        </w:rPr>
        <w:t>turning</w:t>
      </w:r>
      <w:r>
        <w:rPr>
          <w:rFonts w:hint="default" w:ascii="Arial" w:hAnsi="Arial" w:cs="Arial"/>
          <w:sz w:val="22"/>
          <w:szCs w:val="22"/>
          <w:lang w:val="en-US" w:eastAsia="zh-CN"/>
        </w:rPr>
        <w:t xml:space="preserve"> point of RCS decreased bone mass.</w:t>
      </w:r>
    </w:p>
    <w:p>
      <w:pPr>
        <w:rPr>
          <w:rFonts w:hint="default" w:ascii="Arial" w:hAnsi="Arial" w:cs="Arial"/>
          <w:sz w:val="22"/>
          <w:szCs w:val="22"/>
          <w:lang w:val="en-US" w:eastAsia="zh-CN"/>
        </w:rPr>
      </w:pPr>
    </w:p>
    <w:tbl>
      <w:tblPr>
        <w:tblStyle w:val="4"/>
        <w:tblW w:w="946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418"/>
        <w:gridCol w:w="2973"/>
        <w:gridCol w:w="2742"/>
        <w:gridCol w:w="14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6" w:hRule="atLeast"/>
          <w:jc w:val="center"/>
        </w:trPr>
        <w:tc>
          <w:tcPr>
            <w:tcW w:w="2282" w:type="dxa"/>
            <w:tcBorders>
              <w:top w:val="single" w:color="auto" w:sz="12" w:space="0"/>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Characteristic</w:t>
            </w:r>
          </w:p>
        </w:tc>
        <w:tc>
          <w:tcPr>
            <w:tcW w:w="2973" w:type="dxa"/>
            <w:tcBorders>
              <w:top w:val="single" w:color="auto" w:sz="12" w:space="0"/>
              <w:left w:val="nil"/>
              <w:bottom w:val="nil"/>
              <w:right w:val="nil"/>
            </w:tcBorders>
            <w:shd w:val="clear" w:color="auto" w:fill="auto"/>
            <w:noWrap/>
            <w:vAlign w:val="center"/>
          </w:tcPr>
          <w:p>
            <w:pPr>
              <w:jc w:val="center"/>
              <w:rPr>
                <w:rFonts w:hint="default" w:ascii="Arial" w:hAnsi="Arial" w:cs="Arial"/>
                <w:b/>
                <w:bCs/>
                <w:sz w:val="22"/>
                <w:szCs w:val="22"/>
                <w:lang w:val="en-US"/>
              </w:rPr>
            </w:pPr>
            <w:r>
              <w:rPr>
                <w:rFonts w:hint="default" w:ascii="Arial" w:hAnsi="Arial" w:cs="Arial"/>
                <w:b/>
                <w:bCs/>
                <w:sz w:val="22"/>
                <w:szCs w:val="22"/>
                <w:lang w:val="en-US" w:eastAsia="zh-CN"/>
              </w:rPr>
              <w:t xml:space="preserve">&lt; 370 </w:t>
            </w:r>
            <w:r>
              <w:rPr>
                <w:rFonts w:hint="default" w:ascii="Arial" w:hAnsi="Arial" w:eastAsia="宋体" w:cs="Arial"/>
                <w:b/>
                <w:bCs/>
                <w:color w:val="000000"/>
                <w:kern w:val="0"/>
                <w:sz w:val="22"/>
                <w:szCs w:val="22"/>
                <w:lang w:val="en-US" w:eastAsia="zh-CN"/>
              </w:rPr>
              <w:t>mg.months</w:t>
            </w:r>
          </w:p>
        </w:tc>
        <w:tc>
          <w:tcPr>
            <w:tcW w:w="2742" w:type="dxa"/>
            <w:tcBorders>
              <w:top w:val="single" w:color="auto" w:sz="12" w:space="0"/>
              <w:left w:val="nil"/>
              <w:bottom w:val="nil"/>
              <w:right w:val="nil"/>
            </w:tcBorders>
            <w:shd w:val="clear" w:color="auto" w:fill="auto"/>
            <w:noWrap/>
            <w:vAlign w:val="center"/>
          </w:tcPr>
          <w:p>
            <w:pPr>
              <w:jc w:val="center"/>
              <w:rPr>
                <w:rFonts w:hint="default" w:ascii="Arial" w:hAnsi="Arial" w:cs="Arial"/>
                <w:b/>
                <w:bCs/>
                <w:sz w:val="22"/>
                <w:szCs w:val="22"/>
                <w:lang w:val="en-US"/>
              </w:rPr>
            </w:pPr>
            <w:r>
              <w:rPr>
                <w:rFonts w:hint="default" w:ascii="Arial" w:hAnsi="Arial" w:cs="Arial"/>
                <w:b/>
                <w:bCs/>
                <w:sz w:val="22"/>
                <w:szCs w:val="22"/>
                <w:lang w:val="en-US" w:eastAsia="zh-CN"/>
              </w:rPr>
              <w:t>&gt;= 370 mg.months</w:t>
            </w:r>
          </w:p>
        </w:tc>
        <w:tc>
          <w:tcPr>
            <w:tcW w:w="1472" w:type="dxa"/>
            <w:tcBorders>
              <w:top w:val="single" w:color="auto" w:sz="12" w:space="0"/>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P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N</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cs="Arial" w:eastAsiaTheme="minorEastAsia"/>
                <w:sz w:val="22"/>
                <w:szCs w:val="22"/>
                <w:lang w:val="en-US" w:eastAsia="zh-CN"/>
              </w:rPr>
            </w:pPr>
            <w:r>
              <w:rPr>
                <w:rFonts w:hint="default" w:ascii="Arial" w:hAnsi="Arial" w:cs="Arial"/>
                <w:sz w:val="22"/>
                <w:szCs w:val="22"/>
                <w:lang w:val="en-US" w:eastAsia="zh-CN"/>
              </w:rPr>
              <w:t>120</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cs="Arial" w:eastAsiaTheme="minorEastAsia"/>
                <w:sz w:val="22"/>
                <w:szCs w:val="22"/>
                <w:lang w:val="en-US" w:eastAsia="zh-CN"/>
              </w:rPr>
            </w:pPr>
            <w:r>
              <w:rPr>
                <w:rFonts w:hint="default" w:ascii="Arial" w:hAnsi="Arial" w:cs="Arial"/>
                <w:sz w:val="22"/>
                <w:szCs w:val="22"/>
                <w:lang w:val="en-US" w:eastAsia="zh-CN"/>
              </w:rPr>
              <w:t>140</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cs="Arial"/>
                <w:sz w:val="22"/>
                <w:szCs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82"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cs="Arial"/>
                <w:sz w:val="22"/>
                <w:szCs w:val="22"/>
                <w:highlight w:val="none"/>
              </w:rPr>
              <w:t>Lumbar 1</w:t>
            </w:r>
          </w:p>
        </w:tc>
        <w:tc>
          <w:tcPr>
            <w:tcW w:w="2973" w:type="dxa"/>
            <w:tcBorders>
              <w:top w:val="single" w:color="auto" w:sz="12" w:space="0"/>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-0.52±1.42</w:t>
            </w:r>
          </w:p>
        </w:tc>
        <w:tc>
          <w:tcPr>
            <w:tcW w:w="2742" w:type="dxa"/>
            <w:tcBorders>
              <w:top w:val="single" w:color="auto" w:sz="12" w:space="0"/>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0.36±1.93</w:t>
            </w:r>
          </w:p>
        </w:tc>
        <w:tc>
          <w:tcPr>
            <w:tcW w:w="0" w:type="auto"/>
            <w:tcBorders>
              <w:top w:val="single" w:color="auto" w:sz="12" w:space="0"/>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2</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-0.44±1.35</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0.41±1.78</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3</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-0.34±1.41</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0.47±1.79</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4</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-0.28±1.50</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0.48±1.89</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eastAsia="宋体" w:cs="Arial"/>
                <w:color w:val="000000"/>
                <w:kern w:val="0"/>
                <w:sz w:val="22"/>
                <w:szCs w:val="22"/>
              </w:rPr>
              <w:t>Neck</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-0.69±0.81</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-0.46±1.00</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eastAsia="宋体" w:cs="Arial"/>
                <w:color w:val="000000"/>
                <w:kern w:val="0"/>
                <w:sz w:val="22"/>
                <w:szCs w:val="22"/>
              </w:rPr>
              <w:t>Wards</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-1.12±0.86</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-0.78±1.18</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2282"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rPr>
            </w:pPr>
            <w:r>
              <w:rPr>
                <w:rFonts w:hint="default" w:ascii="Arial" w:hAnsi="Arial" w:eastAsia="宋体" w:cs="Arial"/>
                <w:color w:val="000000"/>
                <w:kern w:val="0"/>
                <w:sz w:val="22"/>
                <w:szCs w:val="22"/>
              </w:rPr>
              <w:t>Total</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-0.14±0.83</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0.22±1.01</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MOF</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3.42±2.16</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2.69±1.26</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HF</w:t>
            </w:r>
          </w:p>
        </w:tc>
        <w:tc>
          <w:tcPr>
            <w:tcW w:w="2973"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1.23±1.77</w:t>
            </w:r>
          </w:p>
        </w:tc>
        <w:tc>
          <w:tcPr>
            <w:tcW w:w="274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cs="Arial"/>
                <w:sz w:val="22"/>
                <w:szCs w:val="22"/>
              </w:rPr>
            </w:pPr>
            <w:r>
              <w:rPr>
                <w:rFonts w:hint="default" w:ascii="Arial" w:hAnsi="Arial" w:eastAsia="DejaVu Sans" w:cs="Arial"/>
                <w:i w:val="0"/>
                <w:iCs w:val="0"/>
                <w:caps w:val="0"/>
                <w:color w:val="000000"/>
                <w:spacing w:val="0"/>
                <w:kern w:val="0"/>
                <w:sz w:val="22"/>
                <w:szCs w:val="22"/>
                <w:lang w:val="en-US" w:eastAsia="zh-CN" w:bidi="ar"/>
              </w:rPr>
              <w:t>0.75±0.81</w:t>
            </w:r>
          </w:p>
        </w:tc>
        <w:tc>
          <w:tcPr>
            <w:tcW w:w="0" w:type="auto"/>
            <w:tcBorders>
              <w:top w:val="nil"/>
              <w:left w:val="nil"/>
              <w:bottom w:val="nil"/>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jc w:val="center"/>
        </w:trPr>
        <w:tc>
          <w:tcPr>
            <w:tcW w:w="0" w:type="auto"/>
            <w:tcBorders>
              <w:top w:val="nil"/>
              <w:left w:val="nil"/>
              <w:bottom w:val="single" w:color="auto" w:sz="12" w:space="0"/>
              <w:right w:val="nil"/>
            </w:tcBorders>
            <w:shd w:val="clear" w:color="auto" w:fill="auto"/>
            <w:noWrap/>
            <w:vAlign w:val="center"/>
          </w:tcPr>
          <w:p>
            <w:pPr>
              <w:jc w:val="both"/>
              <w:rPr>
                <w:rFonts w:hint="default" w:ascii="Arial" w:hAnsi="Arial" w:cs="Arial" w:eastAsiaTheme="minorEastAsia"/>
                <w:sz w:val="22"/>
                <w:szCs w:val="22"/>
                <w:lang w:val="en-US" w:eastAsia="zh-CN"/>
              </w:rPr>
            </w:pPr>
            <w:r>
              <w:rPr>
                <w:rFonts w:hint="default" w:ascii="Arial" w:hAnsi="Arial" w:eastAsia="宋体" w:cs="Arial"/>
                <w:i w:val="0"/>
                <w:iCs w:val="0"/>
                <w:color w:val="000000"/>
                <w:sz w:val="22"/>
                <w:szCs w:val="22"/>
                <w:u w:val="none"/>
                <w:lang w:val="en-US" w:eastAsia="zh-CN"/>
              </w:rPr>
              <w:t>D</w:t>
            </w:r>
            <w:r>
              <w:rPr>
                <w:rFonts w:hint="default" w:ascii="Arial" w:hAnsi="Arial" w:eastAsia="宋体" w:cs="Arial"/>
                <w:i w:val="0"/>
                <w:iCs w:val="0"/>
                <w:color w:val="000000"/>
                <w:sz w:val="22"/>
                <w:szCs w:val="22"/>
                <w:u w:val="none"/>
              </w:rPr>
              <w:t>ecreased bone mass</w:t>
            </w:r>
          </w:p>
        </w:tc>
        <w:tc>
          <w:tcPr>
            <w:tcW w:w="2973" w:type="dxa"/>
            <w:tcBorders>
              <w:top w:val="nil"/>
              <w:left w:val="nil"/>
              <w:bottom w:val="single" w:color="auto" w:sz="12" w:space="0"/>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78 (65.00%)</w:t>
            </w:r>
          </w:p>
        </w:tc>
        <w:tc>
          <w:tcPr>
            <w:tcW w:w="2742" w:type="dxa"/>
            <w:tcBorders>
              <w:top w:val="nil"/>
              <w:left w:val="nil"/>
              <w:bottom w:val="single" w:color="auto" w:sz="12" w:space="0"/>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66 (47.14%)</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cs="Arial"/>
                <w:sz w:val="22"/>
                <w:szCs w:val="22"/>
              </w:rPr>
            </w:pPr>
            <w:r>
              <w:rPr>
                <w:rFonts w:hint="default" w:ascii="Arial" w:hAnsi="Arial" w:cs="Arial"/>
                <w:sz w:val="22"/>
                <w:szCs w:val="22"/>
                <w:lang w:val="en-US" w:eastAsia="zh-CN"/>
              </w:rPr>
              <w:t>&lt;0.001</w:t>
            </w:r>
          </w:p>
        </w:tc>
      </w:tr>
    </w:tbl>
    <w:p>
      <w:pPr>
        <w:jc w:val="center"/>
        <w:rPr>
          <w:rFonts w:hint="default" w:ascii="Arial" w:hAnsi="Arial" w:cs="Arial"/>
          <w:sz w:val="22"/>
          <w:szCs w:val="22"/>
        </w:rPr>
      </w:pPr>
    </w:p>
    <w:p>
      <w:pPr>
        <w:rPr>
          <w:rFonts w:hint="default" w:ascii="Arial" w:hAnsi="Arial" w:cs="Arial"/>
          <w:sz w:val="22"/>
          <w:szCs w:val="22"/>
        </w:rPr>
      </w:pPr>
      <w:r>
        <w:rPr>
          <w:rFonts w:hint="default" w:ascii="Arial" w:hAnsi="Arial" w:cs="Arial"/>
          <w:sz w:val="22"/>
          <w:szCs w:val="22"/>
        </w:rPr>
        <w:t>Data are presented as mean ± standard deviation</w:t>
      </w:r>
      <w:r>
        <w:rPr>
          <w:rFonts w:hint="default" w:ascii="Arial" w:hAnsi="Arial" w:cs="Arial"/>
          <w:sz w:val="22"/>
          <w:szCs w:val="22"/>
          <w:lang w:val="en-US" w:eastAsia="zh-CN"/>
        </w:rPr>
        <w:t xml:space="preserve">, </w:t>
      </w:r>
      <w:r>
        <w:rPr>
          <w:rFonts w:hint="default" w:ascii="Arial" w:hAnsi="Arial" w:cs="Arial"/>
          <w:sz w:val="22"/>
          <w:szCs w:val="22"/>
        </w:rPr>
        <w:t>or as numbers, and percentages.</w:t>
      </w:r>
    </w:p>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Abbreviations: RCS, restricted cubic splines; Neck, neck of the femur; Wards, Ward's triangle; Total, total femur; MOF, major osteoporotic fracture; HF, hip fracture.</w:t>
      </w:r>
    </w:p>
    <w:p>
      <w:pPr>
        <w:rPr>
          <w:rFonts w:hint="default" w:ascii="Arial" w:hAnsi="Arial" w:cs="Arial"/>
          <w:sz w:val="22"/>
          <w:szCs w:val="22"/>
        </w:rPr>
      </w:pPr>
    </w:p>
    <w:p/>
    <w:p/>
    <w:p/>
    <w:p/>
    <w:p/>
    <w:p/>
    <w:p/>
    <w:p/>
    <w:p/>
    <w:p/>
    <w:p/>
    <w:p/>
    <w:p/>
    <w:p/>
    <w:p/>
    <w:p/>
    <w:p/>
    <w:p/>
    <w:p/>
    <w:p>
      <w:pPr>
        <w:rPr>
          <w:rFonts w:hint="default" w:ascii="Arial" w:hAnsi="Arial" w:cs="Arial"/>
          <w:sz w:val="22"/>
          <w:szCs w:val="22"/>
          <w:lang w:val="en-US" w:eastAsia="zh-CN"/>
        </w:rPr>
      </w:pPr>
      <w:r>
        <w:rPr>
          <w:rFonts w:hint="default" w:ascii="Arial" w:hAnsi="Arial" w:cs="Arial"/>
          <w:b/>
          <w:bCs/>
          <w:sz w:val="22"/>
          <w:szCs w:val="22"/>
          <w:lang w:val="en-US" w:eastAsia="zh-CN"/>
        </w:rPr>
        <w:t>Table S7.</w:t>
      </w:r>
      <w:r>
        <w:rPr>
          <w:rFonts w:hint="default" w:ascii="Arial" w:hAnsi="Arial" w:cs="Arial"/>
          <w:sz w:val="22"/>
          <w:szCs w:val="22"/>
          <w:lang w:val="en-US" w:eastAsia="zh-CN"/>
        </w:rPr>
        <w:t xml:space="preserve"> The impact of cumulative dose before and after the RCS </w:t>
      </w:r>
      <w:r>
        <w:rPr>
          <w:rFonts w:hint="default" w:ascii="Arial" w:hAnsi="Arial" w:cs="Arial"/>
          <w:b w:val="0"/>
          <w:bCs w:val="0"/>
          <w:sz w:val="22"/>
          <w:szCs w:val="22"/>
        </w:rPr>
        <w:t>turning</w:t>
      </w:r>
      <w:r>
        <w:rPr>
          <w:rFonts w:hint="default" w:ascii="Arial" w:hAnsi="Arial" w:cs="Arial"/>
          <w:sz w:val="22"/>
          <w:szCs w:val="22"/>
          <w:lang w:val="en-US" w:eastAsia="zh-CN"/>
        </w:rPr>
        <w:t xml:space="preserve"> point on decreased bone mass</w:t>
      </w:r>
    </w:p>
    <w:p>
      <w:pPr>
        <w:rPr>
          <w:rFonts w:hint="default" w:ascii="Arial" w:hAnsi="Arial" w:cs="Arial"/>
          <w:sz w:val="22"/>
          <w:szCs w:val="22"/>
          <w:lang w:val="en-US" w:eastAsia="zh-CN"/>
        </w:rPr>
      </w:pPr>
    </w:p>
    <w:tbl>
      <w:tblPr>
        <w:tblStyle w:val="4"/>
        <w:tblW w:w="11658" w:type="dxa"/>
        <w:jc w:val="center"/>
        <w:tblLayout w:type="fixed"/>
        <w:tblCellMar>
          <w:top w:w="0" w:type="dxa"/>
          <w:left w:w="108" w:type="dxa"/>
          <w:bottom w:w="0" w:type="dxa"/>
          <w:right w:w="108" w:type="dxa"/>
        </w:tblCellMar>
      </w:tblPr>
      <w:tblGrid>
        <w:gridCol w:w="3886"/>
        <w:gridCol w:w="3886"/>
        <w:gridCol w:w="3886"/>
      </w:tblGrid>
      <w:tr>
        <w:tblPrEx>
          <w:tblCellMar>
            <w:top w:w="0" w:type="dxa"/>
            <w:left w:w="108" w:type="dxa"/>
            <w:bottom w:w="0" w:type="dxa"/>
            <w:right w:w="108" w:type="dxa"/>
          </w:tblCellMar>
        </w:tblPrEx>
        <w:trPr>
          <w:trHeight w:val="666" w:hRule="atLeast"/>
          <w:jc w:val="center"/>
        </w:trPr>
        <w:tc>
          <w:tcPr>
            <w:tcW w:w="3886" w:type="dxa"/>
            <w:tcBorders>
              <w:top w:val="single" w:color="auto" w:sz="12" w:space="0"/>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b/>
                <w:bCs/>
                <w:color w:val="000000"/>
                <w:kern w:val="0"/>
                <w:sz w:val="22"/>
                <w:szCs w:val="22"/>
                <w:lang w:val="en-US" w:eastAsia="zh-CN"/>
              </w:rPr>
              <w:t>D</w:t>
            </w:r>
            <w:r>
              <w:rPr>
                <w:rFonts w:hint="default" w:ascii="Arial" w:hAnsi="Arial" w:eastAsia="宋体" w:cs="Arial"/>
                <w:b/>
                <w:bCs/>
                <w:color w:val="000000"/>
                <w:kern w:val="0"/>
                <w:sz w:val="22"/>
                <w:szCs w:val="22"/>
              </w:rPr>
              <w:t>ecreased bone mass</w:t>
            </w:r>
          </w:p>
        </w:tc>
        <w:tc>
          <w:tcPr>
            <w:tcW w:w="3886" w:type="dxa"/>
            <w:tcBorders>
              <w:top w:val="single" w:color="auto" w:sz="12" w:space="0"/>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eastAsia="宋体" w:cs="Arial"/>
                <w:color w:val="000000"/>
                <w:kern w:val="0"/>
                <w:sz w:val="22"/>
                <w:szCs w:val="22"/>
                <w:lang w:val="en-US" w:eastAsia="zh-CN"/>
              </w:rPr>
              <w:t>OR (95% CI)</w:t>
            </w:r>
          </w:p>
        </w:tc>
        <w:tc>
          <w:tcPr>
            <w:tcW w:w="3886" w:type="dxa"/>
            <w:tcBorders>
              <w:top w:val="single" w:color="auto" w:sz="12" w:space="0"/>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eastAsia="宋体" w:cs="Arial"/>
                <w:color w:val="000000"/>
                <w:kern w:val="0"/>
                <w:sz w:val="22"/>
                <w:szCs w:val="22"/>
                <w:lang w:val="en-US" w:eastAsia="zh-CN"/>
              </w:rPr>
              <w:t>P value</w:t>
            </w:r>
          </w:p>
        </w:tc>
      </w:tr>
      <w:tr>
        <w:tblPrEx>
          <w:tblCellMar>
            <w:top w:w="0" w:type="dxa"/>
            <w:left w:w="108" w:type="dxa"/>
            <w:bottom w:w="0" w:type="dxa"/>
            <w:right w:w="108" w:type="dxa"/>
          </w:tblCellMar>
        </w:tblPrEx>
        <w:trPr>
          <w:trHeight w:val="692" w:hRule="atLeast"/>
          <w:jc w:val="center"/>
        </w:trPr>
        <w:tc>
          <w:tcPr>
            <w:tcW w:w="3886"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rPr>
            </w:pPr>
            <w:r>
              <w:rPr>
                <w:rFonts w:hint="default" w:ascii="Arial" w:hAnsi="Arial" w:cs="Arial"/>
                <w:b w:val="0"/>
                <w:bCs w:val="0"/>
                <w:sz w:val="22"/>
                <w:szCs w:val="22"/>
                <w:lang w:val="en-US" w:eastAsia="zh-CN"/>
              </w:rPr>
              <w:t>T</w:t>
            </w:r>
            <w:r>
              <w:rPr>
                <w:rFonts w:hint="default" w:ascii="Arial" w:hAnsi="Arial" w:cs="Arial"/>
                <w:b w:val="0"/>
                <w:bCs w:val="0"/>
                <w:sz w:val="22"/>
                <w:szCs w:val="22"/>
              </w:rPr>
              <w:t>urning point</w:t>
            </w:r>
            <w:r>
              <w:rPr>
                <w:rFonts w:hint="default" w:ascii="Arial" w:hAnsi="Arial" w:cs="Arial"/>
                <w:sz w:val="22"/>
                <w:szCs w:val="22"/>
              </w:rPr>
              <w:t xml:space="preserve"> </w:t>
            </w:r>
            <w:r>
              <w:rPr>
                <w:rFonts w:hint="default" w:ascii="Arial" w:hAnsi="Arial" w:eastAsia="宋体" w:cs="Arial"/>
                <w:color w:val="000000"/>
                <w:kern w:val="0"/>
                <w:sz w:val="22"/>
                <w:szCs w:val="22"/>
              </w:rPr>
              <w:t>(</w:t>
            </w:r>
            <w:r>
              <w:rPr>
                <w:rFonts w:hint="default" w:ascii="Arial" w:hAnsi="Arial" w:eastAsia="宋体" w:cs="Arial"/>
                <w:color w:val="000000"/>
                <w:kern w:val="0"/>
                <w:sz w:val="22"/>
                <w:szCs w:val="22"/>
                <w:lang w:val="en-US" w:eastAsia="zh-CN"/>
              </w:rPr>
              <w:t>mg.months</w:t>
            </w:r>
            <w:r>
              <w:rPr>
                <w:rFonts w:hint="default" w:ascii="Arial" w:hAnsi="Arial" w:eastAsia="宋体" w:cs="Arial"/>
                <w:color w:val="000000"/>
                <w:kern w:val="0"/>
                <w:sz w:val="22"/>
                <w:szCs w:val="22"/>
              </w:rPr>
              <w:t>)</w:t>
            </w:r>
          </w:p>
        </w:tc>
        <w:tc>
          <w:tcPr>
            <w:tcW w:w="3886"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r>
              <w:rPr>
                <w:rFonts w:hint="default" w:ascii="Arial" w:hAnsi="Arial" w:eastAsia="宋体" w:cs="Arial"/>
                <w:color w:val="000000"/>
                <w:kern w:val="0"/>
                <w:sz w:val="22"/>
                <w:szCs w:val="22"/>
                <w:lang w:val="en-US" w:eastAsia="zh-CN"/>
              </w:rPr>
              <w:t>370</w:t>
            </w:r>
          </w:p>
        </w:tc>
        <w:tc>
          <w:tcPr>
            <w:tcW w:w="3886"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right="0"/>
              <w:jc w:val="center"/>
              <w:rPr>
                <w:rFonts w:hint="default" w:ascii="Arial" w:hAnsi="Arial" w:eastAsia="宋体" w:cs="Arial"/>
                <w:color w:val="000000"/>
                <w:kern w:val="0"/>
                <w:sz w:val="22"/>
                <w:szCs w:val="22"/>
                <w:lang w:val="en-US" w:eastAsia="zh-CN"/>
              </w:rPr>
            </w:pPr>
          </w:p>
        </w:tc>
      </w:tr>
      <w:tr>
        <w:tblPrEx>
          <w:tblCellMar>
            <w:top w:w="0" w:type="dxa"/>
            <w:left w:w="108" w:type="dxa"/>
            <w:bottom w:w="0" w:type="dxa"/>
            <w:right w:w="108" w:type="dxa"/>
          </w:tblCellMar>
        </w:tblPrEx>
        <w:trPr>
          <w:trHeight w:val="632" w:hRule="atLeast"/>
          <w:jc w:val="center"/>
        </w:trPr>
        <w:tc>
          <w:tcPr>
            <w:tcW w:w="3886" w:type="dxa"/>
            <w:tcBorders>
              <w:top w:val="nil"/>
              <w:left w:val="nil"/>
              <w:bottom w:val="nil"/>
              <w:right w:val="nil"/>
            </w:tcBorders>
            <w:shd w:val="clear" w:color="auto" w:fill="auto"/>
            <w:noWrap/>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sz w:val="22"/>
                <w:szCs w:val="22"/>
                <w:lang w:val="en-US" w:eastAsia="zh-CN"/>
              </w:rPr>
            </w:pPr>
            <w:r>
              <w:rPr>
                <w:rFonts w:hint="default" w:ascii="Arial" w:hAnsi="Arial" w:cs="Arial"/>
                <w:sz w:val="22"/>
                <w:szCs w:val="22"/>
                <w:lang w:val="en-US" w:eastAsia="zh-CN"/>
              </w:rPr>
              <w:t xml:space="preserve">Cumulative dose &lt; 370 </w:t>
            </w:r>
            <w:r>
              <w:rPr>
                <w:rFonts w:hint="default" w:ascii="Arial" w:hAnsi="Arial" w:eastAsia="宋体" w:cs="Arial"/>
                <w:color w:val="000000"/>
                <w:kern w:val="0"/>
                <w:sz w:val="22"/>
                <w:szCs w:val="22"/>
                <w:lang w:val="en-US" w:eastAsia="zh-CN"/>
              </w:rPr>
              <w:t>mg.months</w:t>
            </w:r>
          </w:p>
        </w:tc>
        <w:tc>
          <w:tcPr>
            <w:tcW w:w="3886"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c>
          <w:tcPr>
            <w:tcW w:w="3886"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p>
        </w:tc>
      </w:tr>
      <w:tr>
        <w:tblPrEx>
          <w:tblCellMar>
            <w:top w:w="0" w:type="dxa"/>
            <w:left w:w="108" w:type="dxa"/>
            <w:bottom w:w="0" w:type="dxa"/>
            <w:right w:w="108" w:type="dxa"/>
          </w:tblCellMar>
        </w:tblPrEx>
        <w:trPr>
          <w:trHeight w:val="632" w:hRule="atLeast"/>
          <w:jc w:val="center"/>
        </w:trPr>
        <w:tc>
          <w:tcPr>
            <w:tcW w:w="3886" w:type="dxa"/>
            <w:tcBorders>
              <w:top w:val="nil"/>
              <w:left w:val="nil"/>
              <w:bottom w:val="single" w:color="auto" w:sz="12" w:space="0"/>
              <w:right w:val="nil"/>
            </w:tcBorders>
            <w:shd w:val="clear" w:color="auto" w:fill="auto"/>
            <w:noWrap/>
            <w:vAlign w:val="top"/>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cs="Arial" w:eastAsiaTheme="minorEastAsia"/>
                <w:sz w:val="22"/>
                <w:szCs w:val="22"/>
                <w:lang w:val="en-US" w:eastAsia="zh-CN"/>
              </w:rPr>
            </w:pPr>
            <w:r>
              <w:rPr>
                <w:rFonts w:hint="default" w:ascii="Arial" w:hAnsi="Arial" w:cs="Arial"/>
                <w:sz w:val="22"/>
                <w:szCs w:val="22"/>
                <w:lang w:val="en-US" w:eastAsia="zh-CN"/>
              </w:rPr>
              <w:t xml:space="preserve">Cumulative dose &gt; = 370 </w:t>
            </w:r>
            <w:r>
              <w:rPr>
                <w:rFonts w:hint="default" w:ascii="Arial" w:hAnsi="Arial" w:eastAsia="宋体" w:cs="Arial"/>
                <w:color w:val="000000"/>
                <w:kern w:val="0"/>
                <w:sz w:val="22"/>
                <w:szCs w:val="22"/>
                <w:lang w:val="en-US" w:eastAsia="zh-CN"/>
              </w:rPr>
              <w:t>mg.months</w:t>
            </w:r>
          </w:p>
        </w:tc>
        <w:tc>
          <w:tcPr>
            <w:tcW w:w="3886"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color w:val="000000"/>
                <w:kern w:val="0"/>
                <w:sz w:val="22"/>
                <w:szCs w:val="22"/>
                <w:lang w:val="en-US" w:eastAsia="zh-CN"/>
              </w:rPr>
            </w:pPr>
            <w:r>
              <w:rPr>
                <w:rFonts w:hint="default" w:ascii="Arial" w:hAnsi="Arial" w:eastAsia="宋体" w:cs="Arial"/>
                <w:color w:val="000000"/>
                <w:kern w:val="0"/>
                <w:sz w:val="22"/>
                <w:szCs w:val="22"/>
                <w:lang w:val="en-US" w:eastAsia="zh-CN"/>
              </w:rPr>
              <w:t>0.597</w:t>
            </w:r>
            <w:r>
              <w:rPr>
                <w:rFonts w:hint="default" w:ascii="Arial" w:hAnsi="Arial" w:eastAsia="宋体" w:cs="Arial"/>
                <w:color w:val="000000"/>
                <w:kern w:val="0"/>
                <w:sz w:val="22"/>
                <w:szCs w:val="22"/>
              </w:rPr>
              <w:t xml:space="preserve"> (</w:t>
            </w:r>
            <w:r>
              <w:rPr>
                <w:rFonts w:hint="default" w:ascii="Arial" w:hAnsi="Arial" w:eastAsia="宋体" w:cs="Arial"/>
                <w:color w:val="000000"/>
                <w:kern w:val="0"/>
                <w:sz w:val="22"/>
                <w:szCs w:val="22"/>
                <w:lang w:val="en-US" w:eastAsia="zh-CN"/>
              </w:rPr>
              <w:t>0.418</w:t>
            </w:r>
            <w:r>
              <w:rPr>
                <w:rFonts w:hint="default" w:ascii="Arial" w:hAnsi="Arial" w:eastAsia="宋体" w:cs="Arial"/>
                <w:color w:val="000000"/>
                <w:kern w:val="0"/>
                <w:sz w:val="22"/>
                <w:szCs w:val="22"/>
              </w:rPr>
              <w:t xml:space="preserve">, </w:t>
            </w:r>
            <w:r>
              <w:rPr>
                <w:rFonts w:hint="default" w:ascii="Arial" w:hAnsi="Arial" w:eastAsia="宋体" w:cs="Arial"/>
                <w:color w:val="000000"/>
                <w:kern w:val="0"/>
                <w:sz w:val="22"/>
                <w:szCs w:val="22"/>
                <w:lang w:val="en-US" w:eastAsia="zh-CN"/>
              </w:rPr>
              <w:t>0.851</w:t>
            </w:r>
            <w:r>
              <w:rPr>
                <w:rFonts w:hint="default" w:ascii="Arial" w:hAnsi="Arial" w:eastAsia="宋体" w:cs="Arial"/>
                <w:color w:val="000000"/>
                <w:kern w:val="0"/>
                <w:sz w:val="22"/>
                <w:szCs w:val="22"/>
              </w:rPr>
              <w:t xml:space="preserve">) </w:t>
            </w:r>
          </w:p>
        </w:tc>
        <w:tc>
          <w:tcPr>
            <w:tcW w:w="3886" w:type="dxa"/>
            <w:tcBorders>
              <w:top w:val="nil"/>
              <w:left w:val="nil"/>
              <w:bottom w:val="single" w:color="auto" w:sz="12" w:space="0"/>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color w:val="000000"/>
                <w:kern w:val="0"/>
                <w:sz w:val="22"/>
                <w:szCs w:val="22"/>
                <w:lang w:val="en-US" w:eastAsia="zh-CN"/>
              </w:rPr>
            </w:pPr>
            <w:r>
              <w:rPr>
                <w:rFonts w:hint="default" w:ascii="Arial" w:hAnsi="Arial" w:eastAsia="宋体" w:cs="Arial"/>
                <w:color w:val="000000"/>
                <w:kern w:val="0"/>
                <w:sz w:val="22"/>
                <w:szCs w:val="22"/>
                <w:lang w:val="en-US" w:eastAsia="zh-CN"/>
              </w:rPr>
              <w:t>0.004</w:t>
            </w:r>
          </w:p>
        </w:tc>
      </w:tr>
    </w:tbl>
    <w:p>
      <w:pPr>
        <w:rPr>
          <w:rFonts w:hint="default" w:ascii="Arial" w:hAnsi="Arial" w:cs="Arial"/>
          <w:sz w:val="22"/>
          <w:szCs w:val="22"/>
        </w:rPr>
      </w:pPr>
    </w:p>
    <w:p>
      <w:pPr>
        <w:rPr>
          <w:rFonts w:hint="default" w:ascii="Arial" w:hAnsi="Arial" w:cs="Arial"/>
          <w:sz w:val="22"/>
          <w:szCs w:val="22"/>
          <w:lang w:val="en-US" w:eastAsia="zh-CN"/>
        </w:rPr>
      </w:pPr>
      <w:r>
        <w:rPr>
          <w:rFonts w:hint="default" w:ascii="Arial" w:hAnsi="Arial" w:cs="Arial"/>
          <w:sz w:val="22"/>
          <w:szCs w:val="22"/>
          <w:lang w:val="en-US" w:eastAsia="zh-CN"/>
        </w:rPr>
        <w:t>Age, sex, BMI, smoking status, serum potassium, PTH, serum calcium, serum phosphorus, ALP, and the use probability of spironolactone were adjusted.</w:t>
      </w:r>
    </w:p>
    <w:p>
      <w:pPr>
        <w:rPr>
          <w:rFonts w:hint="default" w:ascii="Arial" w:hAnsi="Arial" w:cs="Arial"/>
          <w:sz w:val="22"/>
          <w:szCs w:val="22"/>
          <w:lang w:val="en-US" w:eastAsia="zh-CN"/>
        </w:rPr>
      </w:pPr>
      <w:r>
        <w:rPr>
          <w:rFonts w:hint="default" w:ascii="Arial" w:hAnsi="Arial" w:cs="Arial"/>
          <w:sz w:val="22"/>
          <w:szCs w:val="22"/>
          <w:lang w:val="en-US" w:eastAsia="zh-CN"/>
        </w:rPr>
        <w:t>Abbreviations: RCS, restricted cubic splines;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sz w:val="22"/>
          <w:szCs w:val="22"/>
          <w:lang w:val="en-US"/>
        </w:rPr>
      </w:pPr>
    </w:p>
    <w:p/>
    <w:p/>
    <w:p/>
    <w:p/>
    <w:p/>
    <w:p/>
    <w:p/>
    <w:p/>
    <w:p/>
    <w:p/>
    <w:p/>
    <w:p/>
    <w:p/>
    <w:p/>
    <w:p/>
    <w:p/>
    <w:p/>
    <w:p/>
    <w:p/>
    <w:p/>
    <w:p/>
    <w:p/>
    <w:p/>
    <w:p/>
    <w:p/>
    <w:p/>
    <w:p/>
    <w:p>
      <w:pPr>
        <w:rPr>
          <w:rFonts w:hint="default" w:ascii="Arial" w:hAnsi="Arial" w:cs="Arial"/>
          <w:sz w:val="22"/>
          <w:szCs w:val="22"/>
          <w:lang w:val="en-US" w:eastAsia="zh-CN"/>
        </w:rPr>
      </w:pPr>
      <w:r>
        <w:rPr>
          <w:rFonts w:hint="default" w:ascii="Arial" w:hAnsi="Arial" w:cs="Arial"/>
          <w:b/>
          <w:bCs/>
          <w:sz w:val="22"/>
          <w:szCs w:val="22"/>
          <w:lang w:val="en-US" w:eastAsia="zh-CN"/>
        </w:rPr>
        <w:t>Table S8.</w:t>
      </w:r>
      <w:r>
        <w:rPr>
          <w:rFonts w:hint="default" w:ascii="Arial" w:hAnsi="Arial" w:cs="Arial"/>
          <w:sz w:val="22"/>
          <w:szCs w:val="22"/>
          <w:lang w:val="en-US" w:eastAsia="zh-CN"/>
        </w:rPr>
        <w:t xml:space="preserve"> Bone mass characteristics stratified according to the </w:t>
      </w:r>
      <w:r>
        <w:rPr>
          <w:rFonts w:hint="default" w:ascii="Arial" w:hAnsi="Arial" w:cs="Arial"/>
          <w:b w:val="0"/>
          <w:bCs w:val="0"/>
          <w:sz w:val="22"/>
          <w:szCs w:val="22"/>
        </w:rPr>
        <w:t>turning</w:t>
      </w:r>
      <w:r>
        <w:rPr>
          <w:rFonts w:hint="default" w:ascii="Arial" w:hAnsi="Arial" w:cs="Arial"/>
          <w:sz w:val="22"/>
          <w:szCs w:val="22"/>
          <w:lang w:val="en-US" w:eastAsia="zh-CN"/>
        </w:rPr>
        <w:t xml:space="preserve"> point of RCS osteoporosis</w:t>
      </w:r>
    </w:p>
    <w:p>
      <w:pPr>
        <w:rPr>
          <w:rFonts w:hint="default" w:ascii="Arial" w:hAnsi="Arial" w:cs="Arial"/>
          <w:sz w:val="22"/>
          <w:szCs w:val="22"/>
          <w:lang w:val="en-US" w:eastAsia="zh-CN"/>
        </w:rPr>
      </w:pPr>
    </w:p>
    <w:tbl>
      <w:tblPr>
        <w:tblStyle w:val="4"/>
        <w:tblW w:w="830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77"/>
        <w:gridCol w:w="2616"/>
        <w:gridCol w:w="2412"/>
        <w:gridCol w:w="12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Characteristic</w:t>
            </w:r>
          </w:p>
        </w:tc>
        <w:tc>
          <w:tcPr>
            <w:tcW w:w="2616" w:type="dxa"/>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22"/>
                <w:szCs w:val="22"/>
                <w:u w:val="none"/>
                <w:lang w:val="en-US"/>
              </w:rPr>
            </w:pPr>
            <w:r>
              <w:rPr>
                <w:rFonts w:hint="default" w:ascii="Arial" w:hAnsi="Arial" w:eastAsia="宋体" w:cs="Arial"/>
                <w:b/>
                <w:bCs/>
                <w:i w:val="0"/>
                <w:iCs w:val="0"/>
                <w:color w:val="000000"/>
                <w:kern w:val="0"/>
                <w:sz w:val="22"/>
                <w:szCs w:val="22"/>
                <w:u w:val="none"/>
                <w:lang w:val="en-US" w:eastAsia="zh-CN" w:bidi="ar"/>
              </w:rPr>
              <w:t xml:space="preserve">&lt; 400 </w:t>
            </w:r>
            <w:r>
              <w:rPr>
                <w:rFonts w:hint="default" w:ascii="Arial" w:hAnsi="Arial" w:eastAsia="宋体" w:cs="Arial"/>
                <w:b/>
                <w:bCs/>
                <w:color w:val="000000"/>
                <w:kern w:val="0"/>
                <w:sz w:val="22"/>
                <w:szCs w:val="22"/>
                <w:lang w:val="en-US" w:eastAsia="zh-CN"/>
              </w:rPr>
              <w:t>mg.months</w:t>
            </w:r>
          </w:p>
        </w:tc>
        <w:tc>
          <w:tcPr>
            <w:tcW w:w="2412" w:type="dxa"/>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b/>
                <w:bCs/>
                <w:i w:val="0"/>
                <w:iCs w:val="0"/>
                <w:color w:val="000000"/>
                <w:sz w:val="22"/>
                <w:szCs w:val="22"/>
                <w:u w:val="none"/>
                <w:lang w:val="en-US"/>
              </w:rPr>
            </w:pPr>
            <w:r>
              <w:rPr>
                <w:rFonts w:hint="default" w:ascii="Arial" w:hAnsi="Arial" w:eastAsia="宋体" w:cs="Arial"/>
                <w:b/>
                <w:bCs/>
                <w:i w:val="0"/>
                <w:iCs w:val="0"/>
                <w:color w:val="000000"/>
                <w:kern w:val="0"/>
                <w:sz w:val="22"/>
                <w:szCs w:val="22"/>
                <w:u w:val="none"/>
                <w:lang w:val="en-US" w:eastAsia="zh-CN" w:bidi="ar"/>
              </w:rPr>
              <w:t xml:space="preserve">&gt;= 400 </w:t>
            </w:r>
            <w:r>
              <w:rPr>
                <w:rFonts w:hint="default" w:ascii="Arial" w:hAnsi="Arial" w:eastAsia="宋体" w:cs="Arial"/>
                <w:b/>
                <w:bCs/>
                <w:color w:val="000000"/>
                <w:kern w:val="0"/>
                <w:sz w:val="22"/>
                <w:szCs w:val="22"/>
                <w:lang w:val="en-US" w:eastAsia="zh-CN"/>
              </w:rPr>
              <w:t>mg.months</w:t>
            </w:r>
          </w:p>
        </w:tc>
        <w:tc>
          <w:tcPr>
            <w:tcW w:w="1296" w:type="dxa"/>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P value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N</w:t>
            </w:r>
          </w:p>
        </w:tc>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eastAsia="zh-CN"/>
              </w:rPr>
            </w:pPr>
            <w:r>
              <w:rPr>
                <w:rFonts w:hint="default" w:ascii="Arial" w:hAnsi="Arial" w:eastAsia="宋体" w:cs="Arial"/>
                <w:i w:val="0"/>
                <w:iCs w:val="0"/>
                <w:color w:val="000000"/>
                <w:sz w:val="22"/>
                <w:szCs w:val="22"/>
                <w:u w:val="none"/>
                <w:lang w:val="en-US" w:eastAsia="zh-CN"/>
              </w:rPr>
              <w:t>130</w:t>
            </w:r>
          </w:p>
        </w:tc>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lang w:val="en-US" w:eastAsia="zh-CN"/>
              </w:rPr>
            </w:pPr>
            <w:r>
              <w:rPr>
                <w:rFonts w:hint="default" w:ascii="Arial" w:hAnsi="Arial" w:eastAsia="宋体" w:cs="Arial"/>
                <w:i w:val="0"/>
                <w:iCs w:val="0"/>
                <w:color w:val="000000"/>
                <w:sz w:val="22"/>
                <w:szCs w:val="22"/>
                <w:u w:val="none"/>
                <w:lang w:val="en-US" w:eastAsia="zh-CN"/>
              </w:rPr>
              <w:t>130</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eastAsia="宋体" w:cs="Arial"/>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single" w:color="auto" w:sz="12" w:space="0"/>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cs="Arial"/>
                <w:sz w:val="22"/>
                <w:szCs w:val="22"/>
                <w:highlight w:val="none"/>
              </w:rPr>
              <w:t>Lumbar 1</w:t>
            </w:r>
          </w:p>
        </w:tc>
        <w:tc>
          <w:tcPr>
            <w:tcW w:w="2616" w:type="dxa"/>
            <w:tcBorders>
              <w:top w:val="single" w:color="auto" w:sz="12" w:space="0"/>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-0.57±1.42</w:t>
            </w:r>
          </w:p>
        </w:tc>
        <w:tc>
          <w:tcPr>
            <w:tcW w:w="2412" w:type="dxa"/>
            <w:tcBorders>
              <w:top w:val="single" w:color="auto" w:sz="12" w:space="0"/>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0.47±1.92</w:t>
            </w:r>
          </w:p>
        </w:tc>
        <w:tc>
          <w:tcPr>
            <w:tcW w:w="0" w:type="auto"/>
            <w:tcBorders>
              <w:top w:val="single" w:color="auto" w:sz="12" w:space="0"/>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2</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-0.48±1.36</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0.51±1.76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3</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-0.38±1.40</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0.57±1.78</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cs="Arial"/>
                <w:sz w:val="22"/>
                <w:szCs w:val="22"/>
                <w:highlight w:val="none"/>
              </w:rPr>
              <w:t xml:space="preserve">Lumbar </w:t>
            </w:r>
            <w:r>
              <w:rPr>
                <w:rFonts w:hint="default" w:ascii="Arial" w:hAnsi="Arial" w:cs="Arial"/>
                <w:sz w:val="22"/>
                <w:szCs w:val="22"/>
                <w:highlight w:val="none"/>
                <w:lang w:val="en-US" w:eastAsia="zh-CN"/>
              </w:rPr>
              <w:t>4</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-0.31±1.51</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0.56±1.89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eastAsia="宋体" w:cs="Arial"/>
                <w:color w:val="000000"/>
                <w:kern w:val="0"/>
                <w:sz w:val="22"/>
                <w:szCs w:val="22"/>
              </w:rPr>
              <w:t>Neck</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-0.73±0.81</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-0.41±0.99</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eastAsia="宋体" w:cs="Arial"/>
                <w:color w:val="000000"/>
                <w:kern w:val="0"/>
                <w:sz w:val="22"/>
                <w:szCs w:val="22"/>
              </w:rPr>
              <w:t>Wards</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-1.18±0.89</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-0.70±1.16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keepNext w:val="0"/>
              <w:keepLines w:val="0"/>
              <w:widowControl/>
              <w:suppressLineNumbers w:val="0"/>
              <w:spacing w:before="0" w:beforeAutospacing="0" w:after="0" w:afterAutospacing="0" w:line="360" w:lineRule="auto"/>
              <w:ind w:left="0" w:leftChars="0" w:right="0" w:rightChars="0"/>
              <w:jc w:val="center"/>
              <w:rPr>
                <w:rFonts w:hint="default" w:ascii="Arial" w:hAnsi="Arial" w:eastAsia="宋体" w:cs="Arial"/>
                <w:i w:val="0"/>
                <w:iCs w:val="0"/>
                <w:color w:val="000000"/>
                <w:sz w:val="22"/>
                <w:szCs w:val="22"/>
                <w:u w:val="none"/>
              </w:rPr>
            </w:pPr>
            <w:r>
              <w:rPr>
                <w:rFonts w:hint="default" w:ascii="Arial" w:hAnsi="Arial" w:eastAsia="宋体" w:cs="Arial"/>
                <w:color w:val="000000"/>
                <w:kern w:val="0"/>
                <w:sz w:val="22"/>
                <w:szCs w:val="22"/>
              </w:rPr>
              <w:t>Total</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-0.17±0.83</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0.26±1.01</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jc w:val="center"/>
              <w:rPr>
                <w:rFonts w:hint="default" w:ascii="Arial" w:hAnsi="Arial" w:eastAsia="宋体" w:cs="Arial"/>
                <w:i w:val="0"/>
                <w:iCs w:val="0"/>
                <w:color w:val="000000"/>
                <w:sz w:val="22"/>
                <w:szCs w:val="22"/>
                <w:u w:val="none"/>
              </w:rPr>
            </w:pPr>
            <w:r>
              <w:rPr>
                <w:rFonts w:hint="default" w:ascii="Arial" w:hAnsi="Arial" w:cs="Arial"/>
                <w:sz w:val="22"/>
                <w:szCs w:val="22"/>
                <w:lang w:val="en-US" w:eastAsia="zh-CN"/>
              </w:rPr>
              <w:t>MOF</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3.45±2.09</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2.61±1.26</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jc w:val="center"/>
        </w:trPr>
        <w:tc>
          <w:tcPr>
            <w:tcW w:w="1977" w:type="dxa"/>
            <w:tcBorders>
              <w:top w:val="nil"/>
              <w:left w:val="nil"/>
              <w:bottom w:val="nil"/>
              <w:right w:val="nil"/>
            </w:tcBorders>
            <w:shd w:val="clear" w:color="auto" w:fill="auto"/>
            <w:noWrap/>
            <w:vAlign w:val="center"/>
          </w:tcPr>
          <w:p>
            <w:pPr>
              <w:jc w:val="center"/>
              <w:rPr>
                <w:rFonts w:hint="default" w:ascii="Arial" w:hAnsi="Arial" w:eastAsia="宋体" w:cs="Arial"/>
                <w:i w:val="0"/>
                <w:iCs w:val="0"/>
                <w:color w:val="000000"/>
                <w:sz w:val="22"/>
                <w:szCs w:val="22"/>
                <w:u w:val="none"/>
              </w:rPr>
            </w:pPr>
            <w:r>
              <w:rPr>
                <w:rFonts w:hint="default" w:ascii="Arial" w:hAnsi="Arial" w:cs="Arial"/>
                <w:sz w:val="22"/>
                <w:szCs w:val="22"/>
                <w:lang w:val="en-US" w:eastAsia="zh-CN"/>
              </w:rPr>
              <w:t>HF</w:t>
            </w:r>
          </w:p>
        </w:tc>
        <w:tc>
          <w:tcPr>
            <w:tcW w:w="2616"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1.22±1.71</w:t>
            </w:r>
          </w:p>
        </w:tc>
        <w:tc>
          <w:tcPr>
            <w:tcW w:w="2412" w:type="dxa"/>
            <w:tcBorders>
              <w:top w:val="nil"/>
              <w:left w:val="nil"/>
              <w:bottom w:val="nil"/>
              <w:right w:val="nil"/>
            </w:tcBorders>
            <w:shd w:val="clear" w:color="auto" w:fill="auto"/>
            <w:noWrap/>
            <w:vAlign w:val="center"/>
          </w:tcPr>
          <w:p>
            <w:pPr>
              <w:keepNext w:val="0"/>
              <w:keepLines w:val="0"/>
              <w:widowControl/>
              <w:suppressLineNumbers w:val="0"/>
              <w:pBdr>
                <w:top w:val="none" w:color="auto" w:sz="0" w:space="0"/>
                <w:left w:val="none" w:color="auto" w:sz="0" w:space="0"/>
                <w:bottom w:val="none" w:color="auto" w:sz="0" w:space="0"/>
                <w:right w:val="none" w:color="auto" w:sz="0" w:space="0"/>
              </w:pBdr>
              <w:jc w:val="center"/>
              <w:rPr>
                <w:rFonts w:hint="default" w:ascii="Arial" w:hAnsi="Arial" w:eastAsia="宋体" w:cs="Arial"/>
                <w:i w:val="0"/>
                <w:iCs w:val="0"/>
                <w:color w:val="000000"/>
                <w:sz w:val="22"/>
                <w:szCs w:val="22"/>
                <w:u w:val="none"/>
              </w:rPr>
            </w:pPr>
            <w:r>
              <w:rPr>
                <w:rFonts w:hint="default" w:ascii="Arial" w:hAnsi="Arial" w:eastAsia="DejaVu Sans" w:cs="Arial"/>
                <w:i w:val="0"/>
                <w:iCs w:val="0"/>
                <w:caps w:val="0"/>
                <w:color w:val="000000"/>
                <w:spacing w:val="0"/>
                <w:kern w:val="0"/>
                <w:sz w:val="22"/>
                <w:szCs w:val="22"/>
                <w:lang w:val="en-US" w:eastAsia="zh-CN" w:bidi="ar"/>
              </w:rPr>
              <w:t>0.72±0.82</w:t>
            </w:r>
          </w:p>
        </w:tc>
        <w:tc>
          <w:tcPr>
            <w:tcW w:w="0" w:type="auto"/>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jc w:val="center"/>
        </w:trPr>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sz w:val="22"/>
                <w:szCs w:val="22"/>
                <w:u w:val="none"/>
                <w:lang w:val="en-US" w:eastAsia="zh-CN"/>
              </w:rPr>
              <w:t>Osteoporosis</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24(18.46%)</w:t>
            </w:r>
          </w:p>
        </w:tc>
        <w:tc>
          <w:tcPr>
            <w:tcW w:w="0" w:type="auto"/>
            <w:tcBorders>
              <w:top w:val="nil"/>
              <w:left w:val="nil"/>
              <w:bottom w:val="single" w:color="auto" w:sz="12" w:space="0"/>
              <w:right w:val="nil"/>
            </w:tcBorders>
            <w:shd w:val="clear" w:color="auto" w:fill="auto"/>
            <w:noWrap/>
            <w:vAlign w:val="center"/>
          </w:tcPr>
          <w:p>
            <w:pPr>
              <w:jc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9(6.92%)</w:t>
            </w:r>
          </w:p>
        </w:tc>
        <w:tc>
          <w:tcPr>
            <w:tcW w:w="0" w:type="auto"/>
            <w:tcBorders>
              <w:top w:val="nil"/>
              <w:left w:val="nil"/>
              <w:bottom w:val="single" w:color="auto" w:sz="12" w:space="0"/>
              <w:right w:val="nil"/>
            </w:tcBorders>
            <w:shd w:val="clear" w:color="auto" w:fill="auto"/>
            <w:noWrap/>
            <w:vAlign w:val="center"/>
          </w:tcPr>
          <w:p>
            <w:pPr>
              <w:keepNext w:val="0"/>
              <w:keepLines w:val="0"/>
              <w:widowControl/>
              <w:suppressLineNumbers w:val="0"/>
              <w:jc w:val="center"/>
              <w:textAlignment w:val="center"/>
              <w:rPr>
                <w:rFonts w:hint="default" w:ascii="Arial" w:hAnsi="Arial" w:eastAsia="宋体" w:cs="Arial"/>
                <w:i w:val="0"/>
                <w:iCs w:val="0"/>
                <w:color w:val="000000"/>
                <w:sz w:val="22"/>
                <w:szCs w:val="22"/>
                <w:u w:val="none"/>
              </w:rPr>
            </w:pPr>
            <w:r>
              <w:rPr>
                <w:rFonts w:hint="default" w:ascii="Arial" w:hAnsi="Arial" w:eastAsia="宋体" w:cs="Arial"/>
                <w:i w:val="0"/>
                <w:iCs w:val="0"/>
                <w:color w:val="000000"/>
                <w:kern w:val="0"/>
                <w:sz w:val="22"/>
                <w:szCs w:val="22"/>
                <w:u w:val="none"/>
                <w:lang w:val="en-US" w:eastAsia="zh-CN" w:bidi="ar"/>
              </w:rPr>
              <w:t>&lt;0.001</w:t>
            </w:r>
          </w:p>
        </w:tc>
      </w:tr>
    </w:tbl>
    <w:p>
      <w:pPr>
        <w:rPr>
          <w:rFonts w:hint="default" w:ascii="Arial" w:hAnsi="Arial" w:cs="Arial"/>
          <w:sz w:val="22"/>
          <w:szCs w:val="22"/>
          <w:lang w:val="en-US" w:eastAsia="zh-CN"/>
        </w:rPr>
      </w:pPr>
    </w:p>
    <w:p>
      <w:pPr>
        <w:rPr>
          <w:rFonts w:hint="default" w:ascii="Arial" w:hAnsi="Arial" w:cs="Arial"/>
          <w:sz w:val="22"/>
          <w:szCs w:val="22"/>
        </w:rPr>
      </w:pPr>
      <w:r>
        <w:rPr>
          <w:rFonts w:hint="default" w:ascii="Arial" w:hAnsi="Arial" w:cs="Arial"/>
          <w:sz w:val="22"/>
          <w:szCs w:val="22"/>
        </w:rPr>
        <w:t>Data are presented as mean ± standard deviation</w:t>
      </w:r>
      <w:r>
        <w:rPr>
          <w:rFonts w:hint="default" w:ascii="Arial" w:hAnsi="Arial" w:cs="Arial"/>
          <w:sz w:val="22"/>
          <w:szCs w:val="22"/>
          <w:lang w:val="en-US" w:eastAsia="zh-CN"/>
        </w:rPr>
        <w:t xml:space="preserve">, </w:t>
      </w:r>
      <w:r>
        <w:rPr>
          <w:rFonts w:hint="default" w:ascii="Arial" w:hAnsi="Arial" w:cs="Arial"/>
          <w:sz w:val="22"/>
          <w:szCs w:val="22"/>
        </w:rPr>
        <w:t>or as numbers, and percentages.</w:t>
      </w:r>
    </w:p>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Abbreviations: RCS, restricted cubic splines; Neck, neck of the femur; Wards, Ward's triangle; Total, total femur; MOF, major osteoporotic fracture; HF, hip fracture.</w:t>
      </w:r>
    </w:p>
    <w:p>
      <w:pPr>
        <w:rPr>
          <w:rFonts w:hint="default" w:ascii="Arial" w:hAnsi="Arial" w:cs="Arial"/>
          <w:sz w:val="22"/>
          <w:szCs w:val="22"/>
        </w:rPr>
      </w:pPr>
    </w:p>
    <w:p/>
    <w:p/>
    <w:p/>
    <w:p/>
    <w:p/>
    <w:p/>
    <w:p/>
    <w:p/>
    <w:p/>
    <w:p/>
    <w:p/>
    <w:p/>
    <w:p/>
    <w:p/>
    <w:p/>
    <w:p/>
    <w:p/>
    <w:p/>
    <w:p/>
    <w:p/>
    <w:p>
      <w:pPr>
        <w:rPr>
          <w:rFonts w:hint="default" w:ascii="Arial" w:hAnsi="Arial" w:cs="Arial"/>
          <w:sz w:val="22"/>
          <w:szCs w:val="22"/>
          <w:lang w:val="en-US" w:eastAsia="zh-CN"/>
        </w:rPr>
      </w:pPr>
      <w:r>
        <w:rPr>
          <w:rFonts w:hint="default" w:ascii="Arial" w:hAnsi="Arial" w:cs="Arial"/>
          <w:b/>
          <w:bCs/>
          <w:sz w:val="22"/>
          <w:szCs w:val="22"/>
          <w:lang w:val="en-US" w:eastAsia="zh-CN"/>
        </w:rPr>
        <w:t>Table S9.</w:t>
      </w:r>
      <w:r>
        <w:rPr>
          <w:rFonts w:hint="default" w:ascii="Arial" w:hAnsi="Arial" w:cs="Arial"/>
          <w:sz w:val="22"/>
          <w:szCs w:val="22"/>
          <w:lang w:val="en-US" w:eastAsia="zh-CN"/>
        </w:rPr>
        <w:t xml:space="preserve"> Sensitivity analysis of the effect of user versus non-user on decreased bone mass before matching after excluding patients with PA.</w:t>
      </w:r>
    </w:p>
    <w:p>
      <w:pPr>
        <w:rPr>
          <w:rFonts w:hint="default" w:ascii="Arial" w:hAnsi="Arial" w:cs="Arial"/>
          <w:sz w:val="22"/>
          <w:szCs w:val="22"/>
          <w:lang w:val="en-US" w:eastAsia="zh-CN"/>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0.523 (0.371, 0.738)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0.501 (0.351, 0.715)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0.449 (0.311, 0.648)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0.456 (0.314, 0.661)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PA, primary aldosteronism;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
    <w:p/>
    <w:p/>
    <w:p/>
    <w:p/>
    <w:p/>
    <w:p/>
    <w:p/>
    <w:p/>
    <w:p/>
    <w:p/>
    <w:p/>
    <w:p/>
    <w:p/>
    <w:p/>
    <w:p/>
    <w:p/>
    <w:p/>
    <w:p/>
    <w:p/>
    <w:p/>
    <w:p/>
    <w:p/>
    <w:p>
      <w:pPr>
        <w:rPr>
          <w:rFonts w:hint="default" w:ascii="Arial" w:hAnsi="Arial" w:cs="Arial"/>
          <w:sz w:val="22"/>
          <w:szCs w:val="22"/>
          <w:lang w:val="en-US" w:eastAsia="zh-CN"/>
        </w:rPr>
      </w:pPr>
      <w:r>
        <w:rPr>
          <w:rFonts w:hint="default" w:ascii="Arial" w:hAnsi="Arial" w:cs="Arial"/>
          <w:b/>
          <w:bCs/>
          <w:sz w:val="22"/>
          <w:szCs w:val="22"/>
          <w:lang w:val="en-US" w:eastAsia="zh-CN"/>
        </w:rPr>
        <w:t>Table S10.</w:t>
      </w:r>
      <w:r>
        <w:rPr>
          <w:rFonts w:hint="default" w:ascii="Arial" w:hAnsi="Arial" w:cs="Arial"/>
          <w:sz w:val="22"/>
          <w:szCs w:val="22"/>
          <w:lang w:val="en-US" w:eastAsia="zh-CN"/>
        </w:rPr>
        <w:t xml:space="preserve"> Sensitivity analysis of the effect of user versus non-user on osteoporosis before matching after excluding patients with PA.</w:t>
      </w:r>
    </w:p>
    <w:p>
      <w:pPr>
        <w:rPr>
          <w:rFonts w:hint="default" w:ascii="Arial" w:hAnsi="Arial" w:cs="Arial"/>
          <w:sz w:val="22"/>
          <w:szCs w:val="22"/>
          <w:lang w:val="en-US" w:eastAsia="zh-CN"/>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0.488 (0.307, 0.776)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0.477 (0.297, 0.767)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0.450 (0.278, 0.728)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0.451 (0.278, 0.731)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PA, primary aldosteronism;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ascii="Arial" w:hAnsi="Arial" w:cs="Arial"/>
          <w:sz w:val="22"/>
          <w:szCs w:val="22"/>
        </w:rPr>
      </w:pPr>
    </w:p>
    <w:p/>
    <w:p/>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default" w:ascii="Arial" w:hAnsi="Arial" w:cs="Arial"/>
          <w:sz w:val="22"/>
          <w:szCs w:val="22"/>
          <w:lang w:val="en-US" w:eastAsia="zh-CN"/>
        </w:rPr>
      </w:pPr>
      <w:r>
        <w:rPr>
          <w:rFonts w:hint="default" w:ascii="Arial" w:hAnsi="Arial" w:cs="Arial"/>
          <w:b/>
          <w:bCs/>
          <w:sz w:val="22"/>
          <w:szCs w:val="22"/>
          <w:lang w:val="en-US" w:eastAsia="zh-CN"/>
        </w:rPr>
        <w:t>Table S11.</w:t>
      </w:r>
      <w:r>
        <w:rPr>
          <w:rFonts w:hint="default" w:ascii="Arial" w:hAnsi="Arial" w:cs="Arial"/>
          <w:sz w:val="22"/>
          <w:szCs w:val="22"/>
          <w:lang w:val="en-US" w:eastAsia="zh-CN"/>
        </w:rPr>
        <w:t xml:space="preserve"> Sensitivity analysis of the effect of user versus non-user on decreased bone mass after matching after excluding patients with PA.</w:t>
      </w:r>
    </w:p>
    <w:p>
      <w:pPr>
        <w:rPr>
          <w:rFonts w:hint="default" w:ascii="Arial" w:hAnsi="Arial" w:cs="Arial"/>
          <w:sz w:val="22"/>
          <w:szCs w:val="22"/>
          <w:lang w:val="en-US" w:eastAsia="zh-CN"/>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0.549 (0.383, 0.787)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0.517 (0.356, 0.752)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0.448 (0.302, 0.664)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0.399 (0.266, 0.597)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PA, primary aldosteronism;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ascii="Arial" w:hAnsi="Arial" w:cs="Arial"/>
          <w:sz w:val="22"/>
          <w:szCs w:val="22"/>
        </w:rPr>
      </w:pPr>
    </w:p>
    <w:p/>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default" w:ascii="Arial" w:hAnsi="Arial" w:cs="Arial"/>
          <w:sz w:val="22"/>
          <w:szCs w:val="22"/>
          <w:lang w:val="en-US" w:eastAsia="zh-CN"/>
        </w:rPr>
      </w:pPr>
      <w:r>
        <w:rPr>
          <w:rFonts w:hint="default" w:ascii="Arial" w:hAnsi="Arial" w:cs="Arial"/>
          <w:b/>
          <w:bCs/>
          <w:sz w:val="22"/>
          <w:szCs w:val="22"/>
          <w:lang w:val="en-US" w:eastAsia="zh-CN"/>
        </w:rPr>
        <w:t>Table S12.</w:t>
      </w:r>
      <w:r>
        <w:rPr>
          <w:rFonts w:hint="default" w:ascii="Arial" w:hAnsi="Arial" w:cs="Arial"/>
          <w:sz w:val="22"/>
          <w:szCs w:val="22"/>
          <w:lang w:val="en-US" w:eastAsia="zh-CN"/>
        </w:rPr>
        <w:t xml:space="preserve"> Sensitivity analysis of the effect of user versus non-user on osteoporosis after matching after excluding patients with PA.</w:t>
      </w:r>
    </w:p>
    <w:p>
      <w:pPr>
        <w:rPr>
          <w:rFonts w:hint="default" w:ascii="Arial" w:hAnsi="Arial" w:cs="Arial"/>
          <w:sz w:val="22"/>
          <w:szCs w:val="22"/>
          <w:lang w:val="en-US" w:eastAsia="zh-CN"/>
        </w:rPr>
      </w:pPr>
    </w:p>
    <w:tbl>
      <w:tblPr>
        <w:tblStyle w:val="4"/>
        <w:tblW w:w="11300" w:type="dxa"/>
        <w:jc w:val="center"/>
        <w:tblLayout w:type="fixed"/>
        <w:tblCellMar>
          <w:top w:w="0" w:type="dxa"/>
          <w:left w:w="108" w:type="dxa"/>
          <w:bottom w:w="0" w:type="dxa"/>
          <w:right w:w="108" w:type="dxa"/>
        </w:tblCellMar>
      </w:tblPr>
      <w:tblGrid>
        <w:gridCol w:w="2260"/>
        <w:gridCol w:w="2260"/>
        <w:gridCol w:w="2260"/>
        <w:gridCol w:w="2260"/>
        <w:gridCol w:w="2260"/>
      </w:tblGrid>
      <w:tr>
        <w:tblPrEx>
          <w:tblCellMar>
            <w:top w:w="0" w:type="dxa"/>
            <w:left w:w="108" w:type="dxa"/>
            <w:bottom w:w="0" w:type="dxa"/>
            <w:right w:w="108" w:type="dxa"/>
          </w:tblCellMar>
        </w:tblPrEx>
        <w:trPr>
          <w:trHeight w:val="761" w:hRule="atLeast"/>
          <w:jc w:val="center"/>
        </w:trPr>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Exposure</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1</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2</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color w:val="auto"/>
                <w:kern w:val="0"/>
                <w:sz w:val="22"/>
                <w:szCs w:val="22"/>
              </w:rPr>
            </w:pPr>
            <w:r>
              <w:rPr>
                <w:rFonts w:hint="default" w:ascii="Arial" w:hAnsi="Arial" w:cs="Arial"/>
                <w:bCs/>
                <w:color w:val="auto"/>
                <w:kern w:val="0"/>
                <w:sz w:val="22"/>
                <w:szCs w:val="22"/>
              </w:rPr>
              <w:t>Model 3</w:t>
            </w:r>
          </w:p>
        </w:tc>
        <w:tc>
          <w:tcPr>
            <w:tcW w:w="2260" w:type="dxa"/>
            <w:tcBorders>
              <w:top w:val="single" w:color="auto" w:sz="12" w:space="0"/>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 xml:space="preserve">Model </w:t>
            </w:r>
            <w:r>
              <w:rPr>
                <w:rFonts w:hint="default" w:ascii="Arial" w:hAnsi="Arial" w:cs="Arial"/>
                <w:bCs/>
                <w:color w:val="auto"/>
                <w:kern w:val="0"/>
                <w:sz w:val="22"/>
                <w:szCs w:val="22"/>
                <w:lang w:val="en-US" w:eastAsia="zh-CN"/>
              </w:rPr>
              <w:t>4</w:t>
            </w:r>
          </w:p>
        </w:tc>
      </w:tr>
      <w:tr>
        <w:tblPrEx>
          <w:tblCellMar>
            <w:top w:w="0" w:type="dxa"/>
            <w:left w:w="108" w:type="dxa"/>
            <w:bottom w:w="0" w:type="dxa"/>
            <w:right w:w="108" w:type="dxa"/>
          </w:tblCellMar>
        </w:tblPrEx>
        <w:trPr>
          <w:trHeight w:val="530"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color w:val="auto"/>
                <w:kern w:val="0"/>
                <w:sz w:val="22"/>
                <w:szCs w:val="22"/>
                <w:lang w:val="en-US" w:eastAsia="zh-CN"/>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color w:val="auto"/>
                <w:kern w:val="0"/>
                <w:sz w:val="22"/>
                <w:szCs w:val="22"/>
              </w:rPr>
            </w:pPr>
            <w:r>
              <w:rPr>
                <w:rFonts w:hint="default" w:ascii="Arial" w:hAnsi="Arial" w:cs="Arial"/>
                <w:bCs/>
                <w:color w:val="auto"/>
                <w:kern w:val="0"/>
                <w:sz w:val="22"/>
                <w:szCs w:val="22"/>
              </w:rPr>
              <w:t>OR (95%CI)</w:t>
            </w:r>
            <w:r>
              <w:rPr>
                <w:rFonts w:hint="default" w:ascii="Arial" w:hAnsi="Arial" w:cs="Arial"/>
                <w:bCs/>
                <w:color w:val="auto"/>
                <w:kern w:val="0"/>
                <w:sz w:val="22"/>
                <w:szCs w:val="22"/>
                <w:lang w:val="en-US" w:eastAsia="zh-CN"/>
              </w:rPr>
              <w:t xml:space="preserve"> </w:t>
            </w:r>
          </w:p>
        </w:tc>
      </w:tr>
      <w:tr>
        <w:tblPrEx>
          <w:tblCellMar>
            <w:top w:w="0" w:type="dxa"/>
            <w:left w:w="108" w:type="dxa"/>
            <w:bottom w:w="0" w:type="dxa"/>
            <w:right w:w="108" w:type="dxa"/>
          </w:tblCellMar>
        </w:tblPrEx>
        <w:trPr>
          <w:trHeight w:val="568" w:hRule="atLeast"/>
          <w:jc w:val="center"/>
        </w:trPr>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Non-user</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rPr>
              <w:t>Reference</w:t>
            </w:r>
          </w:p>
        </w:tc>
        <w:tc>
          <w:tcPr>
            <w:tcW w:w="2260" w:type="dxa"/>
            <w:tcBorders>
              <w:top w:val="nil"/>
              <w:left w:val="nil"/>
              <w:bottom w:val="nil"/>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rPr>
            </w:pPr>
            <w:r>
              <w:rPr>
                <w:rFonts w:hint="default" w:ascii="Arial" w:hAnsi="Arial" w:cs="Arial"/>
                <w:bCs/>
                <w:kern w:val="0"/>
                <w:sz w:val="22"/>
                <w:szCs w:val="22"/>
              </w:rPr>
              <w:t>Reference</w:t>
            </w:r>
          </w:p>
        </w:tc>
      </w:tr>
      <w:tr>
        <w:tblPrEx>
          <w:tblCellMar>
            <w:top w:w="0" w:type="dxa"/>
            <w:left w:w="108" w:type="dxa"/>
            <w:bottom w:w="0" w:type="dxa"/>
            <w:right w:w="108" w:type="dxa"/>
          </w:tblCellMar>
        </w:tblPrEx>
        <w:trPr>
          <w:trHeight w:val="1034" w:hRule="atLeast"/>
          <w:jc w:val="center"/>
        </w:trPr>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User</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0.500 (0.311, 0.804)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bCs/>
                <w:kern w:val="0"/>
                <w:sz w:val="22"/>
                <w:szCs w:val="22"/>
              </w:rPr>
            </w:pPr>
            <w:r>
              <w:rPr>
                <w:rFonts w:hint="default" w:ascii="Arial" w:hAnsi="Arial" w:cs="Arial"/>
                <w:bCs/>
                <w:kern w:val="0"/>
                <w:sz w:val="22"/>
                <w:szCs w:val="22"/>
                <w:lang w:val="en-US" w:eastAsia="zh-CN"/>
              </w:rPr>
              <w:t xml:space="preserve">0.519 (0.320, 0.841)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right="0"/>
              <w:jc w:val="center"/>
              <w:rPr>
                <w:rFonts w:hint="default" w:ascii="Arial" w:hAnsi="Arial" w:cs="Arial" w:eastAsiaTheme="minorEastAsia"/>
                <w:bCs/>
                <w:kern w:val="0"/>
                <w:sz w:val="22"/>
                <w:szCs w:val="22"/>
                <w:lang w:val="en-US" w:eastAsia="zh-CN"/>
              </w:rPr>
            </w:pPr>
            <w:r>
              <w:rPr>
                <w:rFonts w:hint="default" w:ascii="Arial" w:hAnsi="Arial" w:cs="Arial"/>
                <w:bCs/>
                <w:kern w:val="0"/>
                <w:sz w:val="22"/>
                <w:szCs w:val="22"/>
                <w:lang w:val="en-US" w:eastAsia="zh-CN"/>
              </w:rPr>
              <w:t xml:space="preserve">0.469 (0.285, 0.773) </w:t>
            </w:r>
          </w:p>
        </w:tc>
        <w:tc>
          <w:tcPr>
            <w:tcW w:w="2260" w:type="dxa"/>
            <w:tcBorders>
              <w:top w:val="nil"/>
              <w:left w:val="nil"/>
              <w:bottom w:val="single" w:color="auto" w:sz="12" w:space="0"/>
              <w:right w:val="nil"/>
            </w:tcBorders>
            <w:shd w:val="clear" w:color="auto" w:fill="auto"/>
            <w:noWrap/>
            <w:vAlign w:val="center"/>
          </w:tcPr>
          <w:p>
            <w:pPr>
              <w:keepNext w:val="0"/>
              <w:keepLines w:val="0"/>
              <w:suppressLineNumbers w:val="0"/>
              <w:spacing w:before="0" w:beforeAutospacing="0" w:after="0" w:afterAutospacing="0" w:line="360" w:lineRule="auto"/>
              <w:ind w:left="0" w:leftChars="0" w:right="0" w:rightChars="0"/>
              <w:jc w:val="center"/>
              <w:rPr>
                <w:rFonts w:hint="default" w:ascii="Arial" w:hAnsi="Arial" w:cs="Arial"/>
                <w:bCs/>
                <w:kern w:val="0"/>
                <w:sz w:val="22"/>
                <w:szCs w:val="22"/>
                <w:lang w:val="en-US" w:eastAsia="zh-CN"/>
              </w:rPr>
            </w:pPr>
            <w:r>
              <w:rPr>
                <w:rFonts w:hint="default" w:ascii="Arial" w:hAnsi="Arial" w:cs="Arial"/>
                <w:bCs/>
                <w:kern w:val="0"/>
                <w:sz w:val="22"/>
                <w:szCs w:val="22"/>
                <w:lang w:val="en-US" w:eastAsia="zh-CN"/>
              </w:rPr>
              <w:t xml:space="preserve">0.450 (0.272, 0.743) </w:t>
            </w:r>
          </w:p>
        </w:tc>
      </w:tr>
    </w:tbl>
    <w:p>
      <w:pPr>
        <w:rPr>
          <w:rFonts w:hint="default" w:ascii="Arial" w:hAnsi="Arial" w:cs="Arial"/>
          <w:sz w:val="22"/>
          <w:szCs w:val="22"/>
          <w:lang w:val="en-US" w:eastAsia="zh-CN"/>
        </w:rPr>
      </w:pPr>
    </w:p>
    <w:p>
      <w:pPr>
        <w:rPr>
          <w:rFonts w:hint="default" w:ascii="Arial" w:hAnsi="Arial" w:cs="Arial"/>
          <w:sz w:val="22"/>
          <w:szCs w:val="22"/>
          <w:lang w:val="en-US" w:eastAsia="zh-CN"/>
        </w:rPr>
      </w:pPr>
      <w:r>
        <w:rPr>
          <w:rFonts w:hint="default" w:ascii="Arial" w:hAnsi="Arial" w:cs="Arial"/>
          <w:sz w:val="22"/>
          <w:szCs w:val="22"/>
          <w:lang w:val="en-US" w:eastAsia="zh-CN"/>
        </w:rPr>
        <w:t xml:space="preserve">Model 1: no covariates were adjusted. </w:t>
      </w:r>
    </w:p>
    <w:p>
      <w:pPr>
        <w:rPr>
          <w:rFonts w:hint="default" w:ascii="Arial" w:hAnsi="Arial" w:cs="Arial"/>
          <w:sz w:val="22"/>
          <w:szCs w:val="22"/>
          <w:lang w:val="en-US" w:eastAsia="zh-CN"/>
        </w:rPr>
      </w:pPr>
      <w:r>
        <w:rPr>
          <w:rFonts w:hint="default" w:ascii="Arial" w:hAnsi="Arial" w:cs="Arial"/>
          <w:sz w:val="22"/>
          <w:szCs w:val="22"/>
          <w:lang w:val="en-US" w:eastAsia="zh-CN"/>
        </w:rPr>
        <w:t>Model 2: age, sex, BMI, and smoking status were adjusted.</w:t>
      </w:r>
    </w:p>
    <w:p>
      <w:pPr>
        <w:rPr>
          <w:rFonts w:hint="default" w:ascii="Arial" w:hAnsi="Arial" w:cs="Arial"/>
          <w:sz w:val="22"/>
          <w:szCs w:val="22"/>
          <w:lang w:val="en-US" w:eastAsia="zh-CN"/>
        </w:rPr>
      </w:pPr>
      <w:r>
        <w:rPr>
          <w:rFonts w:hint="default" w:ascii="Arial" w:hAnsi="Arial" w:cs="Arial"/>
          <w:sz w:val="22"/>
          <w:szCs w:val="22"/>
          <w:lang w:val="en-US" w:eastAsia="zh-CN"/>
        </w:rPr>
        <w:t>Model 3: Model 2 plus adjustment for serum potassium, PTH, serum calcium, serum phosphorus, and ALP.</w:t>
      </w:r>
    </w:p>
    <w:p>
      <w:pPr>
        <w:rPr>
          <w:rFonts w:hint="default" w:ascii="Arial" w:hAnsi="Arial" w:cs="Arial"/>
          <w:sz w:val="22"/>
          <w:szCs w:val="22"/>
          <w:lang w:val="en-US" w:eastAsia="zh-CN"/>
        </w:rPr>
      </w:pPr>
      <w:r>
        <w:rPr>
          <w:rFonts w:hint="default" w:ascii="Arial" w:hAnsi="Arial" w:cs="Arial"/>
          <w:sz w:val="22"/>
          <w:szCs w:val="22"/>
          <w:lang w:val="en-US" w:eastAsia="zh-CN"/>
        </w:rPr>
        <w:t>Model 4: Model 3 plus adjustment for the the use probability of spironolactone.</w:t>
      </w:r>
    </w:p>
    <w:p>
      <w:pPr>
        <w:rPr>
          <w:rFonts w:hint="default" w:ascii="Arial" w:hAnsi="Arial" w:cs="Arial"/>
          <w:sz w:val="22"/>
          <w:szCs w:val="22"/>
          <w:lang w:val="en-US" w:eastAsia="zh-CN"/>
        </w:rPr>
      </w:pPr>
      <w:r>
        <w:rPr>
          <w:rFonts w:hint="default" w:ascii="Arial" w:hAnsi="Arial" w:cs="Arial"/>
          <w:sz w:val="22"/>
          <w:szCs w:val="22"/>
          <w:lang w:val="en-US" w:eastAsia="zh-CN"/>
        </w:rPr>
        <w:t>Abbreviations: PA, primary aldosteronism; OR, odds ratio; CI, confidence interval</w:t>
      </w:r>
      <w:r>
        <w:rPr>
          <w:rFonts w:hint="eastAsia" w:ascii="Arial" w:hAnsi="Arial" w:cs="Arial"/>
          <w:sz w:val="22"/>
          <w:szCs w:val="22"/>
          <w:lang w:val="en-US" w:eastAsia="zh-CN"/>
        </w:rPr>
        <w:t xml:space="preserve">; BMI, </w:t>
      </w:r>
      <w:r>
        <w:rPr>
          <w:rFonts w:hint="default" w:ascii="Arial" w:hAnsi="Arial" w:cs="Arial"/>
          <w:sz w:val="22"/>
          <w:szCs w:val="22"/>
        </w:rPr>
        <w:t>body mass index</w:t>
      </w:r>
      <w:r>
        <w:rPr>
          <w:rFonts w:hint="eastAsia" w:ascii="Arial" w:hAnsi="Arial" w:cs="Arial"/>
          <w:sz w:val="22"/>
          <w:szCs w:val="22"/>
          <w:lang w:val="en-US" w:eastAsia="zh-CN"/>
        </w:rPr>
        <w:t xml:space="preserve">; PTH, </w:t>
      </w:r>
      <w:r>
        <w:rPr>
          <w:rFonts w:hint="default" w:ascii="Arial" w:hAnsi="Arial" w:cs="Arial"/>
          <w:sz w:val="22"/>
          <w:szCs w:val="22"/>
        </w:rPr>
        <w:t>parathyroid hormone</w:t>
      </w:r>
      <w:r>
        <w:rPr>
          <w:rFonts w:hint="eastAsia" w:ascii="Arial" w:hAnsi="Arial" w:cs="Arial"/>
          <w:sz w:val="22"/>
          <w:szCs w:val="22"/>
          <w:lang w:val="en-US" w:eastAsia="zh-CN"/>
        </w:rPr>
        <w:t>; ALP, alkaline phosphatase</w:t>
      </w:r>
      <w:r>
        <w:rPr>
          <w:rFonts w:hint="default" w:ascii="Arial" w:hAnsi="Arial" w:cs="Arial"/>
          <w:sz w:val="22"/>
          <w:szCs w:val="22"/>
          <w:lang w:val="en-US" w:eastAsia="zh-CN"/>
        </w:rPr>
        <w:t>.</w:t>
      </w:r>
    </w:p>
    <w:p>
      <w:pPr>
        <w:rPr>
          <w:rFonts w:hint="default" w:ascii="Arial" w:hAnsi="Arial" w:cs="Arial"/>
          <w:b/>
          <w:bCs/>
          <w:sz w:val="22"/>
          <w:szCs w:val="2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default" w:ascii="Arial" w:hAnsi="Arial" w:cs="Arial"/>
          <w:b/>
          <w:bCs/>
          <w:sz w:val="22"/>
          <w:szCs w:val="22"/>
          <w:lang w:eastAsia="zh-CN"/>
        </w:rPr>
      </w:pPr>
      <w:r>
        <w:rPr>
          <w:rFonts w:hint="default" w:ascii="Arial" w:hAnsi="Arial" w:cs="Arial"/>
          <w:b/>
          <w:bCs/>
          <w:sz w:val="22"/>
          <w:szCs w:val="22"/>
          <w:lang w:val="en-US" w:eastAsia="zh-CN"/>
        </w:rPr>
        <w:t xml:space="preserve">3   </w:t>
      </w:r>
      <w:r>
        <w:rPr>
          <w:rFonts w:hint="default" w:ascii="Arial" w:hAnsi="Arial" w:cs="Arial"/>
          <w:b/>
          <w:bCs/>
          <w:sz w:val="22"/>
          <w:szCs w:val="22"/>
          <w:lang w:eastAsia="zh-CN"/>
        </w:rPr>
        <w:t>Supplementary Figures</w:t>
      </w: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Arial" w:hAnsi="Arial" w:cs="Arial"/>
          <w:b/>
          <w:bCs/>
          <w:sz w:val="22"/>
          <w:szCs w:val="22"/>
          <w:lang w:val="en-US" w:eastAsia="zh-CN"/>
        </w:rPr>
      </w:pPr>
      <w:r>
        <w:rPr>
          <w:rFonts w:hint="default" w:ascii="Arial" w:hAnsi="Arial" w:cs="Arial"/>
          <w:b/>
          <w:bCs/>
          <w:sz w:val="22"/>
          <w:szCs w:val="22"/>
          <w:lang w:val="en-US" w:eastAsia="zh-CN"/>
        </w:rPr>
        <w:t xml:space="preserve">Figure S1 </w:t>
      </w:r>
      <w:r>
        <w:rPr>
          <w:rFonts w:hint="default" w:ascii="Arial" w:hAnsi="Arial" w:cs="Arial"/>
          <w:b w:val="0"/>
          <w:bCs w:val="0"/>
          <w:sz w:val="22"/>
          <w:szCs w:val="22"/>
          <w:lang w:val="en-US" w:eastAsia="zh-CN"/>
        </w:rPr>
        <w:t>Match the variance inflation factor plots of each variable in the data.</w:t>
      </w:r>
      <w:bookmarkStart w:id="6" w:name="_GoBack"/>
      <w:bookmarkEnd w:id="6"/>
    </w:p>
    <w:p>
      <w:pPr>
        <w:rPr>
          <w:rFonts w:hint="eastAsia"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6003925" cy="4874895"/>
            <wp:effectExtent l="0" t="0" r="635" b="1905"/>
            <wp:docPr id="4" name="图片 4"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ure S1"/>
                    <pic:cNvPicPr>
                      <a:picLocks noChangeAspect="1"/>
                    </pic:cNvPicPr>
                  </pic:nvPicPr>
                  <pic:blipFill>
                    <a:blip r:embed="rId4"/>
                    <a:stretch>
                      <a:fillRect/>
                    </a:stretch>
                  </pic:blipFill>
                  <pic:spPr>
                    <a:xfrm>
                      <a:off x="0" y="0"/>
                      <a:ext cx="6003925" cy="4874895"/>
                    </a:xfrm>
                    <a:prstGeom prst="rect">
                      <a:avLst/>
                    </a:prstGeom>
                  </pic:spPr>
                </pic:pic>
              </a:graphicData>
            </a:graphic>
          </wp:inline>
        </w:drawing>
      </w: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default" w:ascii="Times New Roman" w:hAnsi="Times New Roman" w:cs="Times New Roman"/>
          <w:b/>
          <w:bCs/>
          <w:sz w:val="24"/>
          <w:szCs w:val="32"/>
          <w:lang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default" w:ascii="Arial" w:hAnsi="Arial" w:cs="Arial"/>
          <w:b w:val="0"/>
          <w:bCs w:val="0"/>
          <w:sz w:val="22"/>
          <w:szCs w:val="22"/>
          <w:lang w:val="en-US" w:eastAsia="zh-CN"/>
        </w:rPr>
      </w:pPr>
      <w:r>
        <w:rPr>
          <w:rFonts w:hint="default" w:ascii="Arial" w:hAnsi="Arial" w:cs="Arial"/>
          <w:b/>
          <w:bCs/>
          <w:sz w:val="22"/>
          <w:szCs w:val="22"/>
          <w:lang w:val="en-US" w:eastAsia="zh-CN"/>
        </w:rPr>
        <w:t xml:space="preserve">Figure S2 </w:t>
      </w:r>
      <w:r>
        <w:rPr>
          <w:rFonts w:hint="default" w:ascii="Arial" w:hAnsi="Arial" w:cs="Arial"/>
          <w:b w:val="0"/>
          <w:bCs w:val="0"/>
          <w:sz w:val="22"/>
          <w:szCs w:val="22"/>
          <w:lang w:val="en-US" w:eastAsia="zh-CN"/>
        </w:rPr>
        <w:t>Standardised mean differences in before and after propensity score matching</w:t>
      </w:r>
      <w:r>
        <w:rPr>
          <w:rFonts w:hint="eastAsia" w:ascii="Arial" w:hAnsi="Arial" w:cs="Arial"/>
          <w:b w:val="0"/>
          <w:bCs w:val="0"/>
          <w:sz w:val="22"/>
          <w:szCs w:val="22"/>
          <w:lang w:val="en-US" w:eastAsia="zh-CN"/>
        </w:rPr>
        <w:t>.</w:t>
      </w:r>
    </w:p>
    <w:p>
      <w:pPr>
        <w:jc w:val="center"/>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drawing>
          <wp:inline distT="0" distB="0" distL="114300" distR="114300">
            <wp:extent cx="5847715" cy="4678680"/>
            <wp:effectExtent l="0" t="0" r="4445" b="0"/>
            <wp:docPr id="3" name="图片 3" descr="Figure 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ure S1"/>
                    <pic:cNvPicPr>
                      <a:picLocks noChangeAspect="1"/>
                    </pic:cNvPicPr>
                  </pic:nvPicPr>
                  <pic:blipFill>
                    <a:blip r:embed="rId5"/>
                    <a:stretch>
                      <a:fillRect/>
                    </a:stretch>
                  </pic:blipFill>
                  <pic:spPr>
                    <a:xfrm>
                      <a:off x="0" y="0"/>
                      <a:ext cx="5847715" cy="4678680"/>
                    </a:xfrm>
                    <a:prstGeom prst="rect">
                      <a:avLst/>
                    </a:prstGeom>
                  </pic:spPr>
                </pic:pic>
              </a:graphicData>
            </a:graphic>
          </wp:inline>
        </w:drawing>
      </w: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p>
    <w:p>
      <w:pPr>
        <w:jc w:val="both"/>
        <w:rPr>
          <w:rFonts w:hint="eastAsia" w:ascii="Times New Roman" w:hAnsi="Times New Roman" w:cs="Times New Roman"/>
          <w:b/>
          <w:bCs/>
          <w:sz w:val="24"/>
          <w:szCs w:val="32"/>
          <w:lang w:val="en-US" w:eastAsia="zh-CN"/>
        </w:rPr>
      </w:pPr>
      <w:bookmarkStart w:id="4" w:name="OLE_LINK1"/>
    </w:p>
    <w:p>
      <w:pPr>
        <w:jc w:val="both"/>
        <w:rPr>
          <w:rFonts w:hint="default" w:ascii="Arial" w:hAnsi="Arial" w:cs="Arial"/>
          <w:b w:val="0"/>
          <w:bCs w:val="0"/>
          <w:sz w:val="22"/>
          <w:szCs w:val="22"/>
          <w:lang w:val="en-US" w:eastAsia="zh-CN"/>
        </w:rPr>
      </w:pPr>
      <w:r>
        <w:rPr>
          <w:rFonts w:hint="default" w:ascii="Arial" w:hAnsi="Arial" w:cs="Arial"/>
          <w:b/>
          <w:bCs/>
          <w:sz w:val="22"/>
          <w:szCs w:val="22"/>
          <w:lang w:val="en-US" w:eastAsia="zh-CN"/>
        </w:rPr>
        <w:t>Figure S</w:t>
      </w:r>
      <w:bookmarkEnd w:id="4"/>
      <w:r>
        <w:rPr>
          <w:rFonts w:hint="default" w:ascii="Arial" w:hAnsi="Arial" w:cs="Arial"/>
          <w:b/>
          <w:bCs/>
          <w:sz w:val="22"/>
          <w:szCs w:val="22"/>
          <w:lang w:val="en-US" w:eastAsia="zh-CN"/>
        </w:rPr>
        <w:t xml:space="preserve">3. </w:t>
      </w:r>
      <w:r>
        <w:rPr>
          <w:rFonts w:hint="default" w:ascii="Arial" w:hAnsi="Arial" w:cs="Arial"/>
          <w:b w:val="0"/>
          <w:bCs w:val="0"/>
          <w:sz w:val="22"/>
          <w:szCs w:val="22"/>
          <w:lang w:val="en-US" w:eastAsia="zh-CN"/>
        </w:rPr>
        <w:t xml:space="preserve">Relationship between </w:t>
      </w:r>
      <w:bookmarkStart w:id="5" w:name="OLE_LINK3"/>
      <w:r>
        <w:rPr>
          <w:rFonts w:hint="default" w:ascii="Arial" w:hAnsi="Arial" w:cs="Arial"/>
          <w:b w:val="0"/>
          <w:bCs w:val="0"/>
          <w:sz w:val="22"/>
          <w:szCs w:val="22"/>
          <w:lang w:val="en-US" w:eastAsia="zh-CN"/>
        </w:rPr>
        <w:t>cumulative drug dose</w:t>
      </w:r>
      <w:bookmarkEnd w:id="5"/>
      <w:r>
        <w:rPr>
          <w:rFonts w:hint="default" w:ascii="Arial" w:hAnsi="Arial" w:cs="Arial"/>
          <w:b w:val="0"/>
          <w:bCs w:val="0"/>
          <w:sz w:val="22"/>
          <w:szCs w:val="22"/>
          <w:lang w:val="en-US" w:eastAsia="zh-CN"/>
        </w:rPr>
        <w:t xml:space="preserve"> and reduced bone mass</w:t>
      </w:r>
    </w:p>
    <w:p>
      <w:pPr>
        <w:jc w:val="both"/>
        <w:rPr>
          <w:rFonts w:hint="default" w:ascii="Times New Roman" w:hAnsi="Times New Roman" w:cs="Times New Roman"/>
          <w:b w:val="0"/>
          <w:bCs w:val="0"/>
          <w:sz w:val="24"/>
          <w:szCs w:val="32"/>
          <w:lang w:val="en-US" w:eastAsia="zh-CN"/>
        </w:rPr>
      </w:pPr>
    </w:p>
    <w:p>
      <w:pPr>
        <w:jc w:val="both"/>
        <w:rPr>
          <w:rFonts w:hint="default" w:ascii="Times New Roman" w:hAnsi="Times New Roman" w:cs="Times New Roman"/>
          <w:b w:val="0"/>
          <w:bCs w:val="0"/>
          <w:sz w:val="24"/>
          <w:szCs w:val="32"/>
          <w:lang w:val="en-US" w:eastAsia="zh-CN"/>
        </w:rPr>
      </w:pPr>
      <w:r>
        <w:rPr>
          <w:rFonts w:hint="default" w:ascii="Times New Roman" w:hAnsi="Times New Roman" w:cs="Times New Roman"/>
          <w:b w:val="0"/>
          <w:bCs w:val="0"/>
          <w:sz w:val="24"/>
          <w:szCs w:val="32"/>
          <w:lang w:val="en-US" w:eastAsia="zh-CN"/>
        </w:rPr>
        <w:drawing>
          <wp:inline distT="0" distB="0" distL="114300" distR="114300">
            <wp:extent cx="5436870" cy="4077335"/>
            <wp:effectExtent l="0" t="0" r="3810" b="6985"/>
            <wp:docPr id="2" name="图片 2"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ure S3"/>
                    <pic:cNvPicPr>
                      <a:picLocks noChangeAspect="1"/>
                    </pic:cNvPicPr>
                  </pic:nvPicPr>
                  <pic:blipFill>
                    <a:blip r:embed="rId6"/>
                    <a:stretch>
                      <a:fillRect/>
                    </a:stretch>
                  </pic:blipFill>
                  <pic:spPr>
                    <a:xfrm>
                      <a:off x="0" y="0"/>
                      <a:ext cx="5436870" cy="4077335"/>
                    </a:xfrm>
                    <a:prstGeom prst="rect">
                      <a:avLst/>
                    </a:prstGeom>
                  </pic:spPr>
                </pic:pic>
              </a:graphicData>
            </a:graphic>
          </wp:inline>
        </w:drawing>
      </w:r>
    </w:p>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default" w:ascii="Arial" w:hAnsi="Arial" w:cs="Arial"/>
          <w:b/>
          <w:bCs/>
          <w:sz w:val="22"/>
          <w:szCs w:val="22"/>
          <w:lang w:val="en-US" w:eastAsia="zh-CN"/>
        </w:rPr>
      </w:pPr>
      <w:r>
        <w:rPr>
          <w:rFonts w:hint="default" w:ascii="Arial" w:hAnsi="Arial" w:cs="Arial"/>
          <w:b/>
          <w:bCs/>
          <w:sz w:val="22"/>
          <w:szCs w:val="22"/>
          <w:lang w:val="en-US" w:eastAsia="zh-CN"/>
        </w:rPr>
        <w:t>Figure S4</w:t>
      </w:r>
      <w:r>
        <w:rPr>
          <w:rFonts w:hint="eastAsia" w:ascii="Arial" w:hAnsi="Arial" w:cs="Arial"/>
          <w:b/>
          <w:bCs/>
          <w:sz w:val="22"/>
          <w:szCs w:val="22"/>
          <w:lang w:val="en-US" w:eastAsia="zh-CN"/>
        </w:rPr>
        <w:t>.</w:t>
      </w:r>
      <w:r>
        <w:rPr>
          <w:rFonts w:hint="default" w:ascii="Arial" w:hAnsi="Arial" w:cs="Arial"/>
          <w:b/>
          <w:bCs/>
          <w:sz w:val="22"/>
          <w:szCs w:val="22"/>
          <w:lang w:val="en-US" w:eastAsia="zh-CN"/>
        </w:rPr>
        <w:t xml:space="preserve"> </w:t>
      </w:r>
      <w:r>
        <w:rPr>
          <w:rFonts w:hint="default" w:ascii="Arial" w:hAnsi="Arial" w:cs="Arial"/>
          <w:b w:val="0"/>
          <w:bCs w:val="0"/>
          <w:sz w:val="22"/>
          <w:szCs w:val="22"/>
          <w:lang w:val="en-US" w:eastAsia="zh-CN"/>
        </w:rPr>
        <w:t>Association between cumulative drug dose and reduced bone mass in various subgroups</w:t>
      </w: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r>
        <w:rPr>
          <w:rFonts w:hint="eastAsia" w:ascii="Times New Roman" w:hAnsi="Times New Roman" w:cs="Times New Roman"/>
          <w:b/>
          <w:bCs/>
          <w:sz w:val="24"/>
          <w:szCs w:val="32"/>
          <w:lang w:val="en-US" w:eastAsia="zh-CN"/>
        </w:rPr>
        <w:drawing>
          <wp:inline distT="0" distB="0" distL="114300" distR="114300">
            <wp:extent cx="5942965" cy="3336290"/>
            <wp:effectExtent l="0" t="0" r="635" b="1270"/>
            <wp:docPr id="6" name="图片 6"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igure S3"/>
                    <pic:cNvPicPr>
                      <a:picLocks noChangeAspect="1"/>
                    </pic:cNvPicPr>
                  </pic:nvPicPr>
                  <pic:blipFill>
                    <a:blip r:embed="rId7"/>
                    <a:stretch>
                      <a:fillRect/>
                    </a:stretch>
                  </pic:blipFill>
                  <pic:spPr>
                    <a:xfrm>
                      <a:off x="0" y="0"/>
                      <a:ext cx="5942965" cy="3336290"/>
                    </a:xfrm>
                    <a:prstGeom prst="rect">
                      <a:avLst/>
                    </a:prstGeom>
                  </pic:spPr>
                </pic:pic>
              </a:graphicData>
            </a:graphic>
          </wp:inline>
        </w:drawing>
      </w: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Times New Roman" w:hAnsi="Times New Roman" w:cs="Times New Roman"/>
          <w:b/>
          <w:bCs/>
          <w:sz w:val="24"/>
          <w:szCs w:val="32"/>
          <w:lang w:val="en-US" w:eastAsia="zh-CN"/>
        </w:rPr>
      </w:pPr>
    </w:p>
    <w:p>
      <w:pPr>
        <w:rPr>
          <w:rFonts w:hint="eastAsia" w:ascii="Arial" w:hAnsi="Arial" w:cs="Arial"/>
          <w:b/>
          <w:bCs/>
          <w:sz w:val="22"/>
          <w:szCs w:val="22"/>
          <w:lang w:val="en-US" w:eastAsia="zh-CN"/>
        </w:rPr>
      </w:pPr>
      <w:r>
        <w:rPr>
          <w:rFonts w:hint="default" w:ascii="Arial" w:hAnsi="Arial" w:cs="Arial"/>
          <w:b/>
          <w:bCs/>
          <w:sz w:val="22"/>
          <w:szCs w:val="22"/>
          <w:lang w:val="en-US" w:eastAsia="zh-CN"/>
        </w:rPr>
        <w:t>Figure S5</w:t>
      </w:r>
      <w:r>
        <w:rPr>
          <w:rFonts w:hint="eastAsia" w:ascii="Arial" w:hAnsi="Arial" w:cs="Arial"/>
          <w:b/>
          <w:bCs/>
          <w:sz w:val="22"/>
          <w:szCs w:val="22"/>
          <w:lang w:val="en-US" w:eastAsia="zh-CN"/>
        </w:rPr>
        <w:t>.</w:t>
      </w:r>
      <w:r>
        <w:rPr>
          <w:rFonts w:hint="default" w:ascii="Arial" w:hAnsi="Arial" w:cs="Arial"/>
          <w:b/>
          <w:bCs/>
          <w:sz w:val="22"/>
          <w:szCs w:val="22"/>
          <w:lang w:val="en-US" w:eastAsia="zh-CN"/>
        </w:rPr>
        <w:t xml:space="preserve"> Association between cumulative drug dose and reduced bone mass in medication subgroups</w:t>
      </w:r>
      <w:r>
        <w:rPr>
          <w:rFonts w:hint="eastAsia" w:ascii="Arial" w:hAnsi="Arial" w:cs="Arial"/>
          <w:b/>
          <w:bCs/>
          <w:sz w:val="22"/>
          <w:szCs w:val="22"/>
          <w:lang w:val="en-US" w:eastAsia="zh-CN"/>
        </w:rPr>
        <w:t>.</w:t>
      </w:r>
    </w:p>
    <w:p>
      <w:pPr>
        <w:rPr>
          <w:rFonts w:hint="default" w:ascii="Arial" w:hAnsi="Arial" w:cs="Arial"/>
          <w:b/>
          <w:bCs/>
          <w:sz w:val="22"/>
          <w:szCs w:val="22"/>
          <w:lang w:val="en-US" w:eastAsia="zh-CN"/>
        </w:rPr>
      </w:pPr>
    </w:p>
    <w:p>
      <w:pPr>
        <w:jc w:val="center"/>
        <w:rPr>
          <w:rFonts w:hint="default" w:ascii="Times New Roman" w:hAnsi="Times New Roman" w:cs="Times New Roman"/>
          <w:b/>
          <w:bCs/>
          <w:sz w:val="24"/>
          <w:szCs w:val="32"/>
          <w:lang w:val="en-US" w:eastAsia="zh-CN"/>
        </w:rPr>
      </w:pPr>
      <w:r>
        <w:rPr>
          <w:rFonts w:hint="default" w:ascii="Times New Roman" w:hAnsi="Times New Roman" w:cs="Times New Roman"/>
          <w:b/>
          <w:bCs/>
          <w:sz w:val="24"/>
          <w:szCs w:val="32"/>
          <w:lang w:val="en-US" w:eastAsia="zh-CN"/>
        </w:rPr>
        <w:drawing>
          <wp:inline distT="0" distB="0" distL="114300" distR="114300">
            <wp:extent cx="6106795" cy="3299460"/>
            <wp:effectExtent l="0" t="0" r="4445" b="7620"/>
            <wp:docPr id="5" name="图片 5" descr="Figure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igure S3"/>
                    <pic:cNvPicPr>
                      <a:picLocks noChangeAspect="1"/>
                    </pic:cNvPicPr>
                  </pic:nvPicPr>
                  <pic:blipFill>
                    <a:blip r:embed="rId8"/>
                    <a:stretch>
                      <a:fillRect/>
                    </a:stretch>
                  </pic:blipFill>
                  <pic:spPr>
                    <a:xfrm>
                      <a:off x="0" y="0"/>
                      <a:ext cx="6106795" cy="3299460"/>
                    </a:xfrm>
                    <a:prstGeom prst="rect">
                      <a:avLst/>
                    </a:prstGeom>
                  </pic:spPr>
                </pic:pic>
              </a:graphicData>
            </a:graphic>
          </wp:inline>
        </w:drawing>
      </w: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center"/>
        <w:rPr>
          <w:rFonts w:hint="default" w:ascii="Times New Roman" w:hAnsi="Times New Roman" w:cs="Times New Roman"/>
          <w:b/>
          <w:bCs/>
          <w:sz w:val="24"/>
          <w:szCs w:val="32"/>
          <w:lang w:val="en-US" w:eastAsia="zh-CN"/>
        </w:rPr>
      </w:pPr>
    </w:p>
    <w:p>
      <w:pPr>
        <w:jc w:val="left"/>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Times New Roman" w:hAnsi="Times New Roman" w:cs="Times New Roman"/>
          <w:b/>
          <w:bCs/>
          <w:sz w:val="24"/>
          <w:szCs w:val="32"/>
          <w:lang w:val="en-US" w:eastAsia="zh-CN"/>
        </w:rPr>
      </w:pPr>
    </w:p>
    <w:p>
      <w:pPr>
        <w:jc w:val="both"/>
        <w:rPr>
          <w:rFonts w:hint="default" w:ascii="Arial" w:hAnsi="Arial" w:cs="Arial"/>
          <w:b/>
          <w:bCs/>
          <w:sz w:val="22"/>
          <w:szCs w:val="22"/>
          <w:lang w:val="en-US" w:eastAsia="zh-CN"/>
        </w:rPr>
      </w:pPr>
      <w:r>
        <w:rPr>
          <w:rFonts w:hint="default" w:ascii="Arial" w:hAnsi="Arial" w:cs="Arial"/>
          <w:b/>
          <w:bCs/>
          <w:sz w:val="22"/>
          <w:szCs w:val="22"/>
          <w:lang w:val="en-US" w:eastAsia="zh-CN"/>
        </w:rPr>
        <w:t>References</w:t>
      </w:r>
    </w:p>
    <w:p>
      <w:pPr>
        <w:jc w:val="both"/>
        <w:rPr>
          <w:rFonts w:hint="default" w:ascii="Times New Roman" w:hAnsi="Times New Roman" w:cs="Times New Roman"/>
          <w:b/>
          <w:bCs/>
          <w:sz w:val="24"/>
          <w:szCs w:val="32"/>
          <w:lang w:val="en-US" w:eastAsia="zh-CN"/>
        </w:rPr>
      </w:pPr>
    </w:p>
    <w:p>
      <w:pPr>
        <w:pStyle w:val="8"/>
        <w:rPr>
          <w:rFonts w:hint="default" w:ascii="Arial" w:hAnsi="Arial" w:cs="Arial"/>
          <w:sz w:val="21"/>
          <w:szCs w:val="21"/>
        </w:rPr>
      </w:pPr>
      <w:r>
        <w:rPr>
          <w:rFonts w:hint="default" w:ascii="Arial" w:hAnsi="Arial" w:eastAsia="宋体" w:cs="Arial"/>
          <w:sz w:val="21"/>
          <w:szCs w:val="21"/>
          <w:lang w:val="en-US" w:eastAsia="zh-CN"/>
        </w:rPr>
        <w:t>1</w:t>
      </w:r>
      <w:r>
        <w:rPr>
          <w:rFonts w:hint="default" w:ascii="Arial" w:hAnsi="Arial" w:cs="Arial"/>
          <w:sz w:val="21"/>
          <w:szCs w:val="21"/>
        </w:rPr>
        <w:t>.</w:t>
      </w:r>
      <w:r>
        <w:rPr>
          <w:rFonts w:hint="default" w:ascii="Arial" w:hAnsi="Arial" w:cs="Arial"/>
          <w:sz w:val="21"/>
          <w:szCs w:val="21"/>
        </w:rPr>
        <w:tab/>
      </w:r>
      <w:r>
        <w:rPr>
          <w:rFonts w:hint="default" w:ascii="Arial" w:hAnsi="Arial" w:cs="Arial"/>
          <w:sz w:val="21"/>
          <w:szCs w:val="21"/>
        </w:rPr>
        <w:t>Funder JW, Carey RM, Mantero F, Murad MH, Reincke M, Shibata H, et al. The Management of Primary Aldosteronism: Case Detection, Diagnosis, and Treatment: An Endocrine Society Clinical Practice Guideline. The Journal of clinical endocrinology and metabolism. 2016;101(5):1889-916. Epub 2016/03/05. doi: 10.1210/jc.2015-4061. PubMed PMID: 26934393.</w:t>
      </w:r>
    </w:p>
    <w:p>
      <w:pPr>
        <w:pStyle w:val="8"/>
        <w:rPr>
          <w:rFonts w:hint="default" w:ascii="Arial" w:hAnsi="Arial" w:cs="Arial"/>
          <w:sz w:val="21"/>
          <w:szCs w:val="21"/>
        </w:rPr>
      </w:pPr>
      <w:r>
        <w:rPr>
          <w:rFonts w:hint="default" w:ascii="Arial" w:hAnsi="Arial" w:eastAsia="宋体" w:cs="Arial"/>
          <w:sz w:val="21"/>
          <w:szCs w:val="21"/>
          <w:lang w:val="en-US" w:eastAsia="zh-CN"/>
        </w:rPr>
        <w:t>2</w:t>
      </w:r>
      <w:r>
        <w:rPr>
          <w:rFonts w:hint="default" w:ascii="Arial" w:hAnsi="Arial" w:cs="Arial"/>
          <w:sz w:val="21"/>
          <w:szCs w:val="21"/>
        </w:rPr>
        <w:t>.</w:t>
      </w:r>
      <w:r>
        <w:rPr>
          <w:rFonts w:hint="default" w:ascii="Arial" w:hAnsi="Arial" w:cs="Arial"/>
          <w:sz w:val="21"/>
          <w:szCs w:val="21"/>
        </w:rPr>
        <w:tab/>
      </w:r>
      <w:r>
        <w:rPr>
          <w:rFonts w:hint="default" w:ascii="Arial" w:hAnsi="Arial" w:cs="Arial"/>
          <w:sz w:val="21"/>
          <w:szCs w:val="21"/>
        </w:rPr>
        <w:t>Clemons M, Simmons C. Identifying menopause in breast cancer patients: considerations and implications. Breast cancer research and treatment. 2007;104(2):115-20. Epub 2006/10/25. doi: 10.1007/s10549-006-9401-y. PubMed PMID: 17061039.</w:t>
      </w:r>
    </w:p>
    <w:p>
      <w:pPr>
        <w:pStyle w:val="8"/>
        <w:rPr>
          <w:rFonts w:hint="default" w:ascii="Arial" w:hAnsi="Arial" w:cs="Arial"/>
          <w:sz w:val="21"/>
          <w:szCs w:val="21"/>
        </w:rPr>
      </w:pPr>
      <w:r>
        <w:rPr>
          <w:rFonts w:hint="default" w:ascii="Arial" w:hAnsi="Arial" w:eastAsia="宋体" w:cs="Arial"/>
          <w:sz w:val="21"/>
          <w:szCs w:val="21"/>
          <w:lang w:val="en-US" w:eastAsia="zh-CN"/>
        </w:rPr>
        <w:t>3</w:t>
      </w:r>
      <w:r>
        <w:rPr>
          <w:rFonts w:hint="default" w:ascii="Arial" w:hAnsi="Arial" w:cs="Arial"/>
          <w:sz w:val="21"/>
          <w:szCs w:val="21"/>
        </w:rPr>
        <w:t>.</w:t>
      </w:r>
      <w:r>
        <w:rPr>
          <w:rFonts w:hint="default" w:ascii="Arial" w:hAnsi="Arial" w:cs="Arial"/>
          <w:sz w:val="21"/>
          <w:szCs w:val="21"/>
        </w:rPr>
        <w:tab/>
      </w:r>
      <w:r>
        <w:rPr>
          <w:rFonts w:hint="default" w:ascii="Arial" w:hAnsi="Arial" w:cs="Arial"/>
          <w:sz w:val="21"/>
          <w:szCs w:val="21"/>
        </w:rPr>
        <w:t>Wen Z, Li Y, Xu L, Yue C, Wang Q, Chen R, et al. Triglyceride Glucose-Body Mass Index Is a Reliable Indicator of Bone Mineral Density and Risk of Osteoporotic Fracture in Middle-Aged and Elderly Nondiabetic Chinese Individuals. Journal of clinical medicine. 2022;11(19). Epub 2022/10/15. doi: 10.3390/jcm11195694. PubMed PMID: 36233562; PubMed Central PMCID: PMCPMC9572437.</w:t>
      </w:r>
    </w:p>
    <w:p>
      <w:pPr>
        <w:jc w:val="both"/>
        <w:rPr>
          <w:rFonts w:hint="default" w:ascii="Arial" w:hAnsi="Arial" w:cs="Arial"/>
          <w:b/>
          <w:bCs/>
          <w:sz w:val="21"/>
          <w:szCs w:val="21"/>
          <w:lang w:val="en-US" w:eastAsia="zh-CN"/>
        </w:rPr>
      </w:pPr>
      <w:r>
        <w:rPr>
          <w:rFonts w:hint="default" w:ascii="Arial" w:hAnsi="Arial" w:cs="Arial"/>
          <w:sz w:val="21"/>
          <w:szCs w:val="21"/>
          <w:lang w:val="en-US" w:eastAsia="zh-CN"/>
        </w:rPr>
        <w:t>4</w:t>
      </w:r>
      <w:r>
        <w:rPr>
          <w:rFonts w:hint="default" w:ascii="Arial" w:hAnsi="Arial" w:cs="Arial"/>
          <w:sz w:val="21"/>
          <w:szCs w:val="21"/>
        </w:rPr>
        <w:t>.</w:t>
      </w:r>
      <w:r>
        <w:rPr>
          <w:rFonts w:hint="default" w:ascii="Arial" w:hAnsi="Arial" w:cs="Arial"/>
          <w:sz w:val="21"/>
          <w:szCs w:val="21"/>
        </w:rPr>
        <w:tab/>
      </w:r>
      <w:r>
        <w:rPr>
          <w:rFonts w:hint="default" w:ascii="Arial" w:hAnsi="Arial" w:cs="Arial"/>
          <w:sz w:val="21"/>
          <w:szCs w:val="21"/>
        </w:rPr>
        <w:t>Chan CY, Subramaniam S, Chin KY, Ima-Nirwana S, Muhammad N, Fairus A, et al. Levels of Knowledge, Beliefs, and Practices Regarding Osteoporosis and the Associations with Bone Mineral Density among Populations More Than 40 Years Old in Malaysia. International journal of environmental research and public health. 2019;16(21). Epub 2019/11/17. doi: 10.3390/ijerph16214115. PubMed PMID: 31731507; PubMed Central PMCID: PMCPMC6861980.</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C41DC1"/>
    <w:multiLevelType w:val="multilevel"/>
    <w:tmpl w:val="79C41DC1"/>
    <w:lvl w:ilvl="0" w:tentative="0">
      <w:start w:val="1"/>
      <w:numFmt w:val="decimal"/>
      <w:lvlText w:val="%1"/>
      <w:lvlJc w:val="left"/>
      <w:pPr>
        <w:tabs>
          <w:tab w:val="left" w:pos="567"/>
        </w:tabs>
        <w:ind w:left="567" w:hanging="567"/>
      </w:pPr>
      <w:rPr>
        <w:rFonts w:hint="default" w:ascii="Times New Roman" w:hAnsi="Times New Roman" w:cs="Times New Roman"/>
        <w:b/>
        <w:bCs/>
      </w:rPr>
    </w:lvl>
    <w:lvl w:ilvl="1" w:tentative="0">
      <w:start w:val="1"/>
      <w:numFmt w:val="decimal"/>
      <w:lvlText w:val="%1.%2"/>
      <w:lvlJc w:val="left"/>
      <w:pPr>
        <w:tabs>
          <w:tab w:val="left" w:pos="567"/>
        </w:tabs>
        <w:ind w:left="567" w:hanging="567"/>
      </w:pPr>
      <w:rPr>
        <w:rFonts w:hint="default" w:ascii="Times New Roman" w:hAnsi="Times New Roman" w:cs="Times New Roman"/>
      </w:rPr>
    </w:lvl>
    <w:lvl w:ilvl="2" w:tentative="0">
      <w:start w:val="1"/>
      <w:numFmt w:val="decimal"/>
      <w:lvlText w:val="%1.%2.%3"/>
      <w:lvlJc w:val="left"/>
      <w:pPr>
        <w:tabs>
          <w:tab w:val="left" w:pos="567"/>
        </w:tabs>
        <w:ind w:left="567" w:hanging="567"/>
      </w:pPr>
      <w:rPr>
        <w:rFonts w:hint="default" w:ascii="Times New Roman" w:hAnsi="Times New Roman" w:cs="Times New Roman"/>
      </w:rPr>
    </w:lvl>
    <w:lvl w:ilvl="3" w:tentative="0">
      <w:start w:val="1"/>
      <w:numFmt w:val="decimal"/>
      <w:lvlText w:val="%1.%2.%3.%4"/>
      <w:lvlJc w:val="left"/>
      <w:pPr>
        <w:tabs>
          <w:tab w:val="left" w:pos="567"/>
        </w:tabs>
        <w:ind w:left="567" w:hanging="567"/>
      </w:pPr>
      <w:rPr>
        <w:rFonts w:hint="default" w:ascii="Times New Roman" w:hAnsi="Times New Roman" w:cs="Times New Roman"/>
      </w:rPr>
    </w:lvl>
    <w:lvl w:ilvl="4" w:tentative="0">
      <w:start w:val="1"/>
      <w:numFmt w:val="decimal"/>
      <w:lvlText w:val="%1.%2.%3.%4.%5"/>
      <w:lvlJc w:val="left"/>
      <w:pPr>
        <w:tabs>
          <w:tab w:val="left" w:pos="567"/>
        </w:tabs>
        <w:ind w:left="567" w:hanging="567"/>
      </w:pPr>
      <w:rPr>
        <w:rFonts w:hint="default" w:ascii="Times New Roman" w:hAnsi="Times New Roman" w:cs="Times New Roman"/>
      </w:rPr>
    </w:lvl>
    <w:lvl w:ilvl="5" w:tentative="0">
      <w:start w:val="1"/>
      <w:numFmt w:val="lowerRoman"/>
      <w:lvlText w:val="%6."/>
      <w:lvlJc w:val="right"/>
      <w:pPr>
        <w:tabs>
          <w:tab w:val="left" w:pos="567"/>
        </w:tabs>
        <w:ind w:left="567" w:hanging="567"/>
      </w:pPr>
      <w:rPr>
        <w:rFonts w:hint="default" w:ascii="Times New Roman" w:hAnsi="Times New Roman" w:cs="Times New Roman"/>
      </w:rPr>
    </w:lvl>
    <w:lvl w:ilvl="6" w:tentative="0">
      <w:start w:val="1"/>
      <w:numFmt w:val="decimal"/>
      <w:lvlText w:val="%7."/>
      <w:lvlJc w:val="left"/>
      <w:pPr>
        <w:tabs>
          <w:tab w:val="left" w:pos="567"/>
        </w:tabs>
        <w:ind w:left="567" w:hanging="567"/>
      </w:pPr>
      <w:rPr>
        <w:rFonts w:hint="default" w:ascii="Times New Roman" w:hAnsi="Times New Roman" w:cs="Times New Roman"/>
      </w:rPr>
    </w:lvl>
    <w:lvl w:ilvl="7" w:tentative="0">
      <w:start w:val="1"/>
      <w:numFmt w:val="lowerLetter"/>
      <w:lvlText w:val="%8."/>
      <w:lvlJc w:val="left"/>
      <w:pPr>
        <w:tabs>
          <w:tab w:val="left" w:pos="567"/>
        </w:tabs>
        <w:ind w:left="567" w:hanging="567"/>
      </w:pPr>
      <w:rPr>
        <w:rFonts w:hint="default" w:ascii="Times New Roman" w:hAnsi="Times New Roman" w:cs="Times New Roman"/>
      </w:rPr>
    </w:lvl>
    <w:lvl w:ilvl="8" w:tentative="0">
      <w:start w:val="1"/>
      <w:numFmt w:val="lowerRoman"/>
      <w:lvlText w:val="%9."/>
      <w:lvlJc w:val="right"/>
      <w:pPr>
        <w:tabs>
          <w:tab w:val="left" w:pos="567"/>
        </w:tabs>
        <w:ind w:left="567" w:hanging="567"/>
      </w:pPr>
      <w:rPr>
        <w:rFonts w:hint="default"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1NjVlY2UxMjhiNDc0ZTQxODIwNWY5ZWJlOWU2MzUifQ=="/>
  </w:docVars>
  <w:rsids>
    <w:rsidRoot w:val="1E575033"/>
    <w:rsid w:val="038777A3"/>
    <w:rsid w:val="0B973E66"/>
    <w:rsid w:val="0C585331"/>
    <w:rsid w:val="19896A2C"/>
    <w:rsid w:val="1E1934C9"/>
    <w:rsid w:val="1E575033"/>
    <w:rsid w:val="2557228E"/>
    <w:rsid w:val="2B3746D9"/>
    <w:rsid w:val="31412AAA"/>
    <w:rsid w:val="348B6582"/>
    <w:rsid w:val="3B977A53"/>
    <w:rsid w:val="42D576B4"/>
    <w:rsid w:val="436E7017"/>
    <w:rsid w:val="4FFB2094"/>
    <w:rsid w:val="52AF2D38"/>
    <w:rsid w:val="57F9464C"/>
    <w:rsid w:val="644C4093"/>
    <w:rsid w:val="676A70E6"/>
    <w:rsid w:val="6DD540A7"/>
    <w:rsid w:val="790268EB"/>
    <w:rsid w:val="79824452"/>
    <w:rsid w:val="7DCC09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9"/>
    <w:pPr>
      <w:spacing w:before="240"/>
      <w:ind w:left="567" w:hanging="567"/>
      <w:outlineLvl w:val="0"/>
    </w:pPr>
    <w:rPr>
      <w:rFonts w:eastAsia="Calibri" w:cs="Times New Roman"/>
      <w:b/>
      <w:szCs w:val="24"/>
      <w:lang w:eastAsia="zh-CN"/>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Title"/>
    <w:basedOn w:val="1"/>
    <w:next w:val="1"/>
    <w:autoRedefine/>
    <w:qFormat/>
    <w:uiPriority w:val="0"/>
    <w:pPr>
      <w:suppressLineNumbers/>
      <w:spacing w:before="240" w:after="360"/>
      <w:jc w:val="center"/>
    </w:pPr>
    <w:rPr>
      <w:rFonts w:cs="Times New Roman"/>
      <w:b/>
      <w:sz w:val="32"/>
      <w:szCs w:val="32"/>
    </w:rPr>
  </w:style>
  <w:style w:type="paragraph" w:styleId="6">
    <w:name w:val="List Paragraph"/>
    <w:basedOn w:val="1"/>
    <w:autoRedefine/>
    <w:unhideWhenUsed/>
    <w:qFormat/>
    <w:uiPriority w:val="99"/>
    <w:pPr>
      <w:ind w:firstLine="420" w:firstLineChars="200"/>
    </w:pPr>
  </w:style>
  <w:style w:type="paragraph" w:customStyle="1" w:styleId="7">
    <w:name w:val="Supplementary Material"/>
    <w:basedOn w:val="3"/>
    <w:next w:val="3"/>
    <w:autoRedefine/>
    <w:qFormat/>
    <w:uiPriority w:val="0"/>
    <w:pPr>
      <w:spacing w:after="120"/>
    </w:pPr>
    <w:rPr>
      <w:i/>
    </w:rPr>
  </w:style>
  <w:style w:type="paragraph" w:customStyle="1" w:styleId="8">
    <w:name w:val="EndNote Bibliography"/>
    <w:autoRedefine/>
    <w:qFormat/>
    <w:uiPriority w:val="0"/>
    <w:pPr>
      <w:jc w:val="both"/>
    </w:pPr>
    <w:rPr>
      <w:rFonts w:ascii="Times New Roman" w:hAnsi="Times New Roman" w:cs="Times New Roman" w:eastAsiaTheme="minorHAnsi"/>
      <w:sz w:val="24"/>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35</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2024-01-26T09:55:00Z</dcterms:created>
  <dc:creator>小宋</dc:creator>
  <cp:lastModifiedBy>小宋</cp:lastModifiedBy>
  <dcterms:modified xsi:type="dcterms:W3CDTF">2024-05-18T10:19:24Z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BF0232B966FA42378404A7190344A812_11</vt:lpwstr>
  </property>
</Properties>
</file>