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4126230" cy="1548130"/>
            <wp:effectExtent l="0" t="0" r="381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7141" cy="1548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 xml:space="preserve"> The regulatory effect of hENT1 on the chemosensitivity of pancreatic cancer cells to </w:t>
      </w:r>
      <w:r>
        <w:rPr>
          <w:rFonts w:hint="eastAsia" w:ascii="Times New Roman" w:hAnsi="Times New Roman" w:cs="Times New Roman"/>
          <w:lang w:val="en-US" w:eastAsia="zh-CN"/>
        </w:rPr>
        <w:t>Gemcitabine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widowControl/>
        <w:jc w:val="left"/>
        <w:rPr>
          <w:rFonts w:ascii="Times New Roman" w:hAnsi="Times New Roman" w:cs="Times New Roman"/>
          <w:sz w:val="24"/>
        </w:rPr>
      </w:pPr>
    </w:p>
    <w:p>
      <w:pPr>
        <w:tabs>
          <w:tab w:val="left" w:pos="420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</w:p>
    <w:p>
      <w:pPr>
        <w:jc w:val="left"/>
        <w:rPr>
          <w:rFonts w:hint="default" w:ascii="Cambria" w:hAnsi="Cambria" w:cs="Cambria"/>
          <w:b/>
          <w:bCs/>
          <w:sz w:val="21"/>
          <w:szCs w:val="21"/>
        </w:rPr>
      </w:pPr>
      <w:r>
        <w:rPr>
          <w:rFonts w:hint="eastAsia" w:ascii="Cambria" w:hAnsi="Cambria" w:cs="Cambria"/>
          <w:b/>
          <w:bCs/>
          <w:sz w:val="21"/>
          <w:szCs w:val="21"/>
          <w:lang w:val="en-US" w:eastAsia="zh-CN"/>
        </w:rPr>
        <w:t xml:space="preserve">Supplementary </w:t>
      </w:r>
      <w:r>
        <w:rPr>
          <w:rFonts w:hint="default" w:ascii="Cambria" w:hAnsi="Cambria" w:cs="Cambria"/>
          <w:b/>
          <w:bCs/>
          <w:sz w:val="21"/>
          <w:szCs w:val="21"/>
        </w:rPr>
        <w:t>Table 1: Relationship between hENT1 expression and clinical characteristics</w:t>
      </w:r>
    </w:p>
    <w:tbl>
      <w:tblPr>
        <w:tblStyle w:val="4"/>
        <w:tblW w:w="0" w:type="auto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334"/>
        <w:gridCol w:w="1233"/>
        <w:gridCol w:w="1408"/>
        <w:gridCol w:w="1408"/>
        <w:gridCol w:w="1365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Merge w:val="restar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BEBEBE" w:themeFill="background1" w:themeFillShade="BF"/>
            <w:vAlign w:val="center"/>
          </w:tcPr>
          <w:p>
            <w:pPr>
              <w:spacing w:before="0" w:after="0" w:line="480" w:lineRule="auto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  <w:shd w:val="pct10" w:color="auto" w:fill="FFFFFF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Characteristics</w:t>
            </w:r>
          </w:p>
        </w:tc>
        <w:tc>
          <w:tcPr>
            <w:tcW w:w="2567" w:type="dxa"/>
            <w:gridSpan w:val="2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BEBEBE" w:themeFill="background1" w:themeFillShade="BF"/>
          </w:tcPr>
          <w:p>
            <w:pPr>
              <w:spacing w:before="0" w:after="0" w:line="240" w:lineRule="auto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  <w:shd w:val="pct10" w:color="auto" w:fill="FFFFFF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Patients</w:t>
            </w:r>
          </w:p>
        </w:tc>
        <w:tc>
          <w:tcPr>
            <w:tcW w:w="2816" w:type="dxa"/>
            <w:gridSpan w:val="2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BEBEBE" w:themeFill="background1" w:themeFillShade="BF"/>
          </w:tcPr>
          <w:p>
            <w:pPr>
              <w:spacing w:before="0" w:after="0" w:line="240" w:lineRule="auto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hENT1 expression</w:t>
            </w:r>
          </w:p>
        </w:tc>
        <w:tc>
          <w:tcPr>
            <w:tcW w:w="1365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  <w:shd w:val="clear" w:color="auto" w:fill="BEBEBE" w:themeFill="background1" w:themeFillShade="BF"/>
          </w:tcPr>
          <w:p>
            <w:pPr>
              <w:spacing w:before="0" w:after="0" w:line="240" w:lineRule="auto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Merge w:val="continue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334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n</w:t>
            </w:r>
          </w:p>
        </w:tc>
        <w:tc>
          <w:tcPr>
            <w:tcW w:w="1233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%</w:t>
            </w:r>
          </w:p>
        </w:tc>
        <w:tc>
          <w:tcPr>
            <w:tcW w:w="140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High</w:t>
            </w:r>
          </w:p>
        </w:tc>
        <w:tc>
          <w:tcPr>
            <w:tcW w:w="140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Low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P value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All patients</w:t>
            </w:r>
          </w:p>
        </w:tc>
        <w:tc>
          <w:tcPr>
            <w:tcW w:w="1334" w:type="dxa"/>
            <w:vAlign w:val="center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359</w:t>
            </w:r>
          </w:p>
        </w:tc>
        <w:tc>
          <w:tcPr>
            <w:tcW w:w="1233" w:type="dxa"/>
            <w:vAlign w:val="center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100</w:t>
            </w:r>
          </w:p>
        </w:tc>
        <w:tc>
          <w:tcPr>
            <w:tcW w:w="1408" w:type="dxa"/>
            <w:vAlign w:val="center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165</w:t>
            </w:r>
          </w:p>
        </w:tc>
        <w:tc>
          <w:tcPr>
            <w:tcW w:w="1408" w:type="dxa"/>
            <w:vAlign w:val="center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194</w:t>
            </w:r>
          </w:p>
        </w:tc>
        <w:tc>
          <w:tcPr>
            <w:tcW w:w="1365" w:type="dxa"/>
            <w:vAlign w:val="center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Sex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0.165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Male</w:t>
            </w:r>
          </w:p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Female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204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155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56.8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43.2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87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78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117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77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Age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0.432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&lt;65</w:t>
            </w:r>
          </w:p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≥65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239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120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66.6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33.4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106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59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133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61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Diabetes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0.758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Yes</w:t>
            </w:r>
          </w:p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No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48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308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13.4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85.8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21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144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27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164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Chronic pancreatitis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Yes</w:t>
            </w:r>
          </w:p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No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358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0.3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99.7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165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193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CA19-9, U/ml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&gt;467</w:t>
            </w:r>
          </w:p>
          <w:p>
            <w:pPr>
              <w:spacing w:line="480" w:lineRule="auto"/>
              <w:ind w:firstLine="316" w:firstLineChars="150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&lt;467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73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228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24.3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75.7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34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108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39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120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Pathological differentiation degree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0.032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High</w:t>
            </w:r>
          </w:p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Low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116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243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32.3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67.7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63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102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53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141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Capsular invasion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0.458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Yes</w:t>
            </w:r>
          </w:p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No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342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17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95.3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4.7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159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6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183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11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Vascular invasion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0.167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Yes</w:t>
            </w:r>
          </w:p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No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28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331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7.8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92.2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9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156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19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175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Neural infiltration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0.525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Yes</w:t>
            </w:r>
          </w:p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No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165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194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46.0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54.0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79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86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86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108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T classification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0.653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T1/2</w:t>
            </w:r>
          </w:p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T3/4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21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338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5.8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94.2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11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154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10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184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N classification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0.336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N0</w:t>
            </w:r>
          </w:p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N1/2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153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206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42.6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57.4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75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90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78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116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M classification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M0</w:t>
            </w:r>
          </w:p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M1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336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23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93.6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6.4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154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11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182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12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7" w:type="dxa"/>
            <w:gridSpan w:val="5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TNM stage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0.574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</w:tcPr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I/II</w:t>
            </w:r>
          </w:p>
          <w:p>
            <w:pPr>
              <w:spacing w:line="480" w:lineRule="auto"/>
              <w:ind w:firstLine="408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III/IV</w:t>
            </w:r>
          </w:p>
        </w:tc>
        <w:tc>
          <w:tcPr>
            <w:tcW w:w="1334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328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31</w:t>
            </w:r>
          </w:p>
        </w:tc>
        <w:tc>
          <w:tcPr>
            <w:tcW w:w="1233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91.4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8.6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149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16</w:t>
            </w:r>
          </w:p>
        </w:tc>
        <w:tc>
          <w:tcPr>
            <w:tcW w:w="140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179</w:t>
            </w: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15</w:t>
            </w:r>
          </w:p>
        </w:tc>
        <w:tc>
          <w:tcPr>
            <w:tcW w:w="1365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hint="default" w:ascii="Cambria" w:hAnsi="Cambria" w:cs="Cambria"/>
          <w:sz w:val="21"/>
          <w:szCs w:val="21"/>
        </w:rPr>
      </w:pPr>
    </w:p>
    <w:p>
      <w:pPr>
        <w:jc w:val="left"/>
        <w:rPr>
          <w:rFonts w:hint="default" w:ascii="Cambria" w:hAnsi="Cambria" w:cs="Cambria"/>
          <w:sz w:val="21"/>
          <w:szCs w:val="21"/>
        </w:rPr>
      </w:pPr>
    </w:p>
    <w:p>
      <w:pPr>
        <w:jc w:val="left"/>
        <w:rPr>
          <w:rFonts w:hint="default" w:ascii="Cambria" w:hAnsi="Cambria" w:cs="Cambria"/>
          <w:sz w:val="21"/>
          <w:szCs w:val="21"/>
        </w:rPr>
      </w:pPr>
    </w:p>
    <w:p>
      <w:pPr>
        <w:jc w:val="left"/>
        <w:rPr>
          <w:rFonts w:hint="default" w:ascii="Cambria" w:hAnsi="Cambria" w:cs="Cambria"/>
          <w:sz w:val="21"/>
          <w:szCs w:val="21"/>
        </w:rPr>
      </w:pPr>
    </w:p>
    <w:p>
      <w:pPr>
        <w:jc w:val="left"/>
        <w:rPr>
          <w:rFonts w:hint="default" w:ascii="Cambria" w:hAnsi="Cambria" w:cs="Cambria"/>
          <w:sz w:val="21"/>
          <w:szCs w:val="21"/>
        </w:rPr>
      </w:pPr>
    </w:p>
    <w:p>
      <w:pPr>
        <w:jc w:val="left"/>
        <w:rPr>
          <w:rFonts w:hint="default" w:ascii="Cambria" w:hAnsi="Cambria" w:cs="Cambria"/>
          <w:sz w:val="21"/>
          <w:szCs w:val="21"/>
        </w:rPr>
      </w:pPr>
    </w:p>
    <w:p>
      <w:pPr>
        <w:jc w:val="left"/>
        <w:rPr>
          <w:rFonts w:hint="default" w:ascii="Cambria" w:hAnsi="Cambria" w:cs="Cambria"/>
          <w:sz w:val="21"/>
          <w:szCs w:val="21"/>
        </w:rPr>
      </w:pPr>
    </w:p>
    <w:p>
      <w:pPr>
        <w:jc w:val="left"/>
        <w:rPr>
          <w:rFonts w:hint="default" w:ascii="Cambria" w:hAnsi="Cambria" w:cs="Cambria" w:eastAsiaTheme="minorEastAsia"/>
          <w:b/>
          <w:bCs/>
          <w:sz w:val="21"/>
          <w:szCs w:val="21"/>
          <w:lang w:val="en-US" w:eastAsia="zh-CN"/>
        </w:rPr>
      </w:pPr>
      <w:bookmarkStart w:id="0" w:name="OLE_LINK34"/>
      <w:bookmarkStart w:id="1" w:name="OLE_LINK33"/>
      <w:r>
        <w:rPr>
          <w:rFonts w:hint="eastAsia" w:ascii="Cambria" w:hAnsi="Cambria" w:cs="Cambria"/>
          <w:b/>
          <w:bCs/>
          <w:sz w:val="21"/>
          <w:szCs w:val="21"/>
          <w:lang w:val="en-US" w:eastAsia="zh-CN"/>
        </w:rPr>
        <w:t xml:space="preserve">Supplementary </w:t>
      </w:r>
      <w:r>
        <w:rPr>
          <w:rFonts w:hint="default" w:ascii="Cambria" w:hAnsi="Cambria" w:cs="Cambria"/>
          <w:b/>
          <w:bCs/>
          <w:sz w:val="21"/>
          <w:szCs w:val="21"/>
        </w:rPr>
        <w:t>Table 2: The univariate analysis of overall survival</w:t>
      </w:r>
      <w:r>
        <w:rPr>
          <w:rFonts w:hint="default" w:ascii="Cambria" w:hAnsi="Cambria" w:eastAsia="等线" w:cs="Cambria"/>
          <w:b/>
          <w:bCs/>
          <w:sz w:val="21"/>
          <w:szCs w:val="21"/>
        </w:rPr>
        <w:t xml:space="preserve"> </w:t>
      </w:r>
      <w:r>
        <w:rPr>
          <w:rFonts w:hint="default" w:ascii="Cambria" w:hAnsi="Cambria" w:cs="Cambria"/>
          <w:b/>
          <w:bCs/>
          <w:sz w:val="21"/>
          <w:szCs w:val="21"/>
        </w:rPr>
        <w:t xml:space="preserve">from the general population of patients and </w:t>
      </w:r>
      <w:r>
        <w:rPr>
          <w:rFonts w:hint="eastAsia" w:ascii="Cambria" w:hAnsi="Cambria" w:cs="Cambria"/>
          <w:b/>
          <w:bCs/>
          <w:sz w:val="21"/>
          <w:szCs w:val="21"/>
          <w:lang w:eastAsia="zh-CN"/>
        </w:rPr>
        <w:t>Gemcitabine</w:t>
      </w:r>
      <w:r>
        <w:rPr>
          <w:rFonts w:hint="default" w:ascii="Cambria" w:hAnsi="Cambria" w:cs="Cambria"/>
          <w:b/>
          <w:bCs/>
          <w:sz w:val="21"/>
          <w:szCs w:val="21"/>
        </w:rPr>
        <w:t>-treated patients</w:t>
      </w:r>
      <w:r>
        <w:rPr>
          <w:rFonts w:hint="eastAsia" w:ascii="Cambria" w:hAnsi="Cambria" w:cs="Cambria"/>
          <w:b/>
          <w:bCs/>
          <w:sz w:val="21"/>
          <w:szCs w:val="21"/>
          <w:lang w:val="en-US" w:eastAsia="zh-CN"/>
        </w:rPr>
        <w:t xml:space="preserve"> (N=299)</w:t>
      </w:r>
    </w:p>
    <w:tbl>
      <w:tblPr>
        <w:tblStyle w:val="3"/>
        <w:tblW w:w="11487" w:type="dxa"/>
        <w:tblInd w:w="-17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011"/>
        <w:gridCol w:w="2311"/>
        <w:gridCol w:w="1190"/>
        <w:gridCol w:w="1190"/>
        <w:gridCol w:w="1699"/>
        <w:gridCol w:w="2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</w:tcPr>
          <w:p>
            <w:pPr>
              <w:jc w:val="left"/>
              <w:rPr>
                <w:rFonts w:hint="default" w:ascii="Cambria" w:hAnsi="Cambria" w:cs="Cambria"/>
                <w:bCs/>
                <w:sz w:val="21"/>
                <w:szCs w:val="21"/>
              </w:rPr>
            </w:pPr>
            <w:r>
              <w:rPr>
                <w:rFonts w:hint="default" w:ascii="Cambria" w:hAnsi="Cambria" w:cs="Cambria"/>
                <w:bCs/>
                <w:sz w:val="21"/>
                <w:szCs w:val="21"/>
              </w:rPr>
              <w:t>Characteristics</w:t>
            </w:r>
          </w:p>
        </w:tc>
        <w:tc>
          <w:tcPr>
            <w:tcW w:w="9321" w:type="dxa"/>
            <w:gridSpan w:val="6"/>
            <w:tcBorders>
              <w:top w:val="single" w:color="000000" w:themeColor="text1" w:sz="8" w:space="0"/>
              <w:bottom w:val="single" w:color="000000" w:themeColor="text1" w:sz="8" w:space="0"/>
              <w:right w:val="nil"/>
            </w:tcBorders>
          </w:tcPr>
          <w:p>
            <w:pPr>
              <w:ind w:firstLine="3162" w:firstLineChars="1500"/>
              <w:jc w:val="left"/>
              <w:rPr>
                <w:rFonts w:hint="default" w:ascii="Cambria" w:hAnsi="Cambria" w:cs="Cambria"/>
                <w:b/>
                <w:bCs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sz w:val="21"/>
                <w:szCs w:val="21"/>
              </w:rPr>
              <w:t>OS (overall survival)</w:t>
            </w:r>
          </w:p>
          <w:p>
            <w:pPr>
              <w:jc w:val="left"/>
              <w:rPr>
                <w:rFonts w:hint="default" w:ascii="Cambria" w:hAnsi="Cambria" w:cs="Cambria"/>
                <w:b/>
                <w:bCs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sz w:val="21"/>
                <w:szCs w:val="21"/>
              </w:rPr>
              <w:t xml:space="preserve">General population                                </w:t>
            </w:r>
            <w:r>
              <w:rPr>
                <w:rFonts w:hint="eastAsia" w:ascii="Cambria" w:hAnsi="Cambria" w:cs="Cambria"/>
                <w:b/>
                <w:bCs/>
                <w:sz w:val="21"/>
                <w:szCs w:val="21"/>
                <w:lang w:eastAsia="zh-CN"/>
              </w:rPr>
              <w:t>Gemcitabine</w:t>
            </w:r>
            <w:r>
              <w:rPr>
                <w:rFonts w:hint="default" w:ascii="Cambria" w:hAnsi="Cambria" w:cs="Cambria"/>
                <w:b/>
                <w:bCs/>
                <w:sz w:val="21"/>
                <w:szCs w:val="21"/>
              </w:rPr>
              <w:t>-treated patients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sz w:val="21"/>
                <w:szCs w:val="21"/>
              </w:rPr>
              <w:t>Hazard ratio (HR)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sz w:val="21"/>
                <w:szCs w:val="21"/>
              </w:rPr>
              <w:t>95% CI</w:t>
            </w:r>
          </w:p>
          <w:p>
            <w:pPr>
              <w:jc w:val="left"/>
              <w:rPr>
                <w:rFonts w:hint="default" w:ascii="Cambria" w:hAnsi="Cambria" w:cs="Cambria"/>
                <w:b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sz w:val="21"/>
                <w:szCs w:val="21"/>
              </w:rPr>
              <w:t>(confidence</w:t>
            </w:r>
          </w:p>
          <w:p>
            <w:pPr>
              <w:jc w:val="left"/>
              <w:rPr>
                <w:rFonts w:hint="default" w:ascii="Cambria" w:hAnsi="Cambria" w:cs="Cambria"/>
                <w:b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sz w:val="21"/>
                <w:szCs w:val="21"/>
              </w:rPr>
              <w:t>interval)</w:t>
            </w: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sz w:val="21"/>
                <w:szCs w:val="21"/>
              </w:rPr>
              <w:t>P value</w:t>
            </w: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sz w:val="21"/>
                <w:szCs w:val="21"/>
              </w:rPr>
              <w:t>Hazard</w:t>
            </w:r>
          </w:p>
          <w:p>
            <w:pPr>
              <w:jc w:val="left"/>
              <w:rPr>
                <w:rFonts w:hint="default" w:ascii="Cambria" w:hAnsi="Cambria" w:cs="Cambria"/>
                <w:b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sz w:val="21"/>
                <w:szCs w:val="21"/>
              </w:rPr>
              <w:t>Ratio</w:t>
            </w:r>
          </w:p>
          <w:p>
            <w:pPr>
              <w:jc w:val="left"/>
              <w:rPr>
                <w:rFonts w:hint="default" w:ascii="Cambria" w:hAnsi="Cambria" w:cs="Cambria"/>
                <w:b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sz w:val="21"/>
                <w:szCs w:val="21"/>
              </w:rPr>
              <w:t>(HR)</w:t>
            </w:r>
          </w:p>
        </w:tc>
        <w:tc>
          <w:tcPr>
            <w:tcW w:w="1667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sz w:val="21"/>
                <w:szCs w:val="21"/>
              </w:rPr>
              <w:t>95% CI</w:t>
            </w:r>
          </w:p>
          <w:p>
            <w:pPr>
              <w:jc w:val="left"/>
              <w:rPr>
                <w:rFonts w:hint="default" w:ascii="Cambria" w:hAnsi="Cambria" w:cs="Cambria"/>
                <w:b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sz w:val="21"/>
                <w:szCs w:val="21"/>
              </w:rPr>
              <w:t>(confidence</w:t>
            </w:r>
          </w:p>
          <w:p>
            <w:pPr>
              <w:jc w:val="left"/>
              <w:rPr>
                <w:rFonts w:hint="default" w:ascii="Cambria" w:hAnsi="Cambria" w:cs="Cambria"/>
                <w:b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sz w:val="21"/>
                <w:szCs w:val="21"/>
              </w:rPr>
              <w:t>Interval)</w:t>
            </w:r>
          </w:p>
        </w:tc>
        <w:tc>
          <w:tcPr>
            <w:tcW w:w="205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sz w:val="21"/>
                <w:szCs w:val="21"/>
              </w:rPr>
              <w:t>P 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hint="default" w:ascii="Cambria" w:hAnsi="Cambria" w:cs="Cambria"/>
                <w:bCs/>
                <w:sz w:val="21"/>
                <w:szCs w:val="21"/>
              </w:rPr>
            </w:pPr>
            <w:r>
              <w:rPr>
                <w:rFonts w:hint="default" w:ascii="Cambria" w:hAnsi="Cambria" w:cs="Cambria"/>
                <w:bCs/>
                <w:sz w:val="21"/>
                <w:szCs w:val="21"/>
              </w:rPr>
              <w:t>M classification</w:t>
            </w:r>
          </w:p>
        </w:tc>
        <w:tc>
          <w:tcPr>
            <w:tcW w:w="992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0.65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0.22-1.91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0.433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1.03</w:t>
            </w:r>
          </w:p>
        </w:tc>
        <w:tc>
          <w:tcPr>
            <w:tcW w:w="1667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0.32-3.36</w:t>
            </w:r>
          </w:p>
        </w:tc>
        <w:tc>
          <w:tcPr>
            <w:tcW w:w="205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Cs/>
                <w:sz w:val="21"/>
                <w:szCs w:val="21"/>
              </w:rPr>
            </w:pPr>
            <w:bookmarkStart w:id="2" w:name="_GoBack"/>
          </w:p>
        </w:tc>
        <w:tc>
          <w:tcPr>
            <w:tcW w:w="992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667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205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hint="default" w:ascii="Cambria" w:hAnsi="Cambria" w:cs="Cambria"/>
                <w:bCs/>
                <w:sz w:val="21"/>
                <w:szCs w:val="21"/>
              </w:rPr>
            </w:pPr>
            <w:r>
              <w:rPr>
                <w:rFonts w:hint="default" w:ascii="Cambria" w:hAnsi="Cambria" w:cs="Cambria"/>
                <w:bCs/>
                <w:sz w:val="21"/>
                <w:szCs w:val="21"/>
              </w:rPr>
              <w:t>TNM stage</w:t>
            </w:r>
          </w:p>
        </w:tc>
        <w:tc>
          <w:tcPr>
            <w:tcW w:w="992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2.68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1.09-6.58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0.031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2.90</w:t>
            </w:r>
          </w:p>
        </w:tc>
        <w:tc>
          <w:tcPr>
            <w:tcW w:w="1667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1.06-7.92</w:t>
            </w:r>
          </w:p>
        </w:tc>
        <w:tc>
          <w:tcPr>
            <w:tcW w:w="205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667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205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hint="default" w:ascii="Cambria" w:hAnsi="Cambria" w:cs="Cambria"/>
                <w:bCs/>
                <w:sz w:val="21"/>
                <w:szCs w:val="21"/>
              </w:rPr>
            </w:pPr>
            <w:r>
              <w:rPr>
                <w:rFonts w:hint="default" w:ascii="Cambria" w:hAnsi="Cambria" w:cs="Cambria"/>
                <w:bCs/>
                <w:sz w:val="21"/>
                <w:szCs w:val="21"/>
              </w:rPr>
              <w:t>Capsular invasion</w:t>
            </w:r>
          </w:p>
        </w:tc>
        <w:tc>
          <w:tcPr>
            <w:tcW w:w="992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0.84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0.37-1.92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0.682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0.87</w:t>
            </w:r>
          </w:p>
        </w:tc>
        <w:tc>
          <w:tcPr>
            <w:tcW w:w="1667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0.38-1.98</w:t>
            </w:r>
          </w:p>
        </w:tc>
        <w:tc>
          <w:tcPr>
            <w:tcW w:w="205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667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205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hint="default" w:ascii="Cambria" w:hAnsi="Cambria" w:cs="Cambria"/>
                <w:bCs/>
                <w:sz w:val="21"/>
                <w:szCs w:val="21"/>
              </w:rPr>
            </w:pPr>
            <w:r>
              <w:rPr>
                <w:rFonts w:hint="default" w:ascii="Cambria" w:hAnsi="Cambria" w:cs="Cambria"/>
                <w:bCs/>
                <w:sz w:val="21"/>
                <w:szCs w:val="21"/>
              </w:rPr>
              <w:t>CA19-9</w:t>
            </w:r>
          </w:p>
        </w:tc>
        <w:tc>
          <w:tcPr>
            <w:tcW w:w="992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1.19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0.85-1.67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0.309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1.16</w:t>
            </w:r>
          </w:p>
        </w:tc>
        <w:tc>
          <w:tcPr>
            <w:tcW w:w="1667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0.82-1.65</w:t>
            </w:r>
          </w:p>
        </w:tc>
        <w:tc>
          <w:tcPr>
            <w:tcW w:w="205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667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205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hint="default" w:ascii="Cambria" w:hAnsi="Cambria" w:cs="Cambria"/>
                <w:bCs/>
                <w:sz w:val="21"/>
                <w:szCs w:val="21"/>
              </w:rPr>
            </w:pPr>
            <w:r>
              <w:rPr>
                <w:rFonts w:hint="default" w:ascii="Cambria" w:hAnsi="Cambria" w:cs="Cambria"/>
                <w:bCs/>
                <w:sz w:val="21"/>
                <w:szCs w:val="21"/>
              </w:rPr>
              <w:t>hENT1</w:t>
            </w:r>
          </w:p>
        </w:tc>
        <w:tc>
          <w:tcPr>
            <w:tcW w:w="992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0.60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0.43-0.82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0.001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0.60</w:t>
            </w:r>
          </w:p>
        </w:tc>
        <w:tc>
          <w:tcPr>
            <w:tcW w:w="1667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0.43-0.82</w:t>
            </w:r>
          </w:p>
        </w:tc>
        <w:tc>
          <w:tcPr>
            <w:tcW w:w="2058" w:type="dxa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  <w:r>
              <w:rPr>
                <w:rFonts w:hint="default" w:ascii="Cambria" w:hAnsi="Cambria" w:cs="Cambria"/>
                <w:sz w:val="21"/>
                <w:szCs w:val="21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1667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  <w:tc>
          <w:tcPr>
            <w:tcW w:w="205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sz w:val="21"/>
                <w:szCs w:val="21"/>
              </w:rPr>
            </w:pPr>
          </w:p>
        </w:tc>
      </w:tr>
      <w:bookmarkEnd w:id="0"/>
      <w:bookmarkEnd w:id="1"/>
    </w:tbl>
    <w:p>
      <w:pPr>
        <w:jc w:val="left"/>
        <w:rPr>
          <w:rFonts w:hint="default" w:ascii="Cambria" w:hAnsi="Cambria" w:cs="Cambria"/>
          <w:sz w:val="21"/>
          <w:szCs w:val="21"/>
        </w:rPr>
      </w:pPr>
    </w:p>
    <w:p>
      <w:pPr>
        <w:jc w:val="left"/>
        <w:rPr>
          <w:rFonts w:hint="default" w:ascii="Cambria" w:hAnsi="Cambria" w:cs="Cambr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Cambria" w:hAnsi="Cambria" w:cs="Cambria"/>
          <w:b/>
          <w:bCs/>
          <w:sz w:val="21"/>
          <w:szCs w:val="21"/>
          <w:lang w:val="en-US" w:eastAsia="zh-CN"/>
        </w:rPr>
        <w:t xml:space="preserve">Supplementary </w:t>
      </w:r>
      <w:r>
        <w:rPr>
          <w:rFonts w:hint="default" w:ascii="Cambria" w:hAnsi="Cambria" w:cs="Cambria"/>
          <w:b/>
          <w:bCs/>
          <w:sz w:val="21"/>
          <w:szCs w:val="21"/>
        </w:rPr>
        <w:t>Table 3: The univariate analysis of disease</w:t>
      </w:r>
      <w:r>
        <w:rPr>
          <w:rFonts w:hint="default" w:ascii="Cambria" w:hAnsi="Cambria" w:eastAsia="等线" w:cs="Cambria"/>
          <w:b/>
          <w:bCs/>
          <w:sz w:val="21"/>
          <w:szCs w:val="21"/>
        </w:rPr>
        <w:t>-</w:t>
      </w:r>
      <w:r>
        <w:rPr>
          <w:rFonts w:hint="default" w:ascii="Cambria" w:hAnsi="Cambria" w:cs="Cambria"/>
          <w:b/>
          <w:bCs/>
          <w:sz w:val="21"/>
          <w:szCs w:val="21"/>
        </w:rPr>
        <w:t xml:space="preserve">free survival from the general population of patients and </w:t>
      </w:r>
      <w:r>
        <w:rPr>
          <w:rFonts w:hint="eastAsia" w:ascii="Cambria" w:hAnsi="Cambria" w:cs="Cambria"/>
          <w:b/>
          <w:bCs/>
          <w:sz w:val="21"/>
          <w:szCs w:val="21"/>
          <w:lang w:eastAsia="zh-CN"/>
        </w:rPr>
        <w:t>Gemcitabine</w:t>
      </w:r>
      <w:r>
        <w:rPr>
          <w:rFonts w:hint="default" w:ascii="Cambria" w:hAnsi="Cambria" w:cs="Cambria"/>
          <w:b/>
          <w:bCs/>
          <w:sz w:val="21"/>
          <w:szCs w:val="21"/>
        </w:rPr>
        <w:t>-treated patients</w:t>
      </w:r>
      <w:r>
        <w:rPr>
          <w:rFonts w:hint="eastAsia" w:ascii="Cambria" w:hAnsi="Cambria" w:cs="Cambria"/>
          <w:b/>
          <w:bCs/>
          <w:sz w:val="21"/>
          <w:szCs w:val="21"/>
          <w:lang w:val="en-US" w:eastAsia="zh-CN"/>
        </w:rPr>
        <w:t xml:space="preserve"> (N=298)</w:t>
      </w:r>
    </w:p>
    <w:tbl>
      <w:tblPr>
        <w:tblStyle w:val="6"/>
        <w:tblW w:w="11272" w:type="dxa"/>
        <w:tblInd w:w="-1593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2268"/>
        <w:gridCol w:w="1168"/>
        <w:gridCol w:w="1168"/>
        <w:gridCol w:w="1667"/>
        <w:gridCol w:w="2058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 w:val="0"/>
                <w:bCs/>
                <w:color w:val="000000" w:themeColor="text1" w:themeShade="BF"/>
                <w:kern w:val="0"/>
                <w:sz w:val="21"/>
                <w:szCs w:val="21"/>
              </w:rPr>
              <w:t>Characteristics</w:t>
            </w:r>
          </w:p>
        </w:tc>
        <w:tc>
          <w:tcPr>
            <w:tcW w:w="9321" w:type="dxa"/>
            <w:gridSpan w:val="6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ind w:left="-674" w:leftChars="-321" w:firstLine="592" w:firstLineChars="281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  <w:t>DFS (disease-free survival)</w:t>
            </w:r>
          </w:p>
          <w:p>
            <w:pPr>
              <w:spacing w:before="0" w:after="0" w:line="240" w:lineRule="auto"/>
              <w:ind w:left="-674" w:leftChars="-321" w:firstLine="590" w:firstLineChars="281"/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 w:val="0"/>
                <w:bCs w:val="0"/>
                <w:color w:val="000000" w:themeColor="text1" w:themeShade="BF"/>
                <w:kern w:val="0"/>
                <w:sz w:val="21"/>
                <w:szCs w:val="21"/>
              </w:rPr>
              <w:t xml:space="preserve">General population                                </w:t>
            </w:r>
            <w:r>
              <w:rPr>
                <w:rFonts w:hint="eastAsia" w:ascii="Cambria" w:hAnsi="Cambria" w:cs="Cambria"/>
                <w:b w:val="0"/>
                <w:bCs w:val="0"/>
                <w:color w:val="000000" w:themeColor="text1" w:themeShade="BF"/>
                <w:kern w:val="0"/>
                <w:sz w:val="21"/>
                <w:szCs w:val="21"/>
                <w:lang w:eastAsia="zh-CN"/>
              </w:rPr>
              <w:t>Gemcitabine</w:t>
            </w:r>
            <w:r>
              <w:rPr>
                <w:rFonts w:hint="default" w:ascii="Cambria" w:hAnsi="Cambria" w:cs="Cambria"/>
                <w:b w:val="0"/>
                <w:bCs w:val="0"/>
                <w:color w:val="000000" w:themeColor="text1" w:themeShade="BF"/>
                <w:kern w:val="0"/>
                <w:sz w:val="21"/>
                <w:szCs w:val="21"/>
              </w:rPr>
              <w:t>-treated patients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  <w:t>Hazard ratio (HR)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  <w:t>95% CI</w:t>
            </w:r>
          </w:p>
          <w:p>
            <w:pPr>
              <w:jc w:val="left"/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  <w:t>(confidence</w:t>
            </w:r>
          </w:p>
          <w:p>
            <w:pPr>
              <w:jc w:val="left"/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  <w:t>interval)</w:t>
            </w: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ind w:left="-674" w:leftChars="-321" w:firstLine="592" w:firstLineChars="281"/>
              <w:jc w:val="left"/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  <w:t>P value</w:t>
            </w: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ind w:left="-674" w:leftChars="-321" w:firstLine="592" w:firstLineChars="281"/>
              <w:jc w:val="left"/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  <w:t>Hazard</w:t>
            </w:r>
          </w:p>
          <w:p>
            <w:pPr>
              <w:ind w:left="-674" w:leftChars="-321" w:firstLine="592" w:firstLineChars="281"/>
              <w:jc w:val="left"/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  <w:t>Ratio</w:t>
            </w:r>
          </w:p>
          <w:p>
            <w:pPr>
              <w:ind w:left="-674" w:leftChars="-321" w:firstLine="592" w:firstLineChars="281"/>
              <w:jc w:val="left"/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  <w:t>(HR)</w:t>
            </w:r>
          </w:p>
        </w:tc>
        <w:tc>
          <w:tcPr>
            <w:tcW w:w="1667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ind w:left="-674" w:leftChars="-321" w:firstLine="592" w:firstLineChars="281"/>
              <w:jc w:val="left"/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  <w:t>95% CI</w:t>
            </w:r>
          </w:p>
          <w:p>
            <w:pPr>
              <w:ind w:left="-674" w:leftChars="-321" w:firstLine="592" w:firstLineChars="281"/>
              <w:jc w:val="left"/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  <w:t>(confidence</w:t>
            </w:r>
          </w:p>
          <w:p>
            <w:pPr>
              <w:ind w:left="-674" w:leftChars="-321" w:firstLine="592" w:firstLineChars="281"/>
              <w:jc w:val="left"/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  <w:t>Interval)</w:t>
            </w:r>
          </w:p>
        </w:tc>
        <w:tc>
          <w:tcPr>
            <w:tcW w:w="205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ind w:left="-674" w:leftChars="-321" w:firstLine="592" w:firstLineChars="281"/>
              <w:jc w:val="left"/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/>
                <w:color w:val="000000" w:themeColor="text1" w:themeShade="BF"/>
                <w:kern w:val="0"/>
                <w:sz w:val="21"/>
                <w:szCs w:val="21"/>
              </w:rPr>
              <w:t>P value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 w:val="0"/>
                <w:bCs/>
                <w:color w:val="000000"/>
                <w:kern w:val="0"/>
                <w:sz w:val="21"/>
                <w:szCs w:val="21"/>
              </w:rPr>
              <w:t>M classification</w:t>
            </w:r>
          </w:p>
        </w:tc>
        <w:tc>
          <w:tcPr>
            <w:tcW w:w="992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0.91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0.32-2.64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0.867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0.98</w:t>
            </w:r>
          </w:p>
        </w:tc>
        <w:tc>
          <w:tcPr>
            <w:tcW w:w="1667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0.30-3.19</w:t>
            </w:r>
          </w:p>
        </w:tc>
        <w:tc>
          <w:tcPr>
            <w:tcW w:w="205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0.976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 w:val="0"/>
                <w:bCs/>
                <w:color w:val="000000"/>
                <w:kern w:val="0"/>
                <w:sz w:val="21"/>
                <w:szCs w:val="21"/>
              </w:rPr>
              <w:t>TNM stage</w:t>
            </w:r>
          </w:p>
        </w:tc>
        <w:tc>
          <w:tcPr>
            <w:tcW w:w="992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1.88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0.77-4.59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0.169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2.31</w:t>
            </w:r>
          </w:p>
        </w:tc>
        <w:tc>
          <w:tcPr>
            <w:tcW w:w="1667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0.85-6.28</w:t>
            </w:r>
          </w:p>
        </w:tc>
        <w:tc>
          <w:tcPr>
            <w:tcW w:w="205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0.100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 w:val="0"/>
                <w:bCs/>
                <w:color w:val="000000" w:themeColor="text1" w:themeShade="BF"/>
                <w:kern w:val="0"/>
                <w:sz w:val="21"/>
                <w:szCs w:val="21"/>
              </w:rPr>
              <w:t>Capsular invasion</w:t>
            </w:r>
          </w:p>
        </w:tc>
        <w:tc>
          <w:tcPr>
            <w:tcW w:w="992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0.74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0.34-1.59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0.440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0.76</w:t>
            </w:r>
          </w:p>
        </w:tc>
        <w:tc>
          <w:tcPr>
            <w:tcW w:w="1667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0.35-1.64</w:t>
            </w:r>
          </w:p>
        </w:tc>
        <w:tc>
          <w:tcPr>
            <w:tcW w:w="205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0.485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 w:val="0"/>
                <w:bCs/>
                <w:color w:val="000000"/>
                <w:kern w:val="0"/>
                <w:sz w:val="21"/>
                <w:szCs w:val="21"/>
              </w:rPr>
              <w:t>CA19-9</w:t>
            </w:r>
          </w:p>
        </w:tc>
        <w:tc>
          <w:tcPr>
            <w:tcW w:w="992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1.36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0.99-1.86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0.057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1.32</w:t>
            </w:r>
          </w:p>
        </w:tc>
        <w:tc>
          <w:tcPr>
            <w:tcW w:w="1667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0.95-1.83</w:t>
            </w:r>
          </w:p>
        </w:tc>
        <w:tc>
          <w:tcPr>
            <w:tcW w:w="205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0.097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1667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  <w:tc>
          <w:tcPr>
            <w:tcW w:w="2058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left"/>
              <w:rPr>
                <w:rFonts w:hint="default" w:ascii="Cambria" w:hAnsi="Cambria" w:cs="Cambria"/>
                <w:b/>
                <w:bCs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b w:val="0"/>
                <w:bCs/>
                <w:color w:val="000000"/>
                <w:kern w:val="0"/>
                <w:sz w:val="21"/>
                <w:szCs w:val="21"/>
              </w:rPr>
              <w:t>hENT1</w:t>
            </w:r>
          </w:p>
        </w:tc>
        <w:tc>
          <w:tcPr>
            <w:tcW w:w="992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0.53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0.39-0.72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＜0.001</w:t>
            </w:r>
          </w:p>
        </w:tc>
        <w:tc>
          <w:tcPr>
            <w:tcW w:w="116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0.56</w:t>
            </w:r>
          </w:p>
        </w:tc>
        <w:tc>
          <w:tcPr>
            <w:tcW w:w="1667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0.41-0.77</w:t>
            </w:r>
          </w:p>
        </w:tc>
        <w:tc>
          <w:tcPr>
            <w:tcW w:w="2058" w:type="dxa"/>
          </w:tcPr>
          <w:p>
            <w:pPr>
              <w:jc w:val="left"/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</w:pPr>
            <w:r>
              <w:rPr>
                <w:rFonts w:hint="default" w:ascii="Cambria" w:hAnsi="Cambria" w:cs="Cambria"/>
                <w:color w:val="000000" w:themeColor="text1" w:themeShade="BF"/>
                <w:kern w:val="0"/>
                <w:sz w:val="21"/>
                <w:szCs w:val="21"/>
              </w:rPr>
              <w:t>＜0.001</w:t>
            </w:r>
          </w:p>
        </w:tc>
      </w:tr>
    </w:tbl>
    <w:p>
      <w:pPr>
        <w:jc w:val="left"/>
        <w:rPr>
          <w:rFonts w:hint="default" w:ascii="Cambria" w:hAnsi="Cambria" w:cs="Cambria"/>
          <w:sz w:val="21"/>
          <w:szCs w:val="21"/>
        </w:rPr>
      </w:pPr>
    </w:p>
    <w:p>
      <w:pPr>
        <w:jc w:val="left"/>
        <w:rPr>
          <w:rFonts w:hint="default" w:ascii="Cambria" w:hAnsi="Cambria" w:cs="Cambria"/>
          <w:sz w:val="21"/>
          <w:szCs w:val="21"/>
        </w:rPr>
      </w:pPr>
    </w:p>
    <w:p>
      <w:pPr>
        <w:jc w:val="left"/>
        <w:rPr>
          <w:rFonts w:hint="default" w:ascii="Cambria" w:hAnsi="Cambria" w:cs="Cambria"/>
          <w:b/>
          <w:bCs/>
          <w:sz w:val="21"/>
          <w:szCs w:val="21"/>
        </w:rPr>
      </w:pPr>
    </w:p>
    <w:p>
      <w:pPr>
        <w:jc w:val="left"/>
        <w:rPr>
          <w:rFonts w:hint="default" w:ascii="Cambria" w:hAnsi="Cambria" w:cs="Cambria"/>
          <w:sz w:val="21"/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NGMwZTEwMGFmMWJiNGE4M2EyNGQ0N2QwOGY5OGMifQ=="/>
  </w:docVars>
  <w:rsids>
    <w:rsidRoot w:val="204E71D1"/>
    <w:rsid w:val="204E71D1"/>
    <w:rsid w:val="7636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Light Shading"/>
    <w:basedOn w:val="3"/>
    <w:qFormat/>
    <w:uiPriority w:val="60"/>
    <w:rPr>
      <w:color w:val="000000" w:themeColor="text1" w:themeShade="BF"/>
      <w:kern w:val="0"/>
      <w:sz w:val="20"/>
      <w:szCs w:val="20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6">
    <w:name w:val="浅色底纹1"/>
    <w:basedOn w:val="3"/>
    <w:autoRedefine/>
    <w:qFormat/>
    <w:uiPriority w:val="60"/>
    <w:rPr>
      <w:color w:val="000000" w:themeColor="text1" w:themeShade="BF"/>
      <w:kern w:val="0"/>
      <w:sz w:val="20"/>
      <w:szCs w:val="20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2024-05-15T14:10:00Z</dcterms:created>
  <dc:creator>SOTUS</dc:creator>
  <cp:lastModifiedBy>SOTUS</cp:lastModifiedBy>
  <dcterms:modified xsi:type="dcterms:W3CDTF">2024-05-18T15:14:50Z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0B0C8EBD31CF44EDAA91E94BBF14B15C_11</vt:lpwstr>
  </property>
</Properties>
</file>