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D648F" w14:textId="77777777" w:rsidR="00776A15" w:rsidRDefault="008E446C">
      <w:pPr>
        <w:pStyle w:val="SupplementaryMaterial"/>
        <w:spacing w:line="360" w:lineRule="auto"/>
        <w:rPr>
          <w:b w:val="0"/>
          <w:color w:val="000000" w:themeColor="text1"/>
        </w:rPr>
      </w:pPr>
      <w:r>
        <w:rPr>
          <w:color w:val="000000" w:themeColor="text1"/>
        </w:rPr>
        <w:t>Supplementary Material</w:t>
      </w:r>
    </w:p>
    <w:p w14:paraId="37FD6493" w14:textId="73B84884" w:rsidR="00776A15" w:rsidRPr="00640699" w:rsidRDefault="008E446C" w:rsidP="00640699">
      <w:pPr>
        <w:pStyle w:val="1"/>
        <w:spacing w:line="360" w:lineRule="auto"/>
        <w:rPr>
          <w:rFonts w:eastAsia="宋体"/>
          <w:color w:val="000000" w:themeColor="text1"/>
        </w:rPr>
      </w:pPr>
      <w:r>
        <w:rPr>
          <w:rFonts w:eastAsia="宋体" w:hint="eastAsia"/>
          <w:color w:val="000000" w:themeColor="text1"/>
        </w:rPr>
        <w:t xml:space="preserve">Materials and </w:t>
      </w:r>
      <w:r>
        <w:rPr>
          <w:rFonts w:eastAsia="宋体"/>
          <w:color w:val="000000" w:themeColor="text1"/>
        </w:rPr>
        <w:t>Method</w:t>
      </w:r>
    </w:p>
    <w:p w14:paraId="37FD6497" w14:textId="77777777" w:rsidR="00776A15" w:rsidRDefault="008E446C">
      <w:pPr>
        <w:pStyle w:val="2"/>
        <w:spacing w:line="360" w:lineRule="auto"/>
        <w:rPr>
          <w:rFonts w:eastAsia="宋体"/>
          <w:bCs/>
          <w:iCs/>
          <w:color w:val="000000" w:themeColor="text1"/>
        </w:rPr>
      </w:pPr>
      <w:r>
        <w:rPr>
          <w:rFonts w:eastAsia="宋体"/>
          <w:bCs/>
          <w:iCs/>
          <w:color w:val="000000" w:themeColor="text1"/>
        </w:rPr>
        <w:t>Methodological approaches</w:t>
      </w:r>
    </w:p>
    <w:p w14:paraId="37FD6498" w14:textId="7416C531" w:rsidR="00776A15" w:rsidRDefault="008E446C">
      <w:pPr>
        <w:spacing w:line="360" w:lineRule="auto"/>
        <w:jc w:val="both"/>
        <w:rPr>
          <w:rFonts w:eastAsia="等线" w:cs="Times New Roman"/>
          <w:color w:val="000000" w:themeColor="text1"/>
          <w:sz w:val="21"/>
          <w:szCs w:val="21"/>
          <w:lang w:eastAsia="zh-CN"/>
        </w:rPr>
      </w:pPr>
      <w:r>
        <w:rPr>
          <w:rFonts w:eastAsia="宋体" w:hint="eastAsia"/>
          <w:b/>
          <w:bCs/>
          <w:color w:val="000000" w:themeColor="text1"/>
          <w:szCs w:val="24"/>
          <w:lang w:eastAsia="zh-CN"/>
        </w:rPr>
        <w:t>1</w:t>
      </w:r>
      <w:r>
        <w:rPr>
          <w:rFonts w:eastAsia="宋体"/>
          <w:b/>
          <w:bCs/>
          <w:color w:val="000000" w:themeColor="text1"/>
          <w:szCs w:val="24"/>
          <w:lang w:eastAsia="zh-CN"/>
        </w:rPr>
        <w:t>.</w:t>
      </w:r>
      <w:r w:rsidR="00640699">
        <w:rPr>
          <w:rFonts w:eastAsia="宋体"/>
          <w:b/>
          <w:bCs/>
          <w:color w:val="000000" w:themeColor="text1"/>
          <w:szCs w:val="24"/>
          <w:lang w:eastAsia="zh-CN"/>
        </w:rPr>
        <w:t>1</w:t>
      </w:r>
      <w:r>
        <w:rPr>
          <w:rFonts w:eastAsia="宋体"/>
          <w:b/>
          <w:bCs/>
          <w:color w:val="000000" w:themeColor="text1"/>
          <w:szCs w:val="24"/>
          <w:lang w:eastAsia="zh-CN"/>
        </w:rPr>
        <w:t xml:space="preserve">.1 </w:t>
      </w:r>
      <w:r>
        <w:rPr>
          <w:b/>
          <w:bCs/>
          <w:color w:val="000000" w:themeColor="text1"/>
          <w:szCs w:val="24"/>
        </w:rPr>
        <w:t>The validation of the method selectivity</w:t>
      </w:r>
    </w:p>
    <w:p w14:paraId="37FD6499" w14:textId="3F298962" w:rsidR="00776A15" w:rsidRDefault="008E446C">
      <w:pPr>
        <w:spacing w:line="360" w:lineRule="auto"/>
        <w:ind w:firstLineChars="200" w:firstLine="480"/>
        <w:jc w:val="both"/>
        <w:rPr>
          <w:rFonts w:eastAsia="宋体"/>
          <w:color w:val="000000" w:themeColor="text1"/>
          <w:szCs w:val="24"/>
        </w:rPr>
      </w:pPr>
      <w:r>
        <w:rPr>
          <w:rFonts w:eastAsia="宋体"/>
          <w:color w:val="000000" w:themeColor="text1"/>
          <w:szCs w:val="24"/>
        </w:rPr>
        <w:t xml:space="preserve">The specificity was assessed by analyzing blank samples to investigate potential endogenous interference with the retention time of the analyte. The chromatograms of blank samples, standard substance, and samples after administration of </w:t>
      </w:r>
      <w:r w:rsidR="003A529D">
        <w:rPr>
          <w:rFonts w:eastAsia="宋体"/>
          <w:color w:val="000000" w:themeColor="text1"/>
          <w:szCs w:val="24"/>
        </w:rPr>
        <w:t>OBB</w:t>
      </w:r>
      <w:r>
        <w:rPr>
          <w:rFonts w:eastAsia="宋体"/>
          <w:color w:val="000000" w:themeColor="text1"/>
          <w:szCs w:val="24"/>
        </w:rPr>
        <w:t xml:space="preserve"> were </w:t>
      </w:r>
      <w:r>
        <w:rPr>
          <w:rFonts w:eastAsia="宋体" w:hint="eastAsia"/>
          <w:color w:val="000000" w:themeColor="text1"/>
          <w:szCs w:val="24"/>
        </w:rPr>
        <w:t>comparatively investigated</w:t>
      </w:r>
      <w:r>
        <w:rPr>
          <w:rFonts w:eastAsia="宋体"/>
          <w:color w:val="000000" w:themeColor="text1"/>
          <w:szCs w:val="24"/>
        </w:rPr>
        <w:t>.</w:t>
      </w:r>
    </w:p>
    <w:p w14:paraId="37FD649A" w14:textId="62888E83" w:rsidR="00776A15" w:rsidRDefault="008E446C">
      <w:pPr>
        <w:spacing w:line="360" w:lineRule="auto"/>
        <w:rPr>
          <w:rFonts w:eastAsia="等线" w:cs="Times New Roman"/>
          <w:color w:val="000000" w:themeColor="text1"/>
          <w:sz w:val="21"/>
          <w:szCs w:val="21"/>
          <w:lang w:eastAsia="zh-CN"/>
        </w:rPr>
      </w:pPr>
      <w:r>
        <w:rPr>
          <w:rFonts w:eastAsia="宋体" w:hint="eastAsia"/>
          <w:b/>
          <w:bCs/>
          <w:color w:val="000000" w:themeColor="text1"/>
          <w:szCs w:val="24"/>
          <w:lang w:eastAsia="zh-CN"/>
        </w:rPr>
        <w:t>1</w:t>
      </w:r>
      <w:r>
        <w:rPr>
          <w:rFonts w:eastAsia="宋体"/>
          <w:b/>
          <w:bCs/>
          <w:color w:val="000000" w:themeColor="text1"/>
          <w:szCs w:val="24"/>
          <w:lang w:eastAsia="zh-CN"/>
        </w:rPr>
        <w:t>.</w:t>
      </w:r>
      <w:r w:rsidR="00640699">
        <w:rPr>
          <w:rFonts w:eastAsia="宋体"/>
          <w:b/>
          <w:bCs/>
          <w:color w:val="000000" w:themeColor="text1"/>
          <w:szCs w:val="24"/>
          <w:lang w:eastAsia="zh-CN"/>
        </w:rPr>
        <w:t>1</w:t>
      </w:r>
      <w:r>
        <w:rPr>
          <w:rFonts w:eastAsia="宋体"/>
          <w:b/>
          <w:bCs/>
          <w:color w:val="000000" w:themeColor="text1"/>
          <w:szCs w:val="24"/>
          <w:lang w:eastAsia="zh-CN"/>
        </w:rPr>
        <w:t xml:space="preserve">.2 </w:t>
      </w:r>
      <w:r>
        <w:rPr>
          <w:b/>
          <w:bCs/>
          <w:color w:val="000000" w:themeColor="text1"/>
          <w:szCs w:val="24"/>
        </w:rPr>
        <w:t>Preparation of calibration standards</w:t>
      </w:r>
    </w:p>
    <w:p w14:paraId="37FD649B" w14:textId="508F1F41" w:rsidR="00776A15" w:rsidRDefault="008E446C">
      <w:pPr>
        <w:spacing w:line="360" w:lineRule="auto"/>
        <w:ind w:firstLineChars="200" w:firstLine="480"/>
        <w:jc w:val="both"/>
        <w:rPr>
          <w:rFonts w:eastAsia="宋体"/>
          <w:color w:val="000000" w:themeColor="text1"/>
          <w:szCs w:val="24"/>
        </w:rPr>
      </w:pPr>
      <w:bookmarkStart w:id="0" w:name="OLE_LINK59"/>
      <w:bookmarkStart w:id="1" w:name="OLE_LINK5"/>
      <w:r>
        <w:rPr>
          <w:rFonts w:eastAsia="宋体"/>
          <w:color w:val="000000" w:themeColor="text1"/>
          <w:szCs w:val="24"/>
        </w:rPr>
        <w:t xml:space="preserve">For acquiring the standard curve, the prepared stock solutions OBB and piperine (internal standard, IS) were diluted to a series of concentration gradient working solutions. Take 250 μL </w:t>
      </w:r>
      <w:r w:rsidR="00640699">
        <w:rPr>
          <w:rFonts w:eastAsia="宋体"/>
          <w:color w:val="000000" w:themeColor="text1"/>
          <w:szCs w:val="24"/>
          <w:lang w:eastAsia="zh-CN"/>
        </w:rPr>
        <w:t>blood</w:t>
      </w:r>
      <w:r>
        <w:rPr>
          <w:rFonts w:eastAsia="宋体"/>
          <w:color w:val="000000" w:themeColor="text1"/>
          <w:szCs w:val="24"/>
        </w:rPr>
        <w:t xml:space="preserve"> sample</w:t>
      </w:r>
      <w:r w:rsidR="00640699">
        <w:rPr>
          <w:rFonts w:eastAsia="宋体"/>
          <w:color w:val="000000" w:themeColor="text1"/>
          <w:szCs w:val="24"/>
        </w:rPr>
        <w:t>s</w:t>
      </w:r>
      <w:r>
        <w:rPr>
          <w:rFonts w:eastAsia="宋体"/>
          <w:color w:val="000000" w:themeColor="text1"/>
          <w:szCs w:val="24"/>
        </w:rPr>
        <w:t>, add 25 μL piperine and OBB working solutions of different concentrations, and prepare samples with mass concentrations of 12.50, 6.25, 3.12, 1.56, 0.78, 0.39, and 0.19 μg/mL</w:t>
      </w:r>
      <w:r>
        <w:rPr>
          <w:rFonts w:eastAsia="宋体" w:hint="eastAsia"/>
          <w:color w:val="000000" w:themeColor="text1"/>
          <w:szCs w:val="24"/>
          <w:lang w:eastAsia="zh-CN"/>
        </w:rPr>
        <w:t xml:space="preserve"> </w:t>
      </w:r>
      <w:r w:rsidR="00943EF4">
        <w:rPr>
          <w:rFonts w:eastAsia="宋体"/>
          <w:color w:val="000000" w:themeColor="text1"/>
          <w:szCs w:val="24"/>
          <w:lang w:eastAsia="zh-CN"/>
        </w:rPr>
        <w:t>in</w:t>
      </w:r>
      <w:r>
        <w:rPr>
          <w:rFonts w:eastAsia="宋体"/>
          <w:color w:val="000000" w:themeColor="text1"/>
          <w:szCs w:val="24"/>
        </w:rPr>
        <w:t xml:space="preserve"> </w:t>
      </w:r>
      <w:r>
        <w:rPr>
          <w:rFonts w:eastAsia="宋体" w:hint="eastAsia"/>
          <w:color w:val="000000" w:themeColor="text1"/>
          <w:szCs w:val="24"/>
          <w:lang w:eastAsia="zh-CN"/>
        </w:rPr>
        <w:t>the</w:t>
      </w:r>
      <w:r w:rsidR="00640699">
        <w:rPr>
          <w:rFonts w:eastAsia="宋体"/>
          <w:color w:val="000000" w:themeColor="text1"/>
          <w:szCs w:val="24"/>
          <w:lang w:eastAsia="zh-CN"/>
        </w:rPr>
        <w:t xml:space="preserve"> </w:t>
      </w:r>
      <w:r>
        <w:rPr>
          <w:rFonts w:eastAsia="宋体" w:hint="eastAsia"/>
          <w:color w:val="000000" w:themeColor="text1"/>
          <w:szCs w:val="24"/>
          <w:lang w:eastAsia="zh-CN"/>
        </w:rPr>
        <w:t>samples</w:t>
      </w:r>
      <w:r>
        <w:rPr>
          <w:rFonts w:eastAsia="宋体"/>
          <w:color w:val="000000" w:themeColor="text1"/>
          <w:szCs w:val="24"/>
        </w:rPr>
        <w:t xml:space="preserve"> and analyzed by HPLC. The concentrations of the samples were used as the abscissa, and the ratios of the peak area of the samples to the IS were used as the ordinate. </w:t>
      </w:r>
      <w:bookmarkEnd w:id="0"/>
      <w:r>
        <w:rPr>
          <w:rFonts w:eastAsia="宋体"/>
          <w:color w:val="000000" w:themeColor="text1"/>
          <w:szCs w:val="24"/>
        </w:rPr>
        <w:t>The linearity was fitted based on least-squares linear regression with a weighted factor (1/X</w:t>
      </w:r>
      <w:r>
        <w:rPr>
          <w:rFonts w:eastAsia="宋体"/>
          <w:color w:val="000000" w:themeColor="text1"/>
          <w:szCs w:val="24"/>
          <w:vertAlign w:val="superscript"/>
        </w:rPr>
        <w:t>2</w:t>
      </w:r>
      <w:r>
        <w:rPr>
          <w:rFonts w:eastAsia="宋体"/>
          <w:color w:val="000000" w:themeColor="text1"/>
          <w:szCs w:val="24"/>
        </w:rPr>
        <w:t>). The lower</w:t>
      </w:r>
      <w:r>
        <w:rPr>
          <w:rFonts w:eastAsia="宋体" w:hint="eastAsia"/>
          <w:color w:val="000000" w:themeColor="text1"/>
          <w:szCs w:val="24"/>
        </w:rPr>
        <w:t xml:space="preserve"> </w:t>
      </w:r>
      <w:r>
        <w:rPr>
          <w:rFonts w:eastAsia="宋体"/>
          <w:color w:val="000000" w:themeColor="text1"/>
          <w:szCs w:val="24"/>
        </w:rPr>
        <w:t>limit of quantification (LLOQ) was defined as the concentrations with its signal-to-noise ratio of 10, and the acceptable accuracy and precision were limited to 20 % in LLOQ.</w:t>
      </w:r>
    </w:p>
    <w:bookmarkEnd w:id="1"/>
    <w:p w14:paraId="37FD649C" w14:textId="69674D0D" w:rsidR="00776A15" w:rsidRDefault="008E446C">
      <w:pPr>
        <w:spacing w:line="360" w:lineRule="auto"/>
        <w:rPr>
          <w:rFonts w:eastAsia="等线" w:cs="Times New Roman"/>
          <w:color w:val="000000" w:themeColor="text1"/>
          <w:sz w:val="21"/>
          <w:szCs w:val="21"/>
          <w:lang w:eastAsia="zh-CN"/>
        </w:rPr>
      </w:pPr>
      <w:r>
        <w:rPr>
          <w:b/>
          <w:bCs/>
          <w:color w:val="000000" w:themeColor="text1"/>
          <w:szCs w:val="24"/>
        </w:rPr>
        <w:t>1.</w:t>
      </w:r>
      <w:r w:rsidR="00640699">
        <w:rPr>
          <w:b/>
          <w:bCs/>
          <w:color w:val="000000" w:themeColor="text1"/>
          <w:szCs w:val="24"/>
        </w:rPr>
        <w:t>1</w:t>
      </w:r>
      <w:r>
        <w:rPr>
          <w:b/>
          <w:bCs/>
          <w:color w:val="000000" w:themeColor="text1"/>
          <w:szCs w:val="24"/>
        </w:rPr>
        <w:t>.4 Precision and accuracy</w:t>
      </w:r>
    </w:p>
    <w:p w14:paraId="37FD649D" w14:textId="10C16BC0" w:rsidR="00776A15" w:rsidRDefault="008E446C">
      <w:pPr>
        <w:spacing w:line="360" w:lineRule="auto"/>
        <w:ind w:firstLineChars="200" w:firstLine="480"/>
        <w:jc w:val="both"/>
        <w:rPr>
          <w:rFonts w:eastAsia="宋体"/>
          <w:color w:val="000000" w:themeColor="text1"/>
          <w:szCs w:val="24"/>
        </w:rPr>
      </w:pPr>
      <w:r>
        <w:rPr>
          <w:rFonts w:eastAsia="宋体"/>
          <w:color w:val="000000" w:themeColor="text1"/>
          <w:szCs w:val="24"/>
        </w:rPr>
        <w:t>To determine the precision and accuracy of the assay, three levels (0.19, 1.56, 12.50 mg/mL</w:t>
      </w:r>
      <w:r w:rsidR="00640699">
        <w:rPr>
          <w:rFonts w:eastAsia="宋体"/>
          <w:color w:val="000000" w:themeColor="text1"/>
          <w:szCs w:val="24"/>
        </w:rPr>
        <w:t>)</w:t>
      </w:r>
      <w:r>
        <w:rPr>
          <w:rFonts w:eastAsia="宋体"/>
          <w:color w:val="000000" w:themeColor="text1"/>
          <w:szCs w:val="24"/>
        </w:rPr>
        <w:t xml:space="preserve"> </w:t>
      </w:r>
      <w:bookmarkStart w:id="2" w:name="OLE_LINK3"/>
      <w:r>
        <w:rPr>
          <w:rFonts w:eastAsia="宋体"/>
          <w:color w:val="000000" w:themeColor="text1"/>
          <w:szCs w:val="24"/>
        </w:rPr>
        <w:t>for</w:t>
      </w:r>
      <w:r w:rsidR="00640699">
        <w:rPr>
          <w:rFonts w:eastAsia="宋体"/>
          <w:color w:val="000000" w:themeColor="text1"/>
          <w:szCs w:val="24"/>
        </w:rPr>
        <w:t xml:space="preserve"> </w:t>
      </w:r>
      <w:r>
        <w:rPr>
          <w:rFonts w:eastAsia="宋体"/>
          <w:color w:val="000000" w:themeColor="text1"/>
          <w:szCs w:val="24"/>
        </w:rPr>
        <w:t xml:space="preserve">OBB </w:t>
      </w:r>
      <w:bookmarkEnd w:id="2"/>
      <w:r>
        <w:rPr>
          <w:rFonts w:eastAsia="宋体"/>
          <w:color w:val="000000" w:themeColor="text1"/>
          <w:szCs w:val="24"/>
        </w:rPr>
        <w:t>of QC samples w</w:t>
      </w:r>
      <w:r>
        <w:rPr>
          <w:rFonts w:eastAsia="宋体" w:hint="eastAsia"/>
          <w:color w:val="000000" w:themeColor="text1"/>
          <w:szCs w:val="24"/>
        </w:rPr>
        <w:t>ere</w:t>
      </w:r>
      <w:r>
        <w:rPr>
          <w:rFonts w:eastAsia="宋体"/>
          <w:color w:val="000000" w:themeColor="text1"/>
          <w:szCs w:val="24"/>
        </w:rPr>
        <w:t xml:space="preserve"> evaluated by six replicate measurements of the same samples </w:t>
      </w:r>
      <w:r>
        <w:rPr>
          <w:rFonts w:eastAsia="宋体" w:hint="eastAsia"/>
          <w:color w:val="000000" w:themeColor="text1"/>
          <w:szCs w:val="24"/>
        </w:rPr>
        <w:t>with</w:t>
      </w:r>
      <w:r>
        <w:rPr>
          <w:rFonts w:eastAsia="宋体"/>
          <w:color w:val="000000" w:themeColor="text1"/>
          <w:szCs w:val="24"/>
        </w:rPr>
        <w:t xml:space="preserve">in one day for the intra-day precision and determined twice a day </w:t>
      </w:r>
      <w:r>
        <w:rPr>
          <w:rFonts w:eastAsia="宋体" w:hint="eastAsia"/>
          <w:color w:val="000000" w:themeColor="text1"/>
          <w:szCs w:val="24"/>
        </w:rPr>
        <w:t>for</w:t>
      </w:r>
      <w:r>
        <w:rPr>
          <w:rFonts w:eastAsia="宋体"/>
          <w:color w:val="000000" w:themeColor="text1"/>
          <w:szCs w:val="24"/>
        </w:rPr>
        <w:t xml:space="preserve"> three consecutive days for the inter-day precision. Relative standard</w:t>
      </w:r>
      <w:r>
        <w:rPr>
          <w:rFonts w:eastAsia="宋体" w:hint="eastAsia"/>
          <w:color w:val="000000" w:themeColor="text1"/>
          <w:szCs w:val="24"/>
        </w:rPr>
        <w:t xml:space="preserve"> </w:t>
      </w:r>
      <w:r>
        <w:rPr>
          <w:rFonts w:eastAsia="宋体"/>
          <w:color w:val="000000" w:themeColor="text1"/>
          <w:szCs w:val="24"/>
        </w:rPr>
        <w:t>deviation (RSD) and relative error (RE) were used to express the</w:t>
      </w:r>
      <w:r>
        <w:rPr>
          <w:rFonts w:eastAsia="宋体" w:hint="eastAsia"/>
          <w:color w:val="000000" w:themeColor="text1"/>
          <w:szCs w:val="24"/>
        </w:rPr>
        <w:t xml:space="preserve"> </w:t>
      </w:r>
      <w:r>
        <w:rPr>
          <w:rFonts w:eastAsia="宋体"/>
          <w:color w:val="000000" w:themeColor="text1"/>
          <w:szCs w:val="24"/>
        </w:rPr>
        <w:t xml:space="preserve">precision and accuracy </w:t>
      </w:r>
      <w:r>
        <w:rPr>
          <w:rFonts w:eastAsia="宋体" w:hint="eastAsia"/>
          <w:color w:val="000000" w:themeColor="text1"/>
          <w:szCs w:val="24"/>
          <w:lang w:eastAsia="zh-CN"/>
        </w:rPr>
        <w:t>of</w:t>
      </w:r>
      <w:r>
        <w:rPr>
          <w:rFonts w:eastAsia="宋体"/>
          <w:color w:val="000000" w:themeColor="text1"/>
          <w:szCs w:val="24"/>
        </w:rPr>
        <w:t xml:space="preserve"> intra-day and inter-day, respectively. The variation</w:t>
      </w:r>
      <w:r>
        <w:rPr>
          <w:rFonts w:eastAsia="宋体" w:hint="eastAsia"/>
          <w:color w:val="000000" w:themeColor="text1"/>
          <w:szCs w:val="24"/>
        </w:rPr>
        <w:t xml:space="preserve"> </w:t>
      </w:r>
      <w:r>
        <w:rPr>
          <w:rFonts w:eastAsia="宋体"/>
          <w:color w:val="000000" w:themeColor="text1"/>
          <w:szCs w:val="24"/>
        </w:rPr>
        <w:t>in precision and accuracy w</w:t>
      </w:r>
      <w:r>
        <w:rPr>
          <w:rFonts w:eastAsia="宋体" w:hint="eastAsia"/>
          <w:color w:val="000000" w:themeColor="text1"/>
          <w:szCs w:val="24"/>
          <w:lang w:eastAsia="zh-CN"/>
        </w:rPr>
        <w:t>as</w:t>
      </w:r>
      <w:r>
        <w:rPr>
          <w:rFonts w:eastAsia="宋体"/>
          <w:color w:val="000000" w:themeColor="text1"/>
          <w:szCs w:val="24"/>
        </w:rPr>
        <w:t xml:space="preserve"> less than 15 %.</w:t>
      </w:r>
    </w:p>
    <w:p w14:paraId="37FD649E" w14:textId="1ED2680B" w:rsidR="00776A15" w:rsidRDefault="008E446C">
      <w:pPr>
        <w:spacing w:line="360" w:lineRule="auto"/>
        <w:rPr>
          <w:rFonts w:eastAsia="等线" w:cs="Times New Roman"/>
          <w:color w:val="000000" w:themeColor="text1"/>
          <w:sz w:val="21"/>
          <w:szCs w:val="21"/>
          <w:lang w:eastAsia="zh-CN"/>
        </w:rPr>
      </w:pPr>
      <w:r>
        <w:rPr>
          <w:rFonts w:eastAsia="宋体" w:hint="eastAsia"/>
          <w:b/>
          <w:bCs/>
          <w:color w:val="000000" w:themeColor="text1"/>
          <w:szCs w:val="24"/>
          <w:lang w:eastAsia="zh-CN"/>
        </w:rPr>
        <w:t>1</w:t>
      </w:r>
      <w:r>
        <w:rPr>
          <w:rFonts w:eastAsia="宋体"/>
          <w:b/>
          <w:bCs/>
          <w:color w:val="000000" w:themeColor="text1"/>
          <w:szCs w:val="24"/>
          <w:lang w:eastAsia="zh-CN"/>
        </w:rPr>
        <w:t>.</w:t>
      </w:r>
      <w:r w:rsidR="00640699">
        <w:rPr>
          <w:rFonts w:eastAsia="宋体"/>
          <w:b/>
          <w:bCs/>
          <w:color w:val="000000" w:themeColor="text1"/>
          <w:szCs w:val="24"/>
          <w:lang w:eastAsia="zh-CN"/>
        </w:rPr>
        <w:t>1</w:t>
      </w:r>
      <w:r>
        <w:rPr>
          <w:rFonts w:eastAsia="宋体"/>
          <w:b/>
          <w:bCs/>
          <w:color w:val="000000" w:themeColor="text1"/>
          <w:szCs w:val="24"/>
          <w:lang w:eastAsia="zh-CN"/>
        </w:rPr>
        <w:t>.5</w:t>
      </w:r>
      <w:bookmarkStart w:id="3" w:name="OLE_LINK7"/>
      <w:r>
        <w:rPr>
          <w:rFonts w:eastAsia="宋体"/>
          <w:color w:val="000000" w:themeColor="text1"/>
          <w:szCs w:val="24"/>
          <w:lang w:eastAsia="zh-CN"/>
        </w:rPr>
        <w:t xml:space="preserve"> </w:t>
      </w:r>
      <w:r>
        <w:rPr>
          <w:b/>
          <w:bCs/>
          <w:color w:val="000000" w:themeColor="text1"/>
          <w:szCs w:val="24"/>
        </w:rPr>
        <w:t xml:space="preserve">Recovery </w:t>
      </w:r>
    </w:p>
    <w:p w14:paraId="37FD649F" w14:textId="77777777" w:rsidR="00776A15" w:rsidRDefault="008E446C">
      <w:pPr>
        <w:spacing w:line="360" w:lineRule="auto"/>
        <w:ind w:firstLineChars="200" w:firstLine="480"/>
        <w:jc w:val="both"/>
        <w:rPr>
          <w:rFonts w:eastAsia="宋体"/>
          <w:color w:val="000000" w:themeColor="text1"/>
          <w:szCs w:val="24"/>
        </w:rPr>
      </w:pPr>
      <w:r>
        <w:rPr>
          <w:rFonts w:eastAsia="宋体"/>
          <w:color w:val="000000" w:themeColor="text1"/>
          <w:szCs w:val="24"/>
        </w:rPr>
        <w:lastRenderedPageBreak/>
        <w:t xml:space="preserve">The extraction recovery was carried out by comparing the peak area of the biological samples at three levels of QC samples (A) with those in the acetonitrile at the same concentration (B) with six replicates. The ratio (A/B × 100) % was used to evaluate the extraction recovery. The relative recovery rate was calculated by the ratio of </w:t>
      </w:r>
      <w:r>
        <w:rPr>
          <w:rFonts w:eastAsia="宋体" w:hint="eastAsia"/>
          <w:color w:val="000000" w:themeColor="text1"/>
          <w:szCs w:val="24"/>
          <w:lang w:eastAsia="zh-CN"/>
        </w:rPr>
        <w:t>the</w:t>
      </w:r>
      <w:r>
        <w:rPr>
          <w:rFonts w:eastAsia="宋体"/>
          <w:color w:val="000000" w:themeColor="text1"/>
          <w:szCs w:val="24"/>
        </w:rPr>
        <w:t xml:space="preserve"> measured concentration to added concentration of the drug. </w:t>
      </w:r>
    </w:p>
    <w:bookmarkEnd w:id="3"/>
    <w:p w14:paraId="37FD64A0" w14:textId="327E5105" w:rsidR="00776A15" w:rsidRDefault="008E446C">
      <w:pPr>
        <w:spacing w:line="360" w:lineRule="auto"/>
        <w:jc w:val="both"/>
        <w:rPr>
          <w:rFonts w:eastAsia="等线" w:cs="Times New Roman"/>
          <w:color w:val="000000" w:themeColor="text1"/>
          <w:sz w:val="21"/>
          <w:szCs w:val="21"/>
          <w:lang w:eastAsia="zh-CN"/>
        </w:rPr>
      </w:pPr>
      <w:r>
        <w:rPr>
          <w:rFonts w:eastAsia="宋体" w:hint="eastAsia"/>
          <w:b/>
          <w:bCs/>
          <w:color w:val="000000" w:themeColor="text1"/>
          <w:szCs w:val="24"/>
          <w:lang w:eastAsia="zh-CN"/>
        </w:rPr>
        <w:t>1</w:t>
      </w:r>
      <w:r>
        <w:rPr>
          <w:rFonts w:eastAsia="宋体"/>
          <w:b/>
          <w:bCs/>
          <w:color w:val="000000" w:themeColor="text1"/>
          <w:szCs w:val="24"/>
          <w:lang w:eastAsia="zh-CN"/>
        </w:rPr>
        <w:t>.</w:t>
      </w:r>
      <w:r w:rsidR="00640699">
        <w:rPr>
          <w:rFonts w:eastAsia="宋体"/>
          <w:b/>
          <w:bCs/>
          <w:color w:val="000000" w:themeColor="text1"/>
          <w:szCs w:val="24"/>
          <w:lang w:eastAsia="zh-CN"/>
        </w:rPr>
        <w:t>1</w:t>
      </w:r>
      <w:r>
        <w:rPr>
          <w:rFonts w:eastAsia="宋体"/>
          <w:b/>
          <w:bCs/>
          <w:color w:val="000000" w:themeColor="text1"/>
          <w:szCs w:val="24"/>
          <w:lang w:eastAsia="zh-CN"/>
        </w:rPr>
        <w:t>.6</w:t>
      </w:r>
      <w:r>
        <w:rPr>
          <w:rFonts w:eastAsia="宋体"/>
          <w:color w:val="000000" w:themeColor="text1"/>
          <w:szCs w:val="24"/>
          <w:lang w:eastAsia="zh-CN"/>
        </w:rPr>
        <w:t xml:space="preserve"> </w:t>
      </w:r>
      <w:r>
        <w:rPr>
          <w:rFonts w:eastAsia="宋体"/>
          <w:b/>
          <w:bCs/>
          <w:color w:val="000000" w:themeColor="text1"/>
          <w:szCs w:val="24"/>
        </w:rPr>
        <w:t>Stability</w:t>
      </w:r>
    </w:p>
    <w:p w14:paraId="37FD64A1" w14:textId="0046EF14" w:rsidR="00776A15" w:rsidRDefault="008E446C">
      <w:pPr>
        <w:spacing w:line="360" w:lineRule="auto"/>
        <w:ind w:firstLineChars="200" w:firstLine="480"/>
        <w:jc w:val="both"/>
        <w:rPr>
          <w:rFonts w:eastAsia="宋体"/>
          <w:color w:val="000000" w:themeColor="text1"/>
          <w:szCs w:val="24"/>
        </w:rPr>
      </w:pPr>
      <w:r>
        <w:rPr>
          <w:rFonts w:eastAsia="宋体"/>
          <w:color w:val="000000" w:themeColor="text1"/>
          <w:szCs w:val="24"/>
        </w:rPr>
        <w:t>Three levels of QC samples were prepared and stored at room temperature and -80℃</w:t>
      </w:r>
      <w:r>
        <w:rPr>
          <w:rFonts w:eastAsia="宋体" w:hint="eastAsia"/>
          <w:color w:val="000000" w:themeColor="text1"/>
          <w:szCs w:val="24"/>
        </w:rPr>
        <w:t>, respectively</w:t>
      </w:r>
      <w:r>
        <w:rPr>
          <w:rFonts w:eastAsia="宋体"/>
          <w:color w:val="000000" w:themeColor="text1"/>
          <w:szCs w:val="24"/>
        </w:rPr>
        <w:t>. The stability was analyzed under</w:t>
      </w:r>
      <w:r>
        <w:rPr>
          <w:rFonts w:eastAsia="宋体" w:hint="eastAsia"/>
          <w:color w:val="000000" w:themeColor="text1"/>
          <w:szCs w:val="24"/>
        </w:rPr>
        <w:t xml:space="preserve"> </w:t>
      </w:r>
      <w:r>
        <w:rPr>
          <w:rFonts w:eastAsia="宋体"/>
          <w:color w:val="000000" w:themeColor="text1"/>
          <w:szCs w:val="24"/>
        </w:rPr>
        <w:t>three different circumstances: (a) the storage at room temperature for 24</w:t>
      </w:r>
      <w:r>
        <w:rPr>
          <w:rFonts w:eastAsia="宋体" w:hint="eastAsia"/>
          <w:color w:val="000000" w:themeColor="text1"/>
          <w:szCs w:val="24"/>
        </w:rPr>
        <w:t xml:space="preserve"> </w:t>
      </w:r>
      <w:r>
        <w:rPr>
          <w:rFonts w:eastAsia="宋体"/>
          <w:color w:val="000000" w:themeColor="text1"/>
          <w:szCs w:val="24"/>
        </w:rPr>
        <w:t>h; (b) after three</w:t>
      </w:r>
      <w:r>
        <w:rPr>
          <w:rFonts w:eastAsia="宋体" w:hint="eastAsia"/>
          <w:color w:val="000000" w:themeColor="text1"/>
          <w:szCs w:val="24"/>
        </w:rPr>
        <w:t xml:space="preserve"> </w:t>
      </w:r>
      <w:r>
        <w:rPr>
          <w:rFonts w:eastAsia="宋体"/>
          <w:color w:val="000000" w:themeColor="text1"/>
          <w:szCs w:val="24"/>
        </w:rPr>
        <w:t>freeze</w:t>
      </w:r>
      <w:r>
        <w:rPr>
          <w:rFonts w:eastAsia="宋体" w:hint="eastAsia"/>
          <w:color w:val="000000" w:themeColor="text1"/>
          <w:szCs w:val="24"/>
        </w:rPr>
        <w:t>-</w:t>
      </w:r>
      <w:r>
        <w:rPr>
          <w:rFonts w:eastAsia="宋体"/>
          <w:color w:val="000000" w:themeColor="text1"/>
          <w:szCs w:val="24"/>
        </w:rPr>
        <w:t xml:space="preserve">thaw cycles from -80℃ to room temperature; (c) at 40 ℃ for </w:t>
      </w:r>
      <w:r w:rsidR="00302402">
        <w:rPr>
          <w:rFonts w:eastAsia="宋体"/>
          <w:color w:val="000000" w:themeColor="text1"/>
          <w:szCs w:val="24"/>
        </w:rPr>
        <w:t xml:space="preserve">1 </w:t>
      </w:r>
      <w:r w:rsidR="00302402">
        <w:rPr>
          <w:rFonts w:eastAsia="宋体" w:hint="eastAsia"/>
          <w:color w:val="000000" w:themeColor="text1"/>
          <w:szCs w:val="24"/>
          <w:lang w:eastAsia="zh-CN"/>
        </w:rPr>
        <w:t>month</w:t>
      </w:r>
      <w:r>
        <w:rPr>
          <w:rFonts w:eastAsia="宋体"/>
          <w:color w:val="000000" w:themeColor="text1"/>
          <w:szCs w:val="24"/>
        </w:rPr>
        <w:t>.</w:t>
      </w:r>
    </w:p>
    <w:p w14:paraId="37FD64A2" w14:textId="45D07A5B" w:rsidR="00776A15" w:rsidRDefault="008E446C">
      <w:pPr>
        <w:spacing w:beforeLines="100" w:before="240" w:afterLines="100" w:line="480" w:lineRule="auto"/>
        <w:rPr>
          <w:rFonts w:eastAsia="宋体"/>
          <w:b/>
          <w:bCs/>
          <w:color w:val="000000" w:themeColor="text1"/>
          <w:szCs w:val="24"/>
        </w:rPr>
      </w:pPr>
      <w:r>
        <w:rPr>
          <w:rFonts w:eastAsia="宋体"/>
          <w:b/>
          <w:bCs/>
          <w:color w:val="000000" w:themeColor="text1"/>
          <w:szCs w:val="24"/>
        </w:rPr>
        <w:t>1.</w:t>
      </w:r>
      <w:r w:rsidR="00640699">
        <w:rPr>
          <w:rFonts w:eastAsia="宋体"/>
          <w:b/>
          <w:bCs/>
          <w:color w:val="000000" w:themeColor="text1"/>
          <w:szCs w:val="24"/>
        </w:rPr>
        <w:t>1</w:t>
      </w:r>
      <w:r>
        <w:rPr>
          <w:rFonts w:eastAsia="宋体"/>
          <w:b/>
          <w:bCs/>
          <w:color w:val="000000" w:themeColor="text1"/>
          <w:szCs w:val="24"/>
        </w:rPr>
        <w:t>.7 Statistical expression</w:t>
      </w:r>
    </w:p>
    <w:p w14:paraId="37FD64A3" w14:textId="77777777" w:rsidR="00776A15" w:rsidRDefault="008E446C">
      <w:pPr>
        <w:spacing w:line="360" w:lineRule="auto"/>
        <w:ind w:firstLineChars="200" w:firstLine="480"/>
        <w:jc w:val="both"/>
        <w:rPr>
          <w:rFonts w:eastAsia="宋体"/>
          <w:color w:val="000000" w:themeColor="text1"/>
          <w:szCs w:val="24"/>
        </w:rPr>
      </w:pPr>
      <w:r>
        <w:rPr>
          <w:rFonts w:eastAsia="宋体"/>
          <w:color w:val="000000" w:themeColor="text1"/>
          <w:szCs w:val="24"/>
        </w:rPr>
        <w:t>All data were show</w:t>
      </w:r>
      <w:r>
        <w:rPr>
          <w:rFonts w:eastAsia="宋体" w:hint="eastAsia"/>
          <w:color w:val="000000" w:themeColor="text1"/>
          <w:szCs w:val="24"/>
        </w:rPr>
        <w:t>n</w:t>
      </w:r>
      <w:r>
        <w:rPr>
          <w:rFonts w:eastAsia="宋体"/>
          <w:color w:val="000000" w:themeColor="text1"/>
          <w:szCs w:val="24"/>
        </w:rPr>
        <w:t xml:space="preserve"> as mean ± s</w:t>
      </w:r>
      <w:r>
        <w:rPr>
          <w:rFonts w:eastAsia="宋体" w:hint="eastAsia"/>
          <w:color w:val="000000" w:themeColor="text1"/>
          <w:szCs w:val="24"/>
        </w:rPr>
        <w:t>trand deviation (</w:t>
      </w:r>
      <w:r>
        <w:rPr>
          <w:rFonts w:eastAsia="宋体"/>
          <w:color w:val="000000" w:themeColor="text1"/>
          <w:szCs w:val="24"/>
        </w:rPr>
        <w:t>SD</w:t>
      </w:r>
      <w:r>
        <w:rPr>
          <w:rFonts w:eastAsia="宋体" w:hint="eastAsia"/>
          <w:color w:val="000000" w:themeColor="text1"/>
          <w:szCs w:val="24"/>
        </w:rPr>
        <w:t>)</w:t>
      </w:r>
      <w:r>
        <w:rPr>
          <w:rFonts w:eastAsia="宋体"/>
          <w:color w:val="000000" w:themeColor="text1"/>
          <w:szCs w:val="24"/>
        </w:rPr>
        <w:t>.</w:t>
      </w:r>
    </w:p>
    <w:p w14:paraId="37FD64A4" w14:textId="77777777" w:rsidR="00776A15" w:rsidRDefault="008E446C">
      <w:pPr>
        <w:pStyle w:val="1"/>
        <w:spacing w:line="360" w:lineRule="auto"/>
        <w:rPr>
          <w:rFonts w:eastAsia="宋体"/>
          <w:color w:val="000000" w:themeColor="text1"/>
        </w:rPr>
      </w:pPr>
      <w:r>
        <w:rPr>
          <w:rFonts w:eastAsia="宋体"/>
          <w:color w:val="000000" w:themeColor="text1"/>
        </w:rPr>
        <w:t>Results</w:t>
      </w:r>
    </w:p>
    <w:p w14:paraId="37FD64A7" w14:textId="77777777" w:rsidR="00776A15" w:rsidRDefault="008E446C">
      <w:pPr>
        <w:pStyle w:val="2"/>
        <w:rPr>
          <w:lang w:eastAsia="zh-CN"/>
        </w:rPr>
      </w:pPr>
      <w:r>
        <w:rPr>
          <w:lang w:eastAsia="zh-CN"/>
        </w:rPr>
        <w:t>Method</w:t>
      </w:r>
      <w:r>
        <w:rPr>
          <w:rFonts w:eastAsia="宋体"/>
          <w:color w:val="000000" w:themeColor="text1"/>
        </w:rPr>
        <w:t xml:space="preserve"> validation</w:t>
      </w:r>
      <w:r>
        <w:rPr>
          <w:lang w:eastAsia="zh-CN"/>
        </w:rPr>
        <w:t xml:space="preserve"> </w:t>
      </w:r>
    </w:p>
    <w:p w14:paraId="37FD64A8" w14:textId="1659547E" w:rsidR="00776A15" w:rsidRDefault="008E446C">
      <w:pPr>
        <w:spacing w:line="360" w:lineRule="auto"/>
        <w:ind w:firstLineChars="200" w:firstLine="480"/>
        <w:jc w:val="both"/>
        <w:rPr>
          <w:rFonts w:eastAsia="宋体"/>
          <w:color w:val="000000" w:themeColor="text1"/>
          <w:szCs w:val="24"/>
        </w:rPr>
      </w:pPr>
      <w:bookmarkStart w:id="4" w:name="OLE_LINK62"/>
      <w:r>
        <w:rPr>
          <w:rFonts w:eastAsia="宋体"/>
          <w:color w:val="000000" w:themeColor="text1"/>
          <w:szCs w:val="24"/>
        </w:rPr>
        <w:t>A rapid, sensitive, and selective HPLC method was developed in this study. Fig</w:t>
      </w:r>
      <w:r>
        <w:rPr>
          <w:rFonts w:eastAsia="宋体" w:hint="eastAsia"/>
          <w:color w:val="000000" w:themeColor="text1"/>
          <w:szCs w:val="24"/>
        </w:rPr>
        <w:t>.</w:t>
      </w:r>
      <w:r>
        <w:rPr>
          <w:rFonts w:eastAsia="宋体"/>
          <w:color w:val="000000" w:themeColor="text1"/>
          <w:szCs w:val="24"/>
        </w:rPr>
        <w:t xml:space="preserve"> S1 </w:t>
      </w:r>
      <w:r>
        <w:rPr>
          <w:rFonts w:eastAsia="宋体" w:hint="eastAsia"/>
          <w:color w:val="000000" w:themeColor="text1"/>
          <w:szCs w:val="24"/>
        </w:rPr>
        <w:t>indicated</w:t>
      </w:r>
      <w:r>
        <w:rPr>
          <w:rFonts w:eastAsia="宋体"/>
          <w:color w:val="000000" w:themeColor="text1"/>
          <w:szCs w:val="24"/>
        </w:rPr>
        <w:t xml:space="preserve"> that drug-free samples had no interference at the retention time of OBB and the I.S. Calibration curves were linear over the concentration range of 0.19–12.5</w:t>
      </w:r>
      <w:r w:rsidR="00A46201">
        <w:rPr>
          <w:rFonts w:eastAsia="宋体"/>
          <w:color w:val="000000" w:themeColor="text1"/>
          <w:szCs w:val="24"/>
        </w:rPr>
        <w:t>0</w:t>
      </w:r>
      <w:r>
        <w:rPr>
          <w:rFonts w:eastAsia="宋体"/>
          <w:color w:val="000000" w:themeColor="text1"/>
          <w:szCs w:val="24"/>
        </w:rPr>
        <w:t xml:space="preserve"> μg/mL for OBB in blood</w:t>
      </w:r>
      <w:r>
        <w:rPr>
          <w:rFonts w:eastAsia="宋体" w:hint="eastAsia"/>
          <w:color w:val="000000" w:themeColor="text1"/>
          <w:szCs w:val="24"/>
        </w:rPr>
        <w:t xml:space="preserve"> </w:t>
      </w:r>
      <w:r>
        <w:rPr>
          <w:rFonts w:eastAsia="宋体"/>
          <w:color w:val="000000" w:themeColor="text1"/>
          <w:szCs w:val="24"/>
        </w:rPr>
        <w:t>with correlation coefficients above 0.99</w:t>
      </w:r>
      <w:r w:rsidRPr="00457B54">
        <w:rPr>
          <w:rFonts w:eastAsia="宋体"/>
          <w:szCs w:val="24"/>
        </w:rPr>
        <w:t>0. LOQ was 0.05</w:t>
      </w:r>
      <w:r w:rsidRPr="00457B54">
        <w:rPr>
          <w:rFonts w:eastAsia="宋体" w:hint="eastAsia"/>
          <w:szCs w:val="24"/>
        </w:rPr>
        <w:t xml:space="preserve"> </w:t>
      </w:r>
      <w:proofErr w:type="spellStart"/>
      <w:r w:rsidRPr="00457B54">
        <w:rPr>
          <w:rFonts w:eastAsia="宋体"/>
          <w:szCs w:val="24"/>
        </w:rPr>
        <w:t>μg</w:t>
      </w:r>
      <w:proofErr w:type="spellEnd"/>
      <w:r w:rsidRPr="00457B54">
        <w:rPr>
          <w:rFonts w:eastAsia="宋体"/>
          <w:szCs w:val="24"/>
        </w:rPr>
        <w:t xml:space="preserve">/mL for OBB. </w:t>
      </w:r>
      <w:r>
        <w:rPr>
          <w:rFonts w:eastAsia="宋体"/>
          <w:color w:val="000000" w:themeColor="text1"/>
          <w:szCs w:val="24"/>
        </w:rPr>
        <w:t>As shown in Table S1-S</w:t>
      </w:r>
      <w:r w:rsidR="0062191D">
        <w:rPr>
          <w:rFonts w:eastAsia="宋体"/>
          <w:color w:val="000000" w:themeColor="text1"/>
          <w:szCs w:val="24"/>
        </w:rPr>
        <w:t>3</w:t>
      </w:r>
      <w:r>
        <w:rPr>
          <w:rFonts w:eastAsia="宋体"/>
          <w:color w:val="000000" w:themeColor="text1"/>
          <w:szCs w:val="24"/>
        </w:rPr>
        <w:t xml:space="preserve">, for </w:t>
      </w:r>
      <w:r>
        <w:rPr>
          <w:rFonts w:eastAsia="宋体" w:hint="eastAsia"/>
          <w:color w:val="000000" w:themeColor="text1"/>
          <w:szCs w:val="24"/>
        </w:rPr>
        <w:t xml:space="preserve">the </w:t>
      </w:r>
      <w:r>
        <w:rPr>
          <w:rFonts w:eastAsia="宋体"/>
          <w:color w:val="000000" w:themeColor="text1"/>
          <w:szCs w:val="24"/>
        </w:rPr>
        <w:t>inter- and intra-day precision values, the relative standard deviation (RSD) was within 1</w:t>
      </w:r>
      <w:r w:rsidR="00A62C8B">
        <w:rPr>
          <w:rFonts w:eastAsia="宋体"/>
          <w:color w:val="000000" w:themeColor="text1"/>
          <w:szCs w:val="24"/>
        </w:rPr>
        <w:t>0</w:t>
      </w:r>
      <w:r>
        <w:rPr>
          <w:rFonts w:eastAsia="宋体"/>
          <w:color w:val="000000" w:themeColor="text1"/>
          <w:szCs w:val="24"/>
        </w:rPr>
        <w:t xml:space="preserve">% and </w:t>
      </w:r>
      <w:r>
        <w:rPr>
          <w:rFonts w:eastAsia="宋体" w:hint="eastAsia"/>
          <w:color w:val="000000" w:themeColor="text1"/>
          <w:szCs w:val="24"/>
        </w:rPr>
        <w:t xml:space="preserve">the </w:t>
      </w:r>
      <w:r>
        <w:rPr>
          <w:rFonts w:eastAsia="宋体"/>
          <w:color w:val="000000" w:themeColor="text1"/>
          <w:szCs w:val="24"/>
        </w:rPr>
        <w:t>accuracy relative recovery (RR) ranged from 90% to 110%</w:t>
      </w:r>
      <w:bookmarkEnd w:id="4"/>
      <w:r w:rsidR="00640699">
        <w:rPr>
          <w:rFonts w:eastAsia="宋体"/>
          <w:color w:val="000000" w:themeColor="text1"/>
          <w:szCs w:val="24"/>
        </w:rPr>
        <w:t xml:space="preserve">. </w:t>
      </w:r>
      <w:r>
        <w:rPr>
          <w:rFonts w:eastAsia="宋体"/>
          <w:color w:val="000000" w:themeColor="text1"/>
          <w:szCs w:val="24"/>
        </w:rPr>
        <w:t>The results of the extract</w:t>
      </w:r>
      <w:r>
        <w:rPr>
          <w:rFonts w:eastAsia="宋体" w:hint="eastAsia"/>
          <w:color w:val="000000" w:themeColor="text1"/>
          <w:szCs w:val="24"/>
        </w:rPr>
        <w:t>ion</w:t>
      </w:r>
      <w:r>
        <w:rPr>
          <w:rFonts w:eastAsia="宋体"/>
          <w:color w:val="000000" w:themeColor="text1"/>
          <w:szCs w:val="24"/>
        </w:rPr>
        <w:t xml:space="preserve"> recoveries ranged from </w:t>
      </w:r>
      <w:r w:rsidR="00521D08">
        <w:rPr>
          <w:rFonts w:eastAsia="宋体"/>
          <w:color w:val="000000" w:themeColor="text1"/>
          <w:szCs w:val="24"/>
        </w:rPr>
        <w:t>90</w:t>
      </w:r>
      <w:r>
        <w:rPr>
          <w:rFonts w:eastAsia="宋体"/>
          <w:color w:val="000000" w:themeColor="text1"/>
          <w:szCs w:val="24"/>
        </w:rPr>
        <w:t xml:space="preserve">% to 95%, with RSD values below </w:t>
      </w:r>
      <w:r w:rsidR="00521D08">
        <w:rPr>
          <w:rFonts w:eastAsia="宋体"/>
          <w:color w:val="000000" w:themeColor="text1"/>
          <w:szCs w:val="24"/>
        </w:rPr>
        <w:t>7</w:t>
      </w:r>
      <w:r>
        <w:rPr>
          <w:rFonts w:eastAsia="宋体"/>
          <w:color w:val="000000" w:themeColor="text1"/>
          <w:szCs w:val="24"/>
        </w:rPr>
        <w:t>%, and method recoveries ranged from 9</w:t>
      </w:r>
      <w:r w:rsidR="00521D08">
        <w:rPr>
          <w:rFonts w:eastAsia="宋体"/>
          <w:color w:val="000000" w:themeColor="text1"/>
          <w:szCs w:val="24"/>
        </w:rPr>
        <w:t>1</w:t>
      </w:r>
      <w:r>
        <w:rPr>
          <w:rFonts w:eastAsia="宋体"/>
          <w:color w:val="000000" w:themeColor="text1"/>
          <w:szCs w:val="24"/>
        </w:rPr>
        <w:t xml:space="preserve">% to 105%, with RSD values below </w:t>
      </w:r>
      <w:r w:rsidR="00A62C8B">
        <w:rPr>
          <w:rFonts w:eastAsia="宋体"/>
          <w:color w:val="000000" w:themeColor="text1"/>
          <w:szCs w:val="24"/>
        </w:rPr>
        <w:t>5</w:t>
      </w:r>
      <w:r>
        <w:rPr>
          <w:rFonts w:eastAsia="宋体"/>
          <w:color w:val="000000" w:themeColor="text1"/>
          <w:szCs w:val="24"/>
        </w:rPr>
        <w:t xml:space="preserve">%. OBB did not degrade significantly during the process of sample storage, preparation, and analysis. All method validation results </w:t>
      </w:r>
      <w:r>
        <w:rPr>
          <w:rFonts w:eastAsia="宋体" w:hint="eastAsia"/>
          <w:color w:val="000000" w:themeColor="text1"/>
          <w:szCs w:val="24"/>
        </w:rPr>
        <w:t>indicated</w:t>
      </w:r>
      <w:r>
        <w:rPr>
          <w:rFonts w:eastAsia="宋体"/>
          <w:color w:val="000000" w:themeColor="text1"/>
          <w:szCs w:val="24"/>
        </w:rPr>
        <w:t xml:space="preserve"> that the established method me</w:t>
      </w:r>
      <w:r>
        <w:rPr>
          <w:rFonts w:eastAsia="宋体" w:hint="eastAsia"/>
          <w:color w:val="000000" w:themeColor="text1"/>
          <w:szCs w:val="24"/>
        </w:rPr>
        <w:t>t</w:t>
      </w:r>
      <w:r>
        <w:rPr>
          <w:rFonts w:eastAsia="宋体"/>
          <w:color w:val="000000" w:themeColor="text1"/>
          <w:szCs w:val="24"/>
        </w:rPr>
        <w:t xml:space="preserve"> the quantitative requirement. Tak</w:t>
      </w:r>
      <w:r>
        <w:rPr>
          <w:rFonts w:eastAsia="宋体" w:hint="eastAsia"/>
          <w:color w:val="000000" w:themeColor="text1"/>
          <w:szCs w:val="24"/>
        </w:rPr>
        <w:t>en</w:t>
      </w:r>
      <w:r>
        <w:rPr>
          <w:rFonts w:eastAsia="宋体"/>
          <w:color w:val="000000" w:themeColor="text1"/>
          <w:szCs w:val="24"/>
        </w:rPr>
        <w:t xml:space="preserve"> together, a reliable and sensitive HPLC method was developed for the simultaneous quantification of OBB.</w:t>
      </w:r>
    </w:p>
    <w:p w14:paraId="37FD64A9" w14:textId="77777777" w:rsidR="00776A15" w:rsidRDefault="00776A15">
      <w:pPr>
        <w:spacing w:line="360" w:lineRule="auto"/>
        <w:ind w:firstLineChars="200" w:firstLine="480"/>
        <w:rPr>
          <w:rFonts w:eastAsia="宋体"/>
          <w:color w:val="000000" w:themeColor="text1"/>
          <w:szCs w:val="24"/>
        </w:rPr>
      </w:pPr>
    </w:p>
    <w:p w14:paraId="37FD64AA" w14:textId="77777777" w:rsidR="00776A15" w:rsidRDefault="00776A15">
      <w:pPr>
        <w:spacing w:line="360" w:lineRule="auto"/>
        <w:ind w:firstLineChars="200" w:firstLine="480"/>
        <w:rPr>
          <w:rFonts w:eastAsia="宋体"/>
          <w:color w:val="000000" w:themeColor="text1"/>
          <w:szCs w:val="24"/>
        </w:rPr>
      </w:pPr>
    </w:p>
    <w:p w14:paraId="37FD64B0" w14:textId="4453D955" w:rsidR="00776A15" w:rsidRDefault="00776A15" w:rsidP="00640699">
      <w:pPr>
        <w:spacing w:line="360" w:lineRule="auto"/>
        <w:rPr>
          <w:rFonts w:eastAsia="宋体"/>
          <w:color w:val="000000" w:themeColor="text1"/>
          <w:szCs w:val="24"/>
        </w:rPr>
      </w:pPr>
    </w:p>
    <w:p w14:paraId="37FD64B1" w14:textId="00C68EC7" w:rsidR="00776A15" w:rsidRDefault="00A63A76">
      <w:pPr>
        <w:spacing w:line="360" w:lineRule="auto"/>
        <w:jc w:val="both"/>
        <w:rPr>
          <w:rFonts w:cs="Times New Roman"/>
          <w:b/>
          <w:color w:val="000000" w:themeColor="text1"/>
          <w:szCs w:val="24"/>
        </w:rPr>
      </w:pPr>
      <w:r>
        <w:rPr>
          <w:noProof/>
        </w:rPr>
        <w:lastRenderedPageBreak/>
        <w:drawing>
          <wp:inline distT="0" distB="0" distL="0" distR="0" wp14:anchorId="10A0947E" wp14:editId="45C205A1">
            <wp:extent cx="6208395" cy="43243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8395" cy="4324350"/>
                    </a:xfrm>
                    <a:prstGeom prst="rect">
                      <a:avLst/>
                    </a:prstGeom>
                    <a:noFill/>
                    <a:ln>
                      <a:noFill/>
                    </a:ln>
                  </pic:spPr>
                </pic:pic>
              </a:graphicData>
            </a:graphic>
          </wp:inline>
        </w:drawing>
      </w:r>
    </w:p>
    <w:p w14:paraId="37FD64B2" w14:textId="1B9B7A56" w:rsidR="00776A15" w:rsidRDefault="008E446C">
      <w:pPr>
        <w:spacing w:line="360" w:lineRule="auto"/>
        <w:jc w:val="both"/>
        <w:rPr>
          <w:rFonts w:eastAsia="宋体"/>
          <w:color w:val="000000" w:themeColor="text1"/>
          <w:szCs w:val="24"/>
        </w:rPr>
      </w:pPr>
      <w:r>
        <w:rPr>
          <w:rFonts w:cs="Times New Roman"/>
          <w:b/>
          <w:color w:val="000000" w:themeColor="text1"/>
          <w:szCs w:val="24"/>
        </w:rPr>
        <w:t>Supplementary</w:t>
      </w:r>
      <w:r>
        <w:rPr>
          <w:rFonts w:eastAsia="宋体"/>
          <w:b/>
          <w:bCs/>
          <w:color w:val="000000" w:themeColor="text1"/>
          <w:szCs w:val="24"/>
        </w:rPr>
        <w:t xml:space="preserve"> Fig</w:t>
      </w:r>
      <w:r>
        <w:rPr>
          <w:rFonts w:eastAsia="宋体" w:hint="eastAsia"/>
          <w:b/>
          <w:bCs/>
          <w:color w:val="000000" w:themeColor="text1"/>
          <w:szCs w:val="24"/>
        </w:rPr>
        <w:t>.</w:t>
      </w:r>
      <w:r>
        <w:rPr>
          <w:rFonts w:eastAsia="宋体"/>
          <w:b/>
          <w:bCs/>
          <w:color w:val="000000" w:themeColor="text1"/>
          <w:szCs w:val="24"/>
        </w:rPr>
        <w:t xml:space="preserve"> S1. </w:t>
      </w:r>
      <w:r>
        <w:rPr>
          <w:rFonts w:eastAsia="宋体"/>
          <w:color w:val="000000" w:themeColor="text1"/>
          <w:szCs w:val="24"/>
        </w:rPr>
        <w:t xml:space="preserve">Validation of specificity </w:t>
      </w:r>
      <w:r>
        <w:rPr>
          <w:rFonts w:eastAsia="宋体" w:hint="eastAsia"/>
          <w:color w:val="000000" w:themeColor="text1"/>
          <w:szCs w:val="24"/>
        </w:rPr>
        <w:t>of</w:t>
      </w:r>
      <w:r>
        <w:rPr>
          <w:rFonts w:eastAsia="宋体"/>
          <w:color w:val="000000" w:themeColor="text1"/>
          <w:szCs w:val="24"/>
        </w:rPr>
        <w:t xml:space="preserve"> OBB and IS in</w:t>
      </w:r>
      <w:r w:rsidR="00633E64">
        <w:rPr>
          <w:rFonts w:eastAsia="宋体"/>
          <w:color w:val="000000" w:themeColor="text1"/>
          <w:szCs w:val="24"/>
        </w:rPr>
        <w:t xml:space="preserve"> HPLC </w:t>
      </w:r>
      <w:r w:rsidR="00633E64">
        <w:rPr>
          <w:rFonts w:eastAsia="宋体" w:hint="eastAsia"/>
          <w:color w:val="000000" w:themeColor="text1"/>
          <w:szCs w:val="24"/>
          <w:lang w:eastAsia="zh-CN"/>
        </w:rPr>
        <w:t>analysis.</w:t>
      </w:r>
      <w:r>
        <w:rPr>
          <w:rFonts w:eastAsia="宋体"/>
          <w:color w:val="000000" w:themeColor="text1"/>
          <w:szCs w:val="24"/>
        </w:rPr>
        <w:t xml:space="preserve"> (S1) Blank baseline; (S2) </w:t>
      </w:r>
      <w:r>
        <w:rPr>
          <w:rFonts w:eastAsia="宋体" w:hint="eastAsia"/>
          <w:color w:val="000000" w:themeColor="text1"/>
          <w:szCs w:val="24"/>
        </w:rPr>
        <w:t>Blank</w:t>
      </w:r>
      <w:r w:rsidR="00A93EC0">
        <w:rPr>
          <w:rFonts w:eastAsia="宋体"/>
          <w:color w:val="000000" w:themeColor="text1"/>
          <w:szCs w:val="24"/>
        </w:rPr>
        <w:t xml:space="preserve"> </w:t>
      </w:r>
      <w:r w:rsidR="00A93EC0">
        <w:rPr>
          <w:rFonts w:eastAsia="宋体" w:hint="eastAsia"/>
          <w:color w:val="000000" w:themeColor="text1"/>
          <w:szCs w:val="24"/>
          <w:lang w:eastAsia="zh-CN"/>
        </w:rPr>
        <w:t>blood</w:t>
      </w:r>
      <w:r>
        <w:rPr>
          <w:rFonts w:eastAsia="宋体"/>
          <w:color w:val="000000" w:themeColor="text1"/>
          <w:szCs w:val="24"/>
        </w:rPr>
        <w:t xml:space="preserve"> samples treated by acetonitrile </w:t>
      </w:r>
      <w:r>
        <w:rPr>
          <w:rFonts w:eastAsia="宋体" w:hint="eastAsia"/>
          <w:color w:val="000000" w:themeColor="text1"/>
          <w:szCs w:val="24"/>
        </w:rPr>
        <w:t xml:space="preserve">to </w:t>
      </w:r>
      <w:r>
        <w:rPr>
          <w:rFonts w:eastAsia="宋体"/>
          <w:color w:val="000000" w:themeColor="text1"/>
          <w:szCs w:val="24"/>
        </w:rPr>
        <w:t>precipitate protein</w:t>
      </w:r>
      <w:r>
        <w:rPr>
          <w:rFonts w:eastAsia="宋体" w:hint="eastAsia"/>
          <w:color w:val="000000" w:themeColor="text1"/>
          <w:szCs w:val="24"/>
        </w:rPr>
        <w:t xml:space="preserve"> </w:t>
      </w:r>
      <w:r>
        <w:rPr>
          <w:rFonts w:eastAsia="宋体"/>
          <w:color w:val="000000" w:themeColor="text1"/>
          <w:szCs w:val="24"/>
        </w:rPr>
        <w:t xml:space="preserve">(S3); Samples after administration </w:t>
      </w:r>
      <w:r>
        <w:rPr>
          <w:rFonts w:eastAsia="宋体" w:hint="eastAsia"/>
          <w:color w:val="000000" w:themeColor="text1"/>
          <w:szCs w:val="24"/>
        </w:rPr>
        <w:t>with</w:t>
      </w:r>
      <w:r>
        <w:rPr>
          <w:rFonts w:eastAsia="宋体"/>
          <w:color w:val="000000" w:themeColor="text1"/>
          <w:szCs w:val="24"/>
        </w:rPr>
        <w:t xml:space="preserve"> </w:t>
      </w:r>
      <w:r w:rsidR="00A93EC0">
        <w:rPr>
          <w:rFonts w:eastAsia="宋体"/>
          <w:color w:val="000000" w:themeColor="text1"/>
          <w:szCs w:val="24"/>
        </w:rPr>
        <w:t>OBB</w:t>
      </w:r>
      <w:r>
        <w:rPr>
          <w:rFonts w:eastAsia="宋体"/>
          <w:color w:val="000000" w:themeColor="text1"/>
          <w:szCs w:val="24"/>
        </w:rPr>
        <w:t xml:space="preserve">; (S4) Standard </w:t>
      </w:r>
      <w:r w:rsidR="00633E64">
        <w:rPr>
          <w:rFonts w:eastAsia="宋体" w:hint="eastAsia"/>
          <w:color w:val="000000" w:themeColor="text1"/>
          <w:szCs w:val="24"/>
          <w:lang w:eastAsia="zh-CN"/>
        </w:rPr>
        <w:t>of</w:t>
      </w:r>
      <w:r>
        <w:rPr>
          <w:rFonts w:eastAsia="宋体" w:hint="eastAsia"/>
          <w:color w:val="000000" w:themeColor="text1"/>
          <w:szCs w:val="24"/>
        </w:rPr>
        <w:t xml:space="preserve"> OBB</w:t>
      </w:r>
      <w:r>
        <w:rPr>
          <w:rFonts w:eastAsia="宋体"/>
          <w:color w:val="000000" w:themeColor="text1"/>
          <w:szCs w:val="24"/>
        </w:rPr>
        <w:t xml:space="preserve"> and IS</w:t>
      </w:r>
      <w:r w:rsidR="00633E64">
        <w:rPr>
          <w:rFonts w:eastAsia="宋体"/>
          <w:color w:val="000000" w:themeColor="text1"/>
          <w:szCs w:val="24"/>
        </w:rPr>
        <w:t xml:space="preserve"> </w:t>
      </w:r>
      <w:r w:rsidR="00633E64">
        <w:rPr>
          <w:rFonts w:eastAsia="宋体" w:hint="eastAsia"/>
          <w:color w:val="000000" w:themeColor="text1"/>
          <w:szCs w:val="24"/>
          <w:lang w:eastAsia="zh-CN"/>
        </w:rPr>
        <w:t>in</w:t>
      </w:r>
      <w:r w:rsidR="00633E64">
        <w:rPr>
          <w:rFonts w:eastAsia="宋体"/>
          <w:color w:val="000000" w:themeColor="text1"/>
          <w:szCs w:val="24"/>
        </w:rPr>
        <w:t xml:space="preserve"> </w:t>
      </w:r>
      <w:r w:rsidR="00633E64">
        <w:rPr>
          <w:rFonts w:eastAsia="宋体" w:hint="eastAsia"/>
          <w:color w:val="000000" w:themeColor="text1"/>
          <w:szCs w:val="24"/>
          <w:lang w:eastAsia="zh-CN"/>
        </w:rPr>
        <w:t>black</w:t>
      </w:r>
      <w:r w:rsidR="00633E64">
        <w:rPr>
          <w:rFonts w:eastAsia="宋体"/>
          <w:color w:val="000000" w:themeColor="text1"/>
          <w:szCs w:val="24"/>
          <w:lang w:eastAsia="zh-CN"/>
        </w:rPr>
        <w:t xml:space="preserve"> </w:t>
      </w:r>
      <w:r w:rsidR="00633E64">
        <w:rPr>
          <w:rFonts w:eastAsia="宋体" w:hint="eastAsia"/>
          <w:color w:val="000000" w:themeColor="text1"/>
          <w:szCs w:val="24"/>
          <w:lang w:eastAsia="zh-CN"/>
        </w:rPr>
        <w:t>blood</w:t>
      </w:r>
      <w:r w:rsidR="00633E64">
        <w:rPr>
          <w:rFonts w:eastAsia="宋体"/>
          <w:color w:val="000000" w:themeColor="text1"/>
          <w:szCs w:val="24"/>
          <w:lang w:eastAsia="zh-CN"/>
        </w:rPr>
        <w:t xml:space="preserve"> </w:t>
      </w:r>
      <w:r w:rsidR="00633E64">
        <w:rPr>
          <w:rFonts w:eastAsia="宋体" w:hint="eastAsia"/>
          <w:color w:val="000000" w:themeColor="text1"/>
          <w:szCs w:val="24"/>
          <w:lang w:eastAsia="zh-CN"/>
        </w:rPr>
        <w:t>samples</w:t>
      </w:r>
      <w:r>
        <w:rPr>
          <w:rFonts w:eastAsia="宋体"/>
          <w:color w:val="000000" w:themeColor="text1"/>
          <w:szCs w:val="24"/>
        </w:rPr>
        <w:t>;</w:t>
      </w:r>
    </w:p>
    <w:p w14:paraId="37FD64B3" w14:textId="2044CB25" w:rsidR="00776A15" w:rsidRDefault="008E446C">
      <w:pPr>
        <w:spacing w:before="0" w:after="200" w:line="360" w:lineRule="auto"/>
        <w:jc w:val="center"/>
        <w:rPr>
          <w:rFonts w:eastAsia="宋体"/>
          <w:color w:val="000000" w:themeColor="text1"/>
          <w:szCs w:val="24"/>
        </w:rPr>
      </w:pPr>
      <w:r>
        <w:rPr>
          <w:rFonts w:eastAsia="宋体"/>
          <w:color w:val="000000" w:themeColor="text1"/>
          <w:szCs w:val="24"/>
        </w:rPr>
        <w:br w:type="page"/>
      </w:r>
      <w:bookmarkStart w:id="5" w:name="_Hlk91535686"/>
      <w:r>
        <w:rPr>
          <w:b/>
          <w:bCs/>
          <w:color w:val="000000" w:themeColor="text1"/>
        </w:rPr>
        <w:lastRenderedPageBreak/>
        <w:t>Supplementary Table S</w:t>
      </w:r>
      <w:r>
        <w:rPr>
          <w:b/>
          <w:bCs/>
          <w:color w:val="000000" w:themeColor="text1"/>
        </w:rPr>
        <w:fldChar w:fldCharType="begin"/>
      </w:r>
      <w:r>
        <w:rPr>
          <w:b/>
          <w:bCs/>
          <w:color w:val="000000" w:themeColor="text1"/>
        </w:rPr>
        <w:instrText xml:space="preserve"> SEQ Table \* ARABIC </w:instrText>
      </w:r>
      <w:r>
        <w:rPr>
          <w:b/>
          <w:bCs/>
          <w:color w:val="000000" w:themeColor="text1"/>
        </w:rPr>
        <w:fldChar w:fldCharType="separate"/>
      </w:r>
      <w:r>
        <w:rPr>
          <w:b/>
          <w:bCs/>
          <w:color w:val="000000" w:themeColor="text1"/>
        </w:rPr>
        <w:t>1</w:t>
      </w:r>
      <w:r>
        <w:rPr>
          <w:b/>
          <w:bCs/>
          <w:color w:val="000000" w:themeColor="text1"/>
        </w:rPr>
        <w:fldChar w:fldCharType="end"/>
      </w:r>
      <w:r>
        <w:rPr>
          <w:color w:val="000000" w:themeColor="text1"/>
        </w:rPr>
        <w:t xml:space="preserve"> </w:t>
      </w:r>
      <w:r>
        <w:rPr>
          <w:rFonts w:eastAsia="宋体"/>
          <w:color w:val="000000" w:themeColor="text1"/>
        </w:rPr>
        <w:t>The intra-day and inter-day precision and accuracy of OBB in whole blood samples of rats.</w:t>
      </w:r>
    </w:p>
    <w:tbl>
      <w:tblPr>
        <w:tblW w:w="9383" w:type="dxa"/>
        <w:jc w:val="center"/>
        <w:tblLook w:val="0000" w:firstRow="0" w:lastRow="0" w:firstColumn="0" w:lastColumn="0" w:noHBand="0" w:noVBand="0"/>
      </w:tblPr>
      <w:tblGrid>
        <w:gridCol w:w="1500"/>
        <w:gridCol w:w="1359"/>
        <w:gridCol w:w="1398"/>
        <w:gridCol w:w="1020"/>
        <w:gridCol w:w="876"/>
        <w:gridCol w:w="1371"/>
        <w:gridCol w:w="1000"/>
        <w:gridCol w:w="859"/>
      </w:tblGrid>
      <w:tr w:rsidR="00705FBE" w:rsidRPr="00705FBE" w14:paraId="3C032288" w14:textId="77777777" w:rsidTr="00D252D3">
        <w:trPr>
          <w:trHeight w:val="204"/>
          <w:jc w:val="center"/>
        </w:trPr>
        <w:tc>
          <w:tcPr>
            <w:tcW w:w="1500" w:type="dxa"/>
            <w:vMerge w:val="restart"/>
            <w:tcBorders>
              <w:top w:val="single" w:sz="8" w:space="0" w:color="000000"/>
              <w:left w:val="nil"/>
              <w:bottom w:val="single" w:sz="4" w:space="0" w:color="000000"/>
              <w:right w:val="nil"/>
            </w:tcBorders>
            <w:noWrap/>
            <w:vAlign w:val="center"/>
          </w:tcPr>
          <w:p w14:paraId="711EAB72"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0"/>
                <w:lang w:eastAsia="zh-CN" w:bidi="ar"/>
              </w:rPr>
              <w:t>Analyte</w:t>
            </w:r>
          </w:p>
        </w:tc>
        <w:tc>
          <w:tcPr>
            <w:tcW w:w="1359" w:type="dxa"/>
            <w:vMerge w:val="restart"/>
            <w:tcBorders>
              <w:top w:val="single" w:sz="8" w:space="0" w:color="000000"/>
              <w:left w:val="nil"/>
              <w:bottom w:val="single" w:sz="4" w:space="0" w:color="000000"/>
              <w:right w:val="nil"/>
            </w:tcBorders>
            <w:noWrap/>
            <w:vAlign w:val="center"/>
          </w:tcPr>
          <w:p w14:paraId="40A41F1D"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bidi="ar"/>
              </w:rPr>
            </w:pPr>
            <w:r w:rsidRPr="00705FBE">
              <w:rPr>
                <w:rFonts w:eastAsia="宋体" w:cs="Times New Roman"/>
                <w:color w:val="000000"/>
                <w:sz w:val="21"/>
                <w:szCs w:val="21"/>
                <w:lang w:eastAsia="zh-CN" w:bidi="ar"/>
              </w:rPr>
              <w:t>Samples concentration</w:t>
            </w:r>
          </w:p>
          <w:p w14:paraId="734A682F" w14:textId="1E6E6375"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w:t>
            </w:r>
            <w:r w:rsidR="00547C5C" w:rsidRPr="00547C5C">
              <w:rPr>
                <w:rFonts w:eastAsia="宋体" w:cs="Times New Roman"/>
                <w:color w:val="000000"/>
                <w:sz w:val="21"/>
                <w:szCs w:val="21"/>
                <w:lang w:eastAsia="zh-CN" w:bidi="ar"/>
              </w:rPr>
              <w:t>μ</w:t>
            </w:r>
            <w:r w:rsidRPr="00705FBE">
              <w:rPr>
                <w:rFonts w:eastAsia="宋体" w:cs="Times New Roman"/>
                <w:color w:val="000000"/>
                <w:sz w:val="21"/>
                <w:szCs w:val="21"/>
                <w:lang w:eastAsia="zh-CN" w:bidi="ar"/>
              </w:rPr>
              <w:t>g/mL)</w:t>
            </w:r>
          </w:p>
        </w:tc>
        <w:tc>
          <w:tcPr>
            <w:tcW w:w="3294" w:type="dxa"/>
            <w:gridSpan w:val="3"/>
            <w:tcBorders>
              <w:top w:val="single" w:sz="8" w:space="0" w:color="000000"/>
              <w:left w:val="nil"/>
              <w:bottom w:val="single" w:sz="4" w:space="0" w:color="000000"/>
              <w:right w:val="nil"/>
            </w:tcBorders>
            <w:noWrap/>
            <w:vAlign w:val="center"/>
          </w:tcPr>
          <w:p w14:paraId="088BCC50"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Intra-day</w:t>
            </w:r>
          </w:p>
        </w:tc>
        <w:tc>
          <w:tcPr>
            <w:tcW w:w="3230" w:type="dxa"/>
            <w:gridSpan w:val="3"/>
            <w:tcBorders>
              <w:top w:val="single" w:sz="8" w:space="0" w:color="000000"/>
              <w:left w:val="nil"/>
              <w:bottom w:val="single" w:sz="4" w:space="0" w:color="000000"/>
              <w:right w:val="nil"/>
            </w:tcBorders>
            <w:noWrap/>
            <w:vAlign w:val="center"/>
          </w:tcPr>
          <w:p w14:paraId="7629C8A4"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Inter-day</w:t>
            </w:r>
          </w:p>
        </w:tc>
      </w:tr>
      <w:tr w:rsidR="00705FBE" w:rsidRPr="00705FBE" w14:paraId="7A838357" w14:textId="77777777" w:rsidTr="00D252D3">
        <w:trPr>
          <w:trHeight w:val="437"/>
          <w:jc w:val="center"/>
        </w:trPr>
        <w:tc>
          <w:tcPr>
            <w:tcW w:w="1500" w:type="dxa"/>
            <w:vMerge/>
            <w:tcBorders>
              <w:top w:val="single" w:sz="8" w:space="0" w:color="000000"/>
              <w:left w:val="nil"/>
              <w:bottom w:val="single" w:sz="4" w:space="0" w:color="000000"/>
              <w:right w:val="nil"/>
            </w:tcBorders>
            <w:noWrap/>
            <w:vAlign w:val="center"/>
          </w:tcPr>
          <w:p w14:paraId="5F50850F" w14:textId="77777777" w:rsidR="00705FBE" w:rsidRPr="00705FBE" w:rsidRDefault="00705FBE" w:rsidP="00705FBE">
            <w:pPr>
              <w:widowControl w:val="0"/>
              <w:autoSpaceDE w:val="0"/>
              <w:autoSpaceDN w:val="0"/>
              <w:snapToGrid w:val="0"/>
              <w:spacing w:before="0" w:after="0" w:line="240" w:lineRule="atLeast"/>
              <w:jc w:val="center"/>
              <w:rPr>
                <w:rFonts w:eastAsia="宋体" w:cs="Times New Roman"/>
                <w:color w:val="000000"/>
                <w:sz w:val="21"/>
                <w:szCs w:val="21"/>
                <w:lang w:eastAsia="zh-CN"/>
              </w:rPr>
            </w:pPr>
          </w:p>
        </w:tc>
        <w:tc>
          <w:tcPr>
            <w:tcW w:w="1359" w:type="dxa"/>
            <w:vMerge/>
            <w:tcBorders>
              <w:top w:val="single" w:sz="8" w:space="0" w:color="000000"/>
              <w:left w:val="nil"/>
              <w:bottom w:val="single" w:sz="4" w:space="0" w:color="000000"/>
              <w:right w:val="nil"/>
            </w:tcBorders>
            <w:noWrap/>
            <w:vAlign w:val="center"/>
          </w:tcPr>
          <w:p w14:paraId="2F0D7F7F" w14:textId="77777777" w:rsidR="00705FBE" w:rsidRPr="00705FBE" w:rsidRDefault="00705FBE" w:rsidP="00705FBE">
            <w:pPr>
              <w:widowControl w:val="0"/>
              <w:autoSpaceDE w:val="0"/>
              <w:autoSpaceDN w:val="0"/>
              <w:snapToGrid w:val="0"/>
              <w:spacing w:before="0" w:after="0" w:line="240" w:lineRule="atLeast"/>
              <w:jc w:val="center"/>
              <w:rPr>
                <w:rFonts w:eastAsia="宋体" w:cs="Times New Roman"/>
                <w:color w:val="000000"/>
                <w:sz w:val="21"/>
                <w:szCs w:val="21"/>
                <w:lang w:eastAsia="zh-CN"/>
              </w:rPr>
            </w:pPr>
          </w:p>
        </w:tc>
        <w:tc>
          <w:tcPr>
            <w:tcW w:w="0" w:type="auto"/>
            <w:tcBorders>
              <w:top w:val="nil"/>
              <w:left w:val="nil"/>
              <w:bottom w:val="single" w:sz="4" w:space="0" w:color="000000"/>
              <w:right w:val="nil"/>
            </w:tcBorders>
            <w:noWrap/>
            <w:vAlign w:val="center"/>
          </w:tcPr>
          <w:p w14:paraId="33E0E5F5"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bidi="ar"/>
              </w:rPr>
            </w:pPr>
            <w:bookmarkStart w:id="6" w:name="OLE_LINK2"/>
            <w:r w:rsidRPr="00705FBE">
              <w:rPr>
                <w:rFonts w:eastAsia="宋体" w:cs="Times New Roman"/>
                <w:color w:val="000000"/>
                <w:sz w:val="21"/>
                <w:szCs w:val="21"/>
                <w:lang w:eastAsia="zh-CN" w:bidi="ar"/>
              </w:rPr>
              <w:t xml:space="preserve">Measured </w:t>
            </w:r>
          </w:p>
          <w:p w14:paraId="55E2B208"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bidi="ar"/>
              </w:rPr>
            </w:pPr>
            <w:r w:rsidRPr="00705FBE">
              <w:rPr>
                <w:rFonts w:eastAsia="宋体" w:cs="Times New Roman"/>
                <w:color w:val="000000"/>
                <w:sz w:val="21"/>
                <w:szCs w:val="21"/>
                <w:lang w:eastAsia="zh-CN" w:bidi="ar"/>
              </w:rPr>
              <w:t xml:space="preserve">concentration </w:t>
            </w:r>
          </w:p>
          <w:p w14:paraId="74D4C86D" w14:textId="4953E5A6"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w:t>
            </w:r>
            <w:r w:rsidR="00547C5C" w:rsidRPr="00547C5C">
              <w:rPr>
                <w:rFonts w:eastAsia="宋体" w:cs="Times New Roman"/>
                <w:color w:val="000000"/>
                <w:sz w:val="21"/>
                <w:szCs w:val="21"/>
                <w:lang w:eastAsia="zh-CN" w:bidi="ar"/>
              </w:rPr>
              <w:t>μ</w:t>
            </w:r>
            <w:r w:rsidRPr="00705FBE">
              <w:rPr>
                <w:rFonts w:eastAsia="宋体" w:cs="Times New Roman"/>
                <w:color w:val="000000"/>
                <w:sz w:val="21"/>
                <w:szCs w:val="21"/>
                <w:lang w:eastAsia="zh-CN" w:bidi="ar"/>
              </w:rPr>
              <w:t>g/mL)</w:t>
            </w:r>
            <w:bookmarkEnd w:id="6"/>
          </w:p>
        </w:tc>
        <w:tc>
          <w:tcPr>
            <w:tcW w:w="0" w:type="auto"/>
            <w:tcBorders>
              <w:top w:val="nil"/>
              <w:left w:val="nil"/>
              <w:bottom w:val="single" w:sz="4" w:space="0" w:color="000000"/>
              <w:right w:val="nil"/>
            </w:tcBorders>
            <w:noWrap/>
            <w:vAlign w:val="center"/>
          </w:tcPr>
          <w:p w14:paraId="2219F08A"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RSD (%)</w:t>
            </w:r>
          </w:p>
        </w:tc>
        <w:tc>
          <w:tcPr>
            <w:tcW w:w="0" w:type="auto"/>
            <w:tcBorders>
              <w:top w:val="nil"/>
              <w:left w:val="nil"/>
              <w:bottom w:val="single" w:sz="4" w:space="0" w:color="000000"/>
              <w:right w:val="nil"/>
            </w:tcBorders>
            <w:noWrap/>
            <w:vAlign w:val="center"/>
          </w:tcPr>
          <w:p w14:paraId="582DAA2F"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RE (%)</w:t>
            </w:r>
          </w:p>
        </w:tc>
        <w:tc>
          <w:tcPr>
            <w:tcW w:w="0" w:type="auto"/>
            <w:tcBorders>
              <w:top w:val="nil"/>
              <w:left w:val="nil"/>
              <w:bottom w:val="single" w:sz="4" w:space="0" w:color="000000"/>
              <w:right w:val="nil"/>
            </w:tcBorders>
            <w:noWrap/>
            <w:vAlign w:val="center"/>
          </w:tcPr>
          <w:p w14:paraId="6AE6B4EC"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bidi="ar"/>
              </w:rPr>
            </w:pPr>
            <w:r w:rsidRPr="00705FBE">
              <w:rPr>
                <w:rFonts w:eastAsia="宋体" w:cs="Times New Roman"/>
                <w:color w:val="000000"/>
                <w:sz w:val="21"/>
                <w:szCs w:val="21"/>
                <w:lang w:eastAsia="zh-CN" w:bidi="ar"/>
              </w:rPr>
              <w:t xml:space="preserve">Measured </w:t>
            </w:r>
          </w:p>
          <w:p w14:paraId="2FB7B87F"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bidi="ar"/>
              </w:rPr>
            </w:pPr>
            <w:r w:rsidRPr="00705FBE">
              <w:rPr>
                <w:rFonts w:eastAsia="宋体" w:cs="Times New Roman"/>
                <w:color w:val="000000"/>
                <w:sz w:val="21"/>
                <w:szCs w:val="21"/>
                <w:lang w:eastAsia="zh-CN" w:bidi="ar"/>
              </w:rPr>
              <w:t xml:space="preserve">concentration </w:t>
            </w:r>
          </w:p>
          <w:p w14:paraId="362DB63B" w14:textId="72385ABF"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w:t>
            </w:r>
            <w:r w:rsidR="00547C5C" w:rsidRPr="00547C5C">
              <w:rPr>
                <w:rFonts w:eastAsia="宋体" w:cs="Times New Roman"/>
                <w:color w:val="000000"/>
                <w:sz w:val="21"/>
                <w:szCs w:val="21"/>
                <w:lang w:eastAsia="zh-CN" w:bidi="ar"/>
              </w:rPr>
              <w:t>μ</w:t>
            </w:r>
            <w:r w:rsidRPr="00705FBE">
              <w:rPr>
                <w:rFonts w:eastAsia="宋体" w:cs="Times New Roman"/>
                <w:color w:val="000000"/>
                <w:sz w:val="21"/>
                <w:szCs w:val="21"/>
                <w:lang w:eastAsia="zh-CN" w:bidi="ar"/>
              </w:rPr>
              <w:t>g/mL)</w:t>
            </w:r>
          </w:p>
        </w:tc>
        <w:tc>
          <w:tcPr>
            <w:tcW w:w="0" w:type="auto"/>
            <w:tcBorders>
              <w:top w:val="nil"/>
              <w:left w:val="nil"/>
              <w:bottom w:val="single" w:sz="4" w:space="0" w:color="000000"/>
              <w:right w:val="nil"/>
            </w:tcBorders>
            <w:noWrap/>
            <w:vAlign w:val="center"/>
          </w:tcPr>
          <w:p w14:paraId="12B4C3F6"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RSD (%)</w:t>
            </w:r>
          </w:p>
        </w:tc>
        <w:tc>
          <w:tcPr>
            <w:tcW w:w="0" w:type="auto"/>
            <w:tcBorders>
              <w:top w:val="nil"/>
              <w:left w:val="nil"/>
              <w:bottom w:val="single" w:sz="4" w:space="0" w:color="000000"/>
              <w:right w:val="nil"/>
            </w:tcBorders>
            <w:noWrap/>
            <w:vAlign w:val="center"/>
          </w:tcPr>
          <w:p w14:paraId="3BCE75A1"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bidi="ar"/>
              </w:rPr>
              <w:t>RE (%)</w:t>
            </w:r>
          </w:p>
        </w:tc>
      </w:tr>
      <w:tr w:rsidR="00705FBE" w:rsidRPr="00705FBE" w14:paraId="5915907B" w14:textId="77777777" w:rsidTr="00D252D3">
        <w:trPr>
          <w:trHeight w:val="158"/>
          <w:jc w:val="center"/>
        </w:trPr>
        <w:tc>
          <w:tcPr>
            <w:tcW w:w="0" w:type="auto"/>
            <w:vMerge w:val="restart"/>
            <w:tcBorders>
              <w:top w:val="nil"/>
              <w:left w:val="nil"/>
              <w:bottom w:val="single" w:sz="8" w:space="0" w:color="000000"/>
              <w:right w:val="nil"/>
            </w:tcBorders>
            <w:noWrap/>
            <w:vAlign w:val="center"/>
          </w:tcPr>
          <w:p w14:paraId="2252A95A"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1"/>
                <w:lang w:eastAsia="zh-CN"/>
              </w:rPr>
            </w:pPr>
            <w:r w:rsidRPr="00705FBE">
              <w:rPr>
                <w:rFonts w:eastAsia="宋体" w:cs="Times New Roman"/>
                <w:color w:val="000000"/>
                <w:sz w:val="21"/>
                <w:szCs w:val="21"/>
                <w:lang w:eastAsia="zh-CN"/>
              </w:rPr>
              <w:t>Blood</w:t>
            </w:r>
          </w:p>
        </w:tc>
        <w:tc>
          <w:tcPr>
            <w:tcW w:w="0" w:type="auto"/>
            <w:tcBorders>
              <w:top w:val="nil"/>
              <w:left w:val="nil"/>
              <w:bottom w:val="nil"/>
              <w:right w:val="nil"/>
            </w:tcBorders>
            <w:noWrap/>
            <w:vAlign w:val="center"/>
          </w:tcPr>
          <w:p w14:paraId="5837A834"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705FBE">
              <w:rPr>
                <w:rFonts w:eastAsia="宋体" w:cs="Times New Roman"/>
                <w:color w:val="000000"/>
                <w:sz w:val="21"/>
                <w:szCs w:val="20"/>
                <w:lang w:eastAsia="zh-CN" w:bidi="ar"/>
              </w:rPr>
              <w:t>12.50</w:t>
            </w:r>
          </w:p>
        </w:tc>
        <w:tc>
          <w:tcPr>
            <w:tcW w:w="0" w:type="auto"/>
            <w:tcBorders>
              <w:top w:val="nil"/>
              <w:left w:val="nil"/>
              <w:bottom w:val="nil"/>
              <w:right w:val="nil"/>
            </w:tcBorders>
            <w:noWrap/>
            <w:vAlign w:val="center"/>
          </w:tcPr>
          <w:p w14:paraId="6A3CA9CE"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12.98±0.35</w:t>
            </w:r>
          </w:p>
        </w:tc>
        <w:tc>
          <w:tcPr>
            <w:tcW w:w="0" w:type="auto"/>
            <w:tcBorders>
              <w:top w:val="nil"/>
              <w:left w:val="nil"/>
              <w:bottom w:val="nil"/>
              <w:right w:val="nil"/>
            </w:tcBorders>
            <w:noWrap/>
            <w:vAlign w:val="center"/>
          </w:tcPr>
          <w:p w14:paraId="344B38A6"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2.68 </w:t>
            </w:r>
          </w:p>
        </w:tc>
        <w:tc>
          <w:tcPr>
            <w:tcW w:w="0" w:type="auto"/>
            <w:tcBorders>
              <w:top w:val="nil"/>
              <w:left w:val="nil"/>
              <w:bottom w:val="nil"/>
              <w:right w:val="nil"/>
            </w:tcBorders>
            <w:noWrap/>
            <w:vAlign w:val="center"/>
          </w:tcPr>
          <w:p w14:paraId="44C918F6"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103.83 </w:t>
            </w:r>
          </w:p>
        </w:tc>
        <w:tc>
          <w:tcPr>
            <w:tcW w:w="0" w:type="auto"/>
            <w:tcBorders>
              <w:top w:val="nil"/>
              <w:left w:val="nil"/>
              <w:bottom w:val="nil"/>
              <w:right w:val="nil"/>
            </w:tcBorders>
            <w:noWrap/>
            <w:vAlign w:val="center"/>
          </w:tcPr>
          <w:p w14:paraId="71CF7B58"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12.88±0.26</w:t>
            </w:r>
          </w:p>
        </w:tc>
        <w:tc>
          <w:tcPr>
            <w:tcW w:w="0" w:type="auto"/>
            <w:tcBorders>
              <w:top w:val="nil"/>
              <w:left w:val="nil"/>
              <w:bottom w:val="nil"/>
              <w:right w:val="nil"/>
            </w:tcBorders>
            <w:noWrap/>
            <w:vAlign w:val="center"/>
          </w:tcPr>
          <w:p w14:paraId="3FBBC0FA"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2.05 </w:t>
            </w:r>
          </w:p>
        </w:tc>
        <w:tc>
          <w:tcPr>
            <w:tcW w:w="0" w:type="auto"/>
            <w:tcBorders>
              <w:top w:val="nil"/>
              <w:left w:val="nil"/>
              <w:bottom w:val="nil"/>
              <w:right w:val="nil"/>
            </w:tcBorders>
            <w:noWrap/>
            <w:vAlign w:val="center"/>
          </w:tcPr>
          <w:p w14:paraId="20E700C7"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103.01 </w:t>
            </w:r>
          </w:p>
        </w:tc>
      </w:tr>
      <w:tr w:rsidR="00705FBE" w:rsidRPr="00705FBE" w14:paraId="357218C2" w14:textId="77777777" w:rsidTr="00D252D3">
        <w:trPr>
          <w:trHeight w:val="204"/>
          <w:jc w:val="center"/>
        </w:trPr>
        <w:tc>
          <w:tcPr>
            <w:tcW w:w="0" w:type="auto"/>
            <w:vMerge/>
            <w:tcBorders>
              <w:top w:val="nil"/>
              <w:left w:val="nil"/>
              <w:bottom w:val="single" w:sz="8" w:space="0" w:color="000000"/>
              <w:right w:val="nil"/>
            </w:tcBorders>
            <w:noWrap/>
            <w:vAlign w:val="center"/>
          </w:tcPr>
          <w:p w14:paraId="2B54B5BF" w14:textId="77777777" w:rsidR="00705FBE" w:rsidRPr="00705FBE" w:rsidRDefault="00705FBE" w:rsidP="00705FBE">
            <w:pPr>
              <w:widowControl w:val="0"/>
              <w:autoSpaceDE w:val="0"/>
              <w:autoSpaceDN w:val="0"/>
              <w:snapToGrid w:val="0"/>
              <w:spacing w:before="0" w:after="0" w:line="240" w:lineRule="atLeast"/>
              <w:jc w:val="center"/>
              <w:rPr>
                <w:rFonts w:eastAsia="宋体" w:cs="Times New Roman"/>
                <w:color w:val="000000"/>
                <w:sz w:val="21"/>
                <w:szCs w:val="21"/>
                <w:lang w:eastAsia="zh-CN"/>
              </w:rPr>
            </w:pPr>
          </w:p>
        </w:tc>
        <w:tc>
          <w:tcPr>
            <w:tcW w:w="0" w:type="auto"/>
            <w:tcBorders>
              <w:top w:val="nil"/>
              <w:left w:val="nil"/>
              <w:bottom w:val="nil"/>
              <w:right w:val="nil"/>
            </w:tcBorders>
            <w:noWrap/>
            <w:vAlign w:val="center"/>
          </w:tcPr>
          <w:p w14:paraId="6BCD2BE9"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705FBE">
              <w:rPr>
                <w:rFonts w:eastAsia="宋体" w:cs="Times New Roman"/>
                <w:color w:val="000000"/>
                <w:sz w:val="21"/>
                <w:szCs w:val="20"/>
                <w:lang w:eastAsia="zh-CN" w:bidi="ar"/>
              </w:rPr>
              <w:t>1.56</w:t>
            </w:r>
          </w:p>
        </w:tc>
        <w:tc>
          <w:tcPr>
            <w:tcW w:w="0" w:type="auto"/>
            <w:tcBorders>
              <w:top w:val="nil"/>
              <w:left w:val="nil"/>
              <w:bottom w:val="nil"/>
              <w:right w:val="nil"/>
            </w:tcBorders>
            <w:noWrap/>
            <w:vAlign w:val="center"/>
          </w:tcPr>
          <w:p w14:paraId="391A8D72" w14:textId="0ED582D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1.5</w:t>
            </w:r>
            <w:r>
              <w:rPr>
                <w:rFonts w:eastAsia="宋体" w:cs="Times New Roman"/>
                <w:color w:val="000000"/>
                <w:kern w:val="2"/>
                <w:sz w:val="20"/>
                <w:lang w:eastAsia="zh-CN"/>
              </w:rPr>
              <w:t>0</w:t>
            </w:r>
            <w:r w:rsidRPr="00705FBE">
              <w:rPr>
                <w:rFonts w:eastAsia="宋体" w:cs="Times New Roman"/>
                <w:color w:val="000000"/>
                <w:kern w:val="2"/>
                <w:sz w:val="20"/>
                <w:lang w:eastAsia="zh-CN"/>
              </w:rPr>
              <w:t>±0.04</w:t>
            </w:r>
          </w:p>
        </w:tc>
        <w:tc>
          <w:tcPr>
            <w:tcW w:w="0" w:type="auto"/>
            <w:tcBorders>
              <w:top w:val="nil"/>
              <w:left w:val="nil"/>
              <w:bottom w:val="nil"/>
              <w:right w:val="nil"/>
            </w:tcBorders>
            <w:noWrap/>
            <w:vAlign w:val="center"/>
          </w:tcPr>
          <w:p w14:paraId="4AB1155F"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2.49 </w:t>
            </w:r>
          </w:p>
        </w:tc>
        <w:tc>
          <w:tcPr>
            <w:tcW w:w="0" w:type="auto"/>
            <w:tcBorders>
              <w:top w:val="nil"/>
              <w:left w:val="nil"/>
              <w:bottom w:val="nil"/>
              <w:right w:val="nil"/>
            </w:tcBorders>
            <w:noWrap/>
            <w:vAlign w:val="center"/>
          </w:tcPr>
          <w:p w14:paraId="068DB7E1"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96.00 </w:t>
            </w:r>
          </w:p>
        </w:tc>
        <w:tc>
          <w:tcPr>
            <w:tcW w:w="0" w:type="auto"/>
            <w:tcBorders>
              <w:top w:val="nil"/>
              <w:left w:val="nil"/>
              <w:bottom w:val="nil"/>
              <w:right w:val="nil"/>
            </w:tcBorders>
            <w:noWrap/>
            <w:vAlign w:val="center"/>
          </w:tcPr>
          <w:p w14:paraId="05D3E877"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1.49±0.02</w:t>
            </w:r>
          </w:p>
        </w:tc>
        <w:tc>
          <w:tcPr>
            <w:tcW w:w="0" w:type="auto"/>
            <w:tcBorders>
              <w:top w:val="nil"/>
              <w:left w:val="nil"/>
              <w:bottom w:val="nil"/>
              <w:right w:val="nil"/>
            </w:tcBorders>
            <w:noWrap/>
            <w:vAlign w:val="center"/>
          </w:tcPr>
          <w:p w14:paraId="2D89D9C6"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1.53 </w:t>
            </w:r>
          </w:p>
        </w:tc>
        <w:tc>
          <w:tcPr>
            <w:tcW w:w="0" w:type="auto"/>
            <w:tcBorders>
              <w:top w:val="nil"/>
              <w:left w:val="nil"/>
              <w:bottom w:val="nil"/>
              <w:right w:val="nil"/>
            </w:tcBorders>
            <w:noWrap/>
            <w:vAlign w:val="center"/>
          </w:tcPr>
          <w:p w14:paraId="1C7451C8"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95.27 </w:t>
            </w:r>
          </w:p>
        </w:tc>
      </w:tr>
      <w:tr w:rsidR="00705FBE" w:rsidRPr="00705FBE" w14:paraId="43FE85FE" w14:textId="77777777" w:rsidTr="00D252D3">
        <w:trPr>
          <w:trHeight w:val="258"/>
          <w:jc w:val="center"/>
        </w:trPr>
        <w:tc>
          <w:tcPr>
            <w:tcW w:w="0" w:type="auto"/>
            <w:vMerge/>
            <w:tcBorders>
              <w:top w:val="nil"/>
              <w:left w:val="nil"/>
              <w:bottom w:val="single" w:sz="8" w:space="0" w:color="000000"/>
              <w:right w:val="nil"/>
            </w:tcBorders>
            <w:noWrap/>
            <w:vAlign w:val="center"/>
          </w:tcPr>
          <w:p w14:paraId="752C9FAB" w14:textId="77777777" w:rsidR="00705FBE" w:rsidRPr="00705FBE" w:rsidRDefault="00705FBE" w:rsidP="00705FBE">
            <w:pPr>
              <w:widowControl w:val="0"/>
              <w:autoSpaceDE w:val="0"/>
              <w:autoSpaceDN w:val="0"/>
              <w:snapToGrid w:val="0"/>
              <w:spacing w:before="0" w:after="0" w:line="240" w:lineRule="atLeast"/>
              <w:jc w:val="center"/>
              <w:rPr>
                <w:rFonts w:eastAsia="宋体" w:cs="Times New Roman"/>
                <w:color w:val="000000"/>
                <w:sz w:val="21"/>
                <w:szCs w:val="21"/>
                <w:lang w:eastAsia="zh-CN"/>
              </w:rPr>
            </w:pPr>
          </w:p>
        </w:tc>
        <w:tc>
          <w:tcPr>
            <w:tcW w:w="0" w:type="auto"/>
            <w:tcBorders>
              <w:top w:val="nil"/>
              <w:left w:val="nil"/>
              <w:bottom w:val="single" w:sz="8" w:space="0" w:color="000000"/>
              <w:right w:val="nil"/>
            </w:tcBorders>
            <w:noWrap/>
            <w:vAlign w:val="center"/>
          </w:tcPr>
          <w:p w14:paraId="4BF6511E"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705FBE">
              <w:rPr>
                <w:rFonts w:eastAsia="宋体" w:cs="Times New Roman"/>
                <w:color w:val="000000"/>
                <w:sz w:val="21"/>
                <w:szCs w:val="20"/>
                <w:lang w:eastAsia="zh-CN" w:bidi="ar"/>
              </w:rPr>
              <w:t>0.19</w:t>
            </w:r>
          </w:p>
        </w:tc>
        <w:tc>
          <w:tcPr>
            <w:tcW w:w="0" w:type="auto"/>
            <w:tcBorders>
              <w:top w:val="nil"/>
              <w:left w:val="nil"/>
              <w:bottom w:val="single" w:sz="8" w:space="0" w:color="000000"/>
              <w:right w:val="nil"/>
            </w:tcBorders>
            <w:noWrap/>
            <w:vAlign w:val="center"/>
          </w:tcPr>
          <w:p w14:paraId="4392B840"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0.18±0.01</w:t>
            </w:r>
          </w:p>
        </w:tc>
        <w:tc>
          <w:tcPr>
            <w:tcW w:w="0" w:type="auto"/>
            <w:tcBorders>
              <w:top w:val="nil"/>
              <w:left w:val="nil"/>
              <w:bottom w:val="single" w:sz="8" w:space="0" w:color="000000"/>
              <w:right w:val="nil"/>
            </w:tcBorders>
            <w:noWrap/>
            <w:vAlign w:val="center"/>
          </w:tcPr>
          <w:p w14:paraId="6EB34C9C"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7.38 </w:t>
            </w:r>
          </w:p>
        </w:tc>
        <w:tc>
          <w:tcPr>
            <w:tcW w:w="0" w:type="auto"/>
            <w:tcBorders>
              <w:top w:val="nil"/>
              <w:left w:val="nil"/>
              <w:bottom w:val="single" w:sz="8" w:space="0" w:color="000000"/>
              <w:right w:val="nil"/>
            </w:tcBorders>
            <w:noWrap/>
            <w:vAlign w:val="center"/>
          </w:tcPr>
          <w:p w14:paraId="6F8EE2F2"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94.57 </w:t>
            </w:r>
          </w:p>
        </w:tc>
        <w:tc>
          <w:tcPr>
            <w:tcW w:w="0" w:type="auto"/>
            <w:tcBorders>
              <w:top w:val="nil"/>
              <w:left w:val="nil"/>
              <w:bottom w:val="single" w:sz="8" w:space="0" w:color="000000"/>
              <w:right w:val="nil"/>
            </w:tcBorders>
            <w:noWrap/>
            <w:vAlign w:val="center"/>
          </w:tcPr>
          <w:p w14:paraId="57A55BDE"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0.18±0.01</w:t>
            </w:r>
          </w:p>
        </w:tc>
        <w:tc>
          <w:tcPr>
            <w:tcW w:w="0" w:type="auto"/>
            <w:tcBorders>
              <w:top w:val="nil"/>
              <w:left w:val="nil"/>
              <w:bottom w:val="single" w:sz="8" w:space="0" w:color="000000"/>
              <w:right w:val="nil"/>
            </w:tcBorders>
            <w:noWrap/>
            <w:vAlign w:val="center"/>
          </w:tcPr>
          <w:p w14:paraId="7DC23A86"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4.61 </w:t>
            </w:r>
          </w:p>
        </w:tc>
        <w:tc>
          <w:tcPr>
            <w:tcW w:w="0" w:type="auto"/>
            <w:tcBorders>
              <w:top w:val="nil"/>
              <w:left w:val="nil"/>
              <w:bottom w:val="single" w:sz="8" w:space="0" w:color="000000"/>
              <w:right w:val="nil"/>
            </w:tcBorders>
            <w:noWrap/>
            <w:vAlign w:val="center"/>
          </w:tcPr>
          <w:p w14:paraId="1F4C0F95" w14:textId="77777777" w:rsidR="00705FBE" w:rsidRPr="00705FBE" w:rsidRDefault="00705FBE" w:rsidP="00705FBE">
            <w:pPr>
              <w:autoSpaceDE w:val="0"/>
              <w:autoSpaceDN w:val="0"/>
              <w:snapToGrid w:val="0"/>
              <w:spacing w:before="0" w:after="0" w:line="240" w:lineRule="atLeast"/>
              <w:jc w:val="center"/>
              <w:textAlignment w:val="center"/>
              <w:rPr>
                <w:rFonts w:eastAsia="宋体" w:cs="Times New Roman"/>
                <w:color w:val="000000"/>
                <w:sz w:val="20"/>
                <w:lang w:eastAsia="zh-CN"/>
              </w:rPr>
            </w:pPr>
            <w:r w:rsidRPr="00705FBE">
              <w:rPr>
                <w:rFonts w:eastAsia="宋体" w:cs="Times New Roman"/>
                <w:color w:val="000000"/>
                <w:kern w:val="2"/>
                <w:sz w:val="20"/>
                <w:lang w:eastAsia="zh-CN"/>
              </w:rPr>
              <w:t xml:space="preserve">96.42 </w:t>
            </w:r>
          </w:p>
        </w:tc>
      </w:tr>
    </w:tbl>
    <w:p w14:paraId="37FD6533" w14:textId="77777777" w:rsidR="00776A15" w:rsidRDefault="00776A15">
      <w:pPr>
        <w:spacing w:line="360" w:lineRule="auto"/>
        <w:rPr>
          <w:rFonts w:eastAsia="宋体"/>
          <w:color w:val="000000" w:themeColor="text1"/>
        </w:rPr>
      </w:pPr>
    </w:p>
    <w:p w14:paraId="37FD6534" w14:textId="3F163BD2" w:rsidR="00776A15" w:rsidRDefault="008E446C">
      <w:pPr>
        <w:pStyle w:val="a4"/>
        <w:spacing w:line="360" w:lineRule="auto"/>
        <w:jc w:val="center"/>
        <w:rPr>
          <w:rFonts w:eastAsia="宋体"/>
          <w:b w:val="0"/>
          <w:bCs w:val="0"/>
          <w:color w:val="000000" w:themeColor="text1"/>
        </w:rPr>
      </w:pPr>
      <w:r>
        <w:rPr>
          <w:color w:val="000000" w:themeColor="text1"/>
        </w:rPr>
        <w:t>Supplementary Table S</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rFonts w:eastAsia="宋体"/>
          <w:b w:val="0"/>
          <w:bCs w:val="0"/>
          <w:color w:val="000000" w:themeColor="text1"/>
        </w:rPr>
        <w:t>The recovery of unbound</w:t>
      </w:r>
      <w:r w:rsidR="00640699">
        <w:rPr>
          <w:rFonts w:eastAsia="宋体"/>
          <w:b w:val="0"/>
          <w:bCs w:val="0"/>
          <w:color w:val="000000" w:themeColor="text1"/>
        </w:rPr>
        <w:t xml:space="preserve"> </w:t>
      </w:r>
      <w:r>
        <w:rPr>
          <w:rFonts w:eastAsia="宋体"/>
          <w:b w:val="0"/>
          <w:bCs w:val="0"/>
          <w:color w:val="000000" w:themeColor="text1"/>
        </w:rPr>
        <w:t>OBB in whole blood samples of rats</w:t>
      </w:r>
      <w:r>
        <w:rPr>
          <w:rFonts w:eastAsia="宋体" w:hint="eastAsia"/>
          <w:b w:val="0"/>
          <w:bCs w:val="0"/>
          <w:color w:val="000000" w:themeColor="text1"/>
        </w:rPr>
        <w:t>.</w:t>
      </w:r>
    </w:p>
    <w:tbl>
      <w:tblPr>
        <w:tblW w:w="9243" w:type="dxa"/>
        <w:jc w:val="center"/>
        <w:tblLook w:val="0000" w:firstRow="0" w:lastRow="0" w:firstColumn="0" w:lastColumn="0" w:noHBand="0" w:noVBand="0"/>
      </w:tblPr>
      <w:tblGrid>
        <w:gridCol w:w="1305"/>
        <w:gridCol w:w="1359"/>
        <w:gridCol w:w="1930"/>
        <w:gridCol w:w="1357"/>
        <w:gridCol w:w="1710"/>
        <w:gridCol w:w="1582"/>
      </w:tblGrid>
      <w:tr w:rsidR="00705FBE" w:rsidRPr="00705FBE" w14:paraId="246D4180" w14:textId="77777777" w:rsidTr="00252327">
        <w:trPr>
          <w:trHeight w:val="468"/>
          <w:jc w:val="center"/>
        </w:trPr>
        <w:tc>
          <w:tcPr>
            <w:tcW w:w="1305" w:type="dxa"/>
            <w:vMerge w:val="restart"/>
            <w:tcBorders>
              <w:top w:val="single" w:sz="8" w:space="0" w:color="000000"/>
              <w:left w:val="nil"/>
              <w:bottom w:val="single" w:sz="4" w:space="0" w:color="000000"/>
              <w:right w:val="nil"/>
            </w:tcBorders>
            <w:noWrap/>
            <w:vAlign w:val="center"/>
          </w:tcPr>
          <w:p w14:paraId="69E05B3F" w14:textId="77777777" w:rsidR="00705FBE" w:rsidRPr="00705FBE" w:rsidRDefault="00705FBE" w:rsidP="00252327">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Analyte</w:t>
            </w:r>
          </w:p>
        </w:tc>
        <w:tc>
          <w:tcPr>
            <w:tcW w:w="1359" w:type="dxa"/>
            <w:vMerge w:val="restart"/>
            <w:tcBorders>
              <w:top w:val="single" w:sz="8" w:space="0" w:color="000000"/>
              <w:left w:val="nil"/>
              <w:bottom w:val="single" w:sz="4" w:space="0" w:color="000000"/>
              <w:right w:val="nil"/>
            </w:tcBorders>
            <w:noWrap/>
            <w:vAlign w:val="center"/>
          </w:tcPr>
          <w:p w14:paraId="5F196470"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1"/>
                <w:lang w:eastAsia="zh-CN" w:bidi="ar"/>
              </w:rPr>
            </w:pPr>
            <w:r w:rsidRPr="00705FBE">
              <w:rPr>
                <w:rFonts w:eastAsia="宋体" w:cs="Times New Roman"/>
                <w:color w:val="000000"/>
                <w:kern w:val="2"/>
                <w:sz w:val="21"/>
                <w:szCs w:val="21"/>
                <w:lang w:eastAsia="zh-CN" w:bidi="ar"/>
              </w:rPr>
              <w:t>Samples concentration</w:t>
            </w:r>
          </w:p>
          <w:p w14:paraId="6C2F13BF" w14:textId="115F8FB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1"/>
                <w:lang w:eastAsia="zh-CN" w:bidi="ar"/>
              </w:rPr>
              <w:t>(</w:t>
            </w:r>
            <w:r w:rsidR="00547C5C" w:rsidRPr="00547C5C">
              <w:rPr>
                <w:rFonts w:eastAsia="宋体" w:cs="Times New Roman"/>
                <w:color w:val="000000"/>
                <w:sz w:val="21"/>
                <w:szCs w:val="21"/>
                <w:lang w:eastAsia="zh-CN" w:bidi="ar"/>
              </w:rPr>
              <w:t>μ</w:t>
            </w:r>
            <w:r w:rsidRPr="00705FBE">
              <w:rPr>
                <w:rFonts w:eastAsia="宋体" w:cs="Times New Roman"/>
                <w:color w:val="000000"/>
                <w:kern w:val="2"/>
                <w:sz w:val="21"/>
                <w:szCs w:val="21"/>
                <w:lang w:eastAsia="zh-CN" w:bidi="ar"/>
              </w:rPr>
              <w:t>g/mL)</w:t>
            </w:r>
          </w:p>
        </w:tc>
        <w:tc>
          <w:tcPr>
            <w:tcW w:w="1930" w:type="dxa"/>
            <w:vMerge w:val="restart"/>
            <w:tcBorders>
              <w:top w:val="single" w:sz="8" w:space="0" w:color="000000"/>
              <w:left w:val="nil"/>
              <w:bottom w:val="single" w:sz="4" w:space="0" w:color="000000"/>
              <w:right w:val="nil"/>
            </w:tcBorders>
            <w:noWrap/>
            <w:vAlign w:val="center"/>
          </w:tcPr>
          <w:p w14:paraId="65157847"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Extract recovery (%)</w:t>
            </w:r>
          </w:p>
        </w:tc>
        <w:tc>
          <w:tcPr>
            <w:tcW w:w="1357" w:type="dxa"/>
            <w:vMerge w:val="restart"/>
            <w:tcBorders>
              <w:top w:val="single" w:sz="8" w:space="0" w:color="000000"/>
              <w:left w:val="nil"/>
              <w:bottom w:val="single" w:sz="4" w:space="0" w:color="000000"/>
              <w:right w:val="nil"/>
            </w:tcBorders>
            <w:noWrap/>
            <w:vAlign w:val="center"/>
          </w:tcPr>
          <w:p w14:paraId="03B4193C"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RSD (%)</w:t>
            </w:r>
          </w:p>
        </w:tc>
        <w:tc>
          <w:tcPr>
            <w:tcW w:w="1710" w:type="dxa"/>
            <w:vMerge w:val="restart"/>
            <w:tcBorders>
              <w:top w:val="single" w:sz="8" w:space="0" w:color="000000"/>
              <w:left w:val="nil"/>
              <w:bottom w:val="single" w:sz="4" w:space="0" w:color="000000"/>
              <w:right w:val="nil"/>
            </w:tcBorders>
            <w:noWrap/>
            <w:vAlign w:val="center"/>
          </w:tcPr>
          <w:p w14:paraId="2F38B351" w14:textId="77777777" w:rsidR="00705FBE" w:rsidRPr="00705FBE" w:rsidRDefault="00705FBE" w:rsidP="00705FBE">
            <w:pPr>
              <w:snapToGrid w:val="0"/>
              <w:spacing w:before="0" w:after="0" w:line="240" w:lineRule="atLeast"/>
              <w:ind w:leftChars="100" w:left="240" w:firstLineChars="100" w:firstLine="210"/>
              <w:jc w:val="both"/>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Method recovery (%)</w:t>
            </w:r>
          </w:p>
        </w:tc>
        <w:tc>
          <w:tcPr>
            <w:tcW w:w="1582" w:type="dxa"/>
            <w:vMerge w:val="restart"/>
            <w:tcBorders>
              <w:top w:val="single" w:sz="8" w:space="0" w:color="000000"/>
              <w:left w:val="nil"/>
              <w:bottom w:val="single" w:sz="4" w:space="0" w:color="000000"/>
              <w:right w:val="nil"/>
            </w:tcBorders>
            <w:noWrap/>
            <w:vAlign w:val="center"/>
          </w:tcPr>
          <w:p w14:paraId="2D43FDD3"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RSD (%)</w:t>
            </w:r>
          </w:p>
        </w:tc>
      </w:tr>
      <w:tr w:rsidR="00705FBE" w:rsidRPr="00705FBE" w14:paraId="5525F0C7" w14:textId="77777777" w:rsidTr="00252327">
        <w:trPr>
          <w:trHeight w:val="468"/>
          <w:jc w:val="center"/>
        </w:trPr>
        <w:tc>
          <w:tcPr>
            <w:tcW w:w="1305" w:type="dxa"/>
            <w:vMerge/>
            <w:tcBorders>
              <w:top w:val="single" w:sz="8" w:space="0" w:color="000000"/>
              <w:left w:val="nil"/>
              <w:bottom w:val="single" w:sz="4" w:space="0" w:color="000000"/>
              <w:right w:val="nil"/>
            </w:tcBorders>
            <w:noWrap/>
            <w:vAlign w:val="center"/>
          </w:tcPr>
          <w:p w14:paraId="0E7687AC" w14:textId="77777777" w:rsidR="00705FBE" w:rsidRPr="00705FBE" w:rsidRDefault="00705FBE" w:rsidP="00252327">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1359" w:type="dxa"/>
            <w:vMerge/>
            <w:tcBorders>
              <w:top w:val="single" w:sz="8" w:space="0" w:color="000000"/>
              <w:left w:val="nil"/>
              <w:bottom w:val="single" w:sz="4" w:space="0" w:color="000000"/>
              <w:right w:val="nil"/>
            </w:tcBorders>
            <w:noWrap/>
            <w:vAlign w:val="center"/>
          </w:tcPr>
          <w:p w14:paraId="743F7F7D"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1930" w:type="dxa"/>
            <w:vMerge/>
            <w:tcBorders>
              <w:top w:val="single" w:sz="8" w:space="0" w:color="000000"/>
              <w:left w:val="nil"/>
              <w:bottom w:val="single" w:sz="4" w:space="0" w:color="000000"/>
              <w:right w:val="nil"/>
            </w:tcBorders>
            <w:noWrap/>
            <w:vAlign w:val="center"/>
          </w:tcPr>
          <w:p w14:paraId="430ACC7B"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1357" w:type="dxa"/>
            <w:vMerge/>
            <w:tcBorders>
              <w:top w:val="single" w:sz="8" w:space="0" w:color="000000"/>
              <w:left w:val="nil"/>
              <w:bottom w:val="single" w:sz="4" w:space="0" w:color="000000"/>
              <w:right w:val="nil"/>
            </w:tcBorders>
            <w:noWrap/>
            <w:vAlign w:val="center"/>
          </w:tcPr>
          <w:p w14:paraId="10535E15"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1710" w:type="dxa"/>
            <w:vMerge/>
            <w:tcBorders>
              <w:top w:val="single" w:sz="8" w:space="0" w:color="000000"/>
              <w:left w:val="nil"/>
              <w:bottom w:val="single" w:sz="4" w:space="0" w:color="000000"/>
              <w:right w:val="nil"/>
            </w:tcBorders>
            <w:noWrap/>
            <w:vAlign w:val="center"/>
          </w:tcPr>
          <w:p w14:paraId="694D0579"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1582" w:type="dxa"/>
            <w:vMerge/>
            <w:tcBorders>
              <w:top w:val="single" w:sz="8" w:space="0" w:color="000000"/>
              <w:left w:val="nil"/>
              <w:bottom w:val="single" w:sz="4" w:space="0" w:color="000000"/>
              <w:right w:val="nil"/>
            </w:tcBorders>
            <w:noWrap/>
            <w:vAlign w:val="center"/>
          </w:tcPr>
          <w:p w14:paraId="4AD7D57D"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r>
      <w:tr w:rsidR="00705FBE" w:rsidRPr="00705FBE" w14:paraId="0595B125" w14:textId="77777777" w:rsidTr="00252327">
        <w:trPr>
          <w:trHeight w:val="180"/>
          <w:jc w:val="center"/>
        </w:trPr>
        <w:tc>
          <w:tcPr>
            <w:tcW w:w="1305" w:type="dxa"/>
            <w:vMerge w:val="restart"/>
            <w:tcBorders>
              <w:top w:val="nil"/>
              <w:left w:val="nil"/>
              <w:bottom w:val="single" w:sz="8" w:space="0" w:color="000000"/>
              <w:right w:val="nil"/>
            </w:tcBorders>
            <w:noWrap/>
            <w:vAlign w:val="center"/>
          </w:tcPr>
          <w:p w14:paraId="2B92F05D" w14:textId="77777777" w:rsidR="00705FBE" w:rsidRPr="00705FBE" w:rsidRDefault="00705FBE" w:rsidP="00252327">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sz w:val="21"/>
                <w:szCs w:val="21"/>
                <w:lang w:eastAsia="zh-CN"/>
              </w:rPr>
              <w:t>Blood</w:t>
            </w:r>
          </w:p>
        </w:tc>
        <w:tc>
          <w:tcPr>
            <w:tcW w:w="0" w:type="auto"/>
            <w:tcBorders>
              <w:top w:val="nil"/>
              <w:left w:val="nil"/>
              <w:bottom w:val="nil"/>
              <w:right w:val="nil"/>
            </w:tcBorders>
            <w:noWrap/>
            <w:vAlign w:val="center"/>
          </w:tcPr>
          <w:p w14:paraId="3F1BF31B"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12.50</w:t>
            </w:r>
          </w:p>
        </w:tc>
        <w:tc>
          <w:tcPr>
            <w:tcW w:w="1930" w:type="dxa"/>
            <w:tcBorders>
              <w:top w:val="nil"/>
              <w:left w:val="nil"/>
              <w:bottom w:val="nil"/>
              <w:right w:val="nil"/>
            </w:tcBorders>
            <w:noWrap/>
            <w:vAlign w:val="center"/>
          </w:tcPr>
          <w:p w14:paraId="2E4A2C0D"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90.76±1.05</w:t>
            </w:r>
          </w:p>
        </w:tc>
        <w:tc>
          <w:tcPr>
            <w:tcW w:w="1357" w:type="dxa"/>
            <w:tcBorders>
              <w:top w:val="nil"/>
              <w:left w:val="nil"/>
              <w:bottom w:val="nil"/>
              <w:right w:val="nil"/>
            </w:tcBorders>
            <w:noWrap/>
            <w:vAlign w:val="center"/>
          </w:tcPr>
          <w:p w14:paraId="6E88AF02"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1.16</w:t>
            </w:r>
          </w:p>
        </w:tc>
        <w:tc>
          <w:tcPr>
            <w:tcW w:w="0" w:type="auto"/>
            <w:tcBorders>
              <w:top w:val="nil"/>
              <w:left w:val="nil"/>
              <w:bottom w:val="nil"/>
              <w:right w:val="nil"/>
            </w:tcBorders>
            <w:noWrap/>
            <w:vAlign w:val="center"/>
          </w:tcPr>
          <w:p w14:paraId="0CAEDA17"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97.41±3.33</w:t>
            </w:r>
          </w:p>
        </w:tc>
        <w:tc>
          <w:tcPr>
            <w:tcW w:w="0" w:type="auto"/>
            <w:tcBorders>
              <w:top w:val="nil"/>
              <w:left w:val="nil"/>
              <w:bottom w:val="nil"/>
              <w:right w:val="nil"/>
            </w:tcBorders>
            <w:noWrap/>
            <w:vAlign w:val="center"/>
          </w:tcPr>
          <w:p w14:paraId="2AF1494C"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3.41</w:t>
            </w:r>
          </w:p>
        </w:tc>
      </w:tr>
      <w:tr w:rsidR="00705FBE" w:rsidRPr="00705FBE" w14:paraId="6F95949A" w14:textId="77777777" w:rsidTr="00252327">
        <w:trPr>
          <w:trHeight w:val="196"/>
          <w:jc w:val="center"/>
        </w:trPr>
        <w:tc>
          <w:tcPr>
            <w:tcW w:w="1305" w:type="dxa"/>
            <w:vMerge/>
            <w:tcBorders>
              <w:top w:val="nil"/>
              <w:left w:val="nil"/>
              <w:bottom w:val="single" w:sz="8" w:space="0" w:color="000000"/>
              <w:right w:val="nil"/>
            </w:tcBorders>
            <w:noWrap/>
            <w:vAlign w:val="center"/>
          </w:tcPr>
          <w:p w14:paraId="5AB98552"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0" w:type="auto"/>
            <w:tcBorders>
              <w:top w:val="nil"/>
              <w:left w:val="nil"/>
              <w:bottom w:val="nil"/>
              <w:right w:val="nil"/>
            </w:tcBorders>
            <w:noWrap/>
            <w:vAlign w:val="center"/>
          </w:tcPr>
          <w:p w14:paraId="1A3C936D"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1.56</w:t>
            </w:r>
          </w:p>
        </w:tc>
        <w:tc>
          <w:tcPr>
            <w:tcW w:w="1930" w:type="dxa"/>
            <w:tcBorders>
              <w:top w:val="nil"/>
              <w:left w:val="nil"/>
              <w:bottom w:val="nil"/>
              <w:right w:val="nil"/>
            </w:tcBorders>
            <w:noWrap/>
            <w:vAlign w:val="center"/>
          </w:tcPr>
          <w:p w14:paraId="20F08102"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91.09±1.73</w:t>
            </w:r>
          </w:p>
        </w:tc>
        <w:tc>
          <w:tcPr>
            <w:tcW w:w="1357" w:type="dxa"/>
            <w:tcBorders>
              <w:top w:val="nil"/>
              <w:left w:val="nil"/>
              <w:bottom w:val="nil"/>
              <w:right w:val="nil"/>
            </w:tcBorders>
            <w:noWrap/>
            <w:vAlign w:val="center"/>
          </w:tcPr>
          <w:p w14:paraId="4591FD59"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1.90</w:t>
            </w:r>
          </w:p>
        </w:tc>
        <w:tc>
          <w:tcPr>
            <w:tcW w:w="0" w:type="auto"/>
            <w:tcBorders>
              <w:top w:val="nil"/>
              <w:left w:val="nil"/>
              <w:bottom w:val="nil"/>
              <w:right w:val="nil"/>
            </w:tcBorders>
            <w:noWrap/>
            <w:vAlign w:val="center"/>
          </w:tcPr>
          <w:p w14:paraId="0CB10E16"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91.82±1.94</w:t>
            </w:r>
          </w:p>
        </w:tc>
        <w:tc>
          <w:tcPr>
            <w:tcW w:w="0" w:type="auto"/>
            <w:tcBorders>
              <w:top w:val="nil"/>
              <w:left w:val="nil"/>
              <w:bottom w:val="nil"/>
              <w:right w:val="nil"/>
            </w:tcBorders>
            <w:noWrap/>
            <w:vAlign w:val="center"/>
          </w:tcPr>
          <w:p w14:paraId="7F7611CB"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2.12</w:t>
            </w:r>
          </w:p>
        </w:tc>
      </w:tr>
      <w:tr w:rsidR="00705FBE" w:rsidRPr="00705FBE" w14:paraId="51D68BDC" w14:textId="77777777" w:rsidTr="00252327">
        <w:trPr>
          <w:trHeight w:val="220"/>
          <w:jc w:val="center"/>
        </w:trPr>
        <w:tc>
          <w:tcPr>
            <w:tcW w:w="1305" w:type="dxa"/>
            <w:vMerge/>
            <w:tcBorders>
              <w:top w:val="nil"/>
              <w:left w:val="nil"/>
              <w:bottom w:val="single" w:sz="8" w:space="0" w:color="000000"/>
              <w:right w:val="nil"/>
            </w:tcBorders>
            <w:noWrap/>
            <w:vAlign w:val="center"/>
          </w:tcPr>
          <w:p w14:paraId="5872BB86" w14:textId="77777777" w:rsidR="00705FBE" w:rsidRPr="00705FBE" w:rsidRDefault="00705FBE" w:rsidP="00705FBE">
            <w:pPr>
              <w:widowControl w:val="0"/>
              <w:snapToGrid w:val="0"/>
              <w:spacing w:before="0" w:after="0" w:line="240" w:lineRule="atLeast"/>
              <w:ind w:firstLineChars="200" w:firstLine="420"/>
              <w:jc w:val="center"/>
              <w:rPr>
                <w:rFonts w:eastAsia="宋体" w:cs="Times New Roman"/>
                <w:color w:val="000000"/>
                <w:kern w:val="2"/>
                <w:sz w:val="21"/>
                <w:szCs w:val="20"/>
                <w:lang w:eastAsia="zh-CN"/>
              </w:rPr>
            </w:pPr>
          </w:p>
        </w:tc>
        <w:tc>
          <w:tcPr>
            <w:tcW w:w="0" w:type="auto"/>
            <w:tcBorders>
              <w:top w:val="nil"/>
              <w:left w:val="nil"/>
              <w:bottom w:val="single" w:sz="8" w:space="0" w:color="000000"/>
              <w:right w:val="nil"/>
            </w:tcBorders>
            <w:noWrap/>
            <w:vAlign w:val="center"/>
          </w:tcPr>
          <w:p w14:paraId="4490ECF4"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1"/>
                <w:szCs w:val="20"/>
                <w:lang w:eastAsia="zh-CN"/>
              </w:rPr>
            </w:pPr>
            <w:r w:rsidRPr="00705FBE">
              <w:rPr>
                <w:rFonts w:eastAsia="宋体" w:cs="Times New Roman"/>
                <w:color w:val="000000"/>
                <w:kern w:val="2"/>
                <w:sz w:val="21"/>
                <w:szCs w:val="20"/>
                <w:lang w:eastAsia="zh-CN" w:bidi="ar"/>
              </w:rPr>
              <w:t>0.19</w:t>
            </w:r>
          </w:p>
        </w:tc>
        <w:tc>
          <w:tcPr>
            <w:tcW w:w="1930" w:type="dxa"/>
            <w:tcBorders>
              <w:top w:val="nil"/>
              <w:left w:val="nil"/>
              <w:bottom w:val="single" w:sz="8" w:space="0" w:color="000000"/>
              <w:right w:val="nil"/>
            </w:tcBorders>
            <w:noWrap/>
            <w:vAlign w:val="center"/>
          </w:tcPr>
          <w:p w14:paraId="06DF2E5A"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93.81±6.07</w:t>
            </w:r>
          </w:p>
        </w:tc>
        <w:tc>
          <w:tcPr>
            <w:tcW w:w="1357" w:type="dxa"/>
            <w:tcBorders>
              <w:top w:val="nil"/>
              <w:left w:val="nil"/>
              <w:bottom w:val="single" w:sz="8" w:space="0" w:color="000000"/>
              <w:right w:val="nil"/>
            </w:tcBorders>
            <w:noWrap/>
            <w:vAlign w:val="center"/>
          </w:tcPr>
          <w:p w14:paraId="3B01E0C7"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6.47</w:t>
            </w:r>
          </w:p>
        </w:tc>
        <w:tc>
          <w:tcPr>
            <w:tcW w:w="0" w:type="auto"/>
            <w:tcBorders>
              <w:top w:val="nil"/>
              <w:left w:val="nil"/>
              <w:bottom w:val="single" w:sz="8" w:space="0" w:color="000000"/>
              <w:right w:val="nil"/>
            </w:tcBorders>
            <w:noWrap/>
            <w:vAlign w:val="center"/>
          </w:tcPr>
          <w:p w14:paraId="521900F8"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103.38±6.84</w:t>
            </w:r>
          </w:p>
        </w:tc>
        <w:tc>
          <w:tcPr>
            <w:tcW w:w="0" w:type="auto"/>
            <w:tcBorders>
              <w:top w:val="nil"/>
              <w:left w:val="nil"/>
              <w:bottom w:val="single" w:sz="8" w:space="0" w:color="000000"/>
              <w:right w:val="nil"/>
            </w:tcBorders>
            <w:noWrap/>
            <w:vAlign w:val="center"/>
          </w:tcPr>
          <w:p w14:paraId="2446F94C" w14:textId="77777777" w:rsidR="00705FBE" w:rsidRPr="00705FBE" w:rsidRDefault="00705FBE" w:rsidP="00705FBE">
            <w:pPr>
              <w:snapToGrid w:val="0"/>
              <w:spacing w:before="0" w:after="0" w:line="240" w:lineRule="atLeast"/>
              <w:jc w:val="center"/>
              <w:textAlignment w:val="center"/>
              <w:rPr>
                <w:rFonts w:eastAsia="宋体" w:cs="Times New Roman"/>
                <w:color w:val="000000"/>
                <w:kern w:val="2"/>
                <w:sz w:val="20"/>
                <w:lang w:eastAsia="zh-CN"/>
              </w:rPr>
            </w:pPr>
            <w:r w:rsidRPr="00705FBE">
              <w:rPr>
                <w:rFonts w:eastAsia="宋体" w:cs="Times New Roman"/>
                <w:color w:val="000000"/>
                <w:kern w:val="2"/>
                <w:sz w:val="20"/>
                <w:lang w:eastAsia="zh-CN"/>
              </w:rPr>
              <w:t>6.62</w:t>
            </w:r>
          </w:p>
        </w:tc>
      </w:tr>
    </w:tbl>
    <w:p w14:paraId="37FD659A" w14:textId="77777777" w:rsidR="00776A15" w:rsidRDefault="00776A15">
      <w:pPr>
        <w:spacing w:line="360" w:lineRule="auto"/>
        <w:rPr>
          <w:rFonts w:eastAsia="宋体"/>
          <w:color w:val="000000" w:themeColor="text1"/>
        </w:rPr>
      </w:pPr>
    </w:p>
    <w:p w14:paraId="37FD663E" w14:textId="4827DBED" w:rsidR="00776A15" w:rsidRPr="00640699" w:rsidRDefault="008E446C" w:rsidP="00640699">
      <w:pPr>
        <w:pStyle w:val="a4"/>
        <w:spacing w:after="0" w:line="360" w:lineRule="auto"/>
        <w:jc w:val="center"/>
        <w:rPr>
          <w:b w:val="0"/>
          <w:bCs w:val="0"/>
          <w:color w:val="000000" w:themeColor="text1"/>
        </w:rPr>
      </w:pPr>
      <w:r>
        <w:rPr>
          <w:color w:val="000000" w:themeColor="text1"/>
        </w:rPr>
        <w:t>Supplementary Table S</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3</w:t>
      </w:r>
      <w:r>
        <w:rPr>
          <w:color w:val="000000" w:themeColor="text1"/>
        </w:rPr>
        <w:fldChar w:fldCharType="end"/>
      </w:r>
      <w:r>
        <w:rPr>
          <w:color w:val="000000" w:themeColor="text1"/>
        </w:rPr>
        <w:t xml:space="preserve"> </w:t>
      </w:r>
      <w:r>
        <w:rPr>
          <w:b w:val="0"/>
          <w:bCs w:val="0"/>
          <w:color w:val="000000" w:themeColor="text1"/>
        </w:rPr>
        <w:t>The stability of OBB in whole blood samples under different storage conditions.</w:t>
      </w:r>
    </w:p>
    <w:tbl>
      <w:tblPr>
        <w:tblpPr w:leftFromText="180" w:rightFromText="180" w:vertAnchor="text" w:horzAnchor="margin" w:tblpXSpec="center" w:tblpY="141"/>
        <w:tblOverlap w:val="never"/>
        <w:tblW w:w="12008" w:type="dxa"/>
        <w:tblLook w:val="0000" w:firstRow="0" w:lastRow="0" w:firstColumn="0" w:lastColumn="0" w:noHBand="0" w:noVBand="0"/>
      </w:tblPr>
      <w:tblGrid>
        <w:gridCol w:w="1500"/>
        <w:gridCol w:w="1359"/>
        <w:gridCol w:w="1359"/>
        <w:gridCol w:w="915"/>
        <w:gridCol w:w="794"/>
        <w:gridCol w:w="1359"/>
        <w:gridCol w:w="672"/>
        <w:gridCol w:w="1123"/>
        <w:gridCol w:w="1359"/>
        <w:gridCol w:w="774"/>
        <w:gridCol w:w="794"/>
      </w:tblGrid>
      <w:tr w:rsidR="0062191D" w:rsidRPr="0062191D" w14:paraId="6603691C" w14:textId="77777777" w:rsidTr="00D252D3">
        <w:trPr>
          <w:trHeight w:val="266"/>
        </w:trPr>
        <w:tc>
          <w:tcPr>
            <w:tcW w:w="1500" w:type="dxa"/>
            <w:vMerge w:val="restart"/>
            <w:tcBorders>
              <w:top w:val="single" w:sz="8" w:space="0" w:color="000000"/>
              <w:left w:val="nil"/>
              <w:bottom w:val="single" w:sz="4" w:space="0" w:color="000000"/>
              <w:right w:val="nil"/>
            </w:tcBorders>
            <w:noWrap/>
            <w:vAlign w:val="center"/>
          </w:tcPr>
          <w:p w14:paraId="7E39717F"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bookmarkStart w:id="7" w:name="OLE_LINK6" w:colFirst="0" w:colLast="10"/>
            <w:r w:rsidRPr="0062191D">
              <w:rPr>
                <w:rFonts w:eastAsia="宋体" w:cs="Times New Roman"/>
                <w:color w:val="000000"/>
                <w:sz w:val="21"/>
                <w:szCs w:val="20"/>
                <w:lang w:eastAsia="zh-CN" w:bidi="ar"/>
              </w:rPr>
              <w:t>Analyte</w:t>
            </w:r>
          </w:p>
        </w:tc>
        <w:tc>
          <w:tcPr>
            <w:tcW w:w="1359" w:type="dxa"/>
            <w:vMerge w:val="restart"/>
            <w:tcBorders>
              <w:top w:val="single" w:sz="8" w:space="0" w:color="000000"/>
              <w:left w:val="nil"/>
              <w:bottom w:val="single" w:sz="4" w:space="0" w:color="000000"/>
              <w:right w:val="nil"/>
            </w:tcBorders>
            <w:noWrap/>
            <w:vAlign w:val="center"/>
          </w:tcPr>
          <w:p w14:paraId="7CC40B72" w14:textId="6BAE502C"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Samples concentration (</w:t>
            </w:r>
            <w:r w:rsidR="00547C5C" w:rsidRPr="00547C5C">
              <w:rPr>
                <w:rFonts w:eastAsia="宋体" w:cs="Times New Roman"/>
                <w:color w:val="000000"/>
                <w:sz w:val="21"/>
                <w:szCs w:val="21"/>
                <w:lang w:eastAsia="zh-CN" w:bidi="ar"/>
              </w:rPr>
              <w:t>μ</w:t>
            </w:r>
            <w:r w:rsidRPr="0062191D">
              <w:rPr>
                <w:rFonts w:eastAsia="宋体" w:cs="Times New Roman"/>
                <w:color w:val="000000"/>
                <w:sz w:val="21"/>
                <w:szCs w:val="20"/>
                <w:lang w:eastAsia="zh-CN" w:bidi="ar"/>
              </w:rPr>
              <w:t>g/mL)</w:t>
            </w:r>
          </w:p>
        </w:tc>
        <w:tc>
          <w:tcPr>
            <w:tcW w:w="3068" w:type="dxa"/>
            <w:gridSpan w:val="3"/>
            <w:tcBorders>
              <w:top w:val="single" w:sz="8" w:space="0" w:color="000000"/>
              <w:left w:val="nil"/>
              <w:bottom w:val="single" w:sz="4" w:space="0" w:color="000000"/>
              <w:right w:val="nil"/>
            </w:tcBorders>
            <w:noWrap/>
            <w:vAlign w:val="center"/>
          </w:tcPr>
          <w:p w14:paraId="07F80D6D"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Room Temp. for 24 h</w:t>
            </w:r>
          </w:p>
        </w:tc>
        <w:tc>
          <w:tcPr>
            <w:tcW w:w="3154" w:type="dxa"/>
            <w:gridSpan w:val="3"/>
            <w:tcBorders>
              <w:top w:val="single" w:sz="8" w:space="0" w:color="000000"/>
              <w:left w:val="nil"/>
              <w:bottom w:val="single" w:sz="4" w:space="0" w:color="000000"/>
              <w:right w:val="nil"/>
            </w:tcBorders>
            <w:noWrap/>
            <w:vAlign w:val="center"/>
          </w:tcPr>
          <w:p w14:paraId="5227CF8F"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Three-Freeze–Thaw Cycle</w:t>
            </w:r>
          </w:p>
        </w:tc>
        <w:tc>
          <w:tcPr>
            <w:tcW w:w="2927" w:type="dxa"/>
            <w:gridSpan w:val="3"/>
            <w:tcBorders>
              <w:top w:val="single" w:sz="8" w:space="0" w:color="000000"/>
              <w:left w:val="nil"/>
              <w:bottom w:val="single" w:sz="4" w:space="0" w:color="000000"/>
              <w:right w:val="nil"/>
            </w:tcBorders>
            <w:noWrap/>
            <w:vAlign w:val="center"/>
          </w:tcPr>
          <w:p w14:paraId="5C528D4B"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4℃ for 1 Months</w:t>
            </w:r>
          </w:p>
        </w:tc>
      </w:tr>
      <w:tr w:rsidR="0062191D" w:rsidRPr="0062191D" w14:paraId="53243C94" w14:textId="77777777" w:rsidTr="00D252D3">
        <w:trPr>
          <w:trHeight w:val="623"/>
        </w:trPr>
        <w:tc>
          <w:tcPr>
            <w:tcW w:w="1500" w:type="dxa"/>
            <w:vMerge/>
            <w:tcBorders>
              <w:top w:val="single" w:sz="8" w:space="0" w:color="000000"/>
              <w:left w:val="nil"/>
              <w:bottom w:val="single" w:sz="4" w:space="0" w:color="000000"/>
              <w:right w:val="nil"/>
            </w:tcBorders>
            <w:noWrap/>
            <w:vAlign w:val="center"/>
          </w:tcPr>
          <w:p w14:paraId="2BE44279" w14:textId="77777777" w:rsidR="0062191D" w:rsidRPr="0062191D" w:rsidRDefault="0062191D" w:rsidP="0062191D">
            <w:pPr>
              <w:widowControl w:val="0"/>
              <w:autoSpaceDE w:val="0"/>
              <w:autoSpaceDN w:val="0"/>
              <w:snapToGrid w:val="0"/>
              <w:spacing w:before="0" w:after="0" w:line="240" w:lineRule="atLeast"/>
              <w:jc w:val="center"/>
              <w:rPr>
                <w:rFonts w:eastAsia="宋体" w:cs="Times New Roman"/>
                <w:color w:val="000000"/>
                <w:sz w:val="21"/>
                <w:szCs w:val="20"/>
                <w:lang w:eastAsia="zh-CN"/>
              </w:rPr>
            </w:pPr>
          </w:p>
        </w:tc>
        <w:tc>
          <w:tcPr>
            <w:tcW w:w="1359" w:type="dxa"/>
            <w:vMerge/>
            <w:tcBorders>
              <w:top w:val="single" w:sz="8" w:space="0" w:color="000000"/>
              <w:left w:val="nil"/>
              <w:bottom w:val="single" w:sz="4" w:space="0" w:color="000000"/>
              <w:right w:val="nil"/>
            </w:tcBorders>
            <w:noWrap/>
            <w:vAlign w:val="center"/>
          </w:tcPr>
          <w:p w14:paraId="6ED6D3A0" w14:textId="77777777" w:rsidR="0062191D" w:rsidRPr="0062191D" w:rsidRDefault="0062191D" w:rsidP="0062191D">
            <w:pPr>
              <w:widowControl w:val="0"/>
              <w:autoSpaceDE w:val="0"/>
              <w:autoSpaceDN w:val="0"/>
              <w:snapToGrid w:val="0"/>
              <w:spacing w:before="0" w:after="0" w:line="240" w:lineRule="atLeast"/>
              <w:jc w:val="center"/>
              <w:rPr>
                <w:rFonts w:eastAsia="宋体" w:cs="Times New Roman"/>
                <w:color w:val="000000"/>
                <w:sz w:val="21"/>
                <w:szCs w:val="20"/>
                <w:lang w:eastAsia="zh-CN"/>
              </w:rPr>
            </w:pPr>
          </w:p>
        </w:tc>
        <w:tc>
          <w:tcPr>
            <w:tcW w:w="1359" w:type="dxa"/>
            <w:tcBorders>
              <w:top w:val="nil"/>
              <w:left w:val="nil"/>
              <w:bottom w:val="single" w:sz="4" w:space="0" w:color="000000"/>
              <w:right w:val="nil"/>
            </w:tcBorders>
            <w:noWrap/>
            <w:vAlign w:val="center"/>
          </w:tcPr>
          <w:p w14:paraId="42819FC1" w14:textId="4FBC89E2"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Measured concentration (</w:t>
            </w:r>
            <w:r w:rsidR="00547C5C" w:rsidRPr="00547C5C">
              <w:rPr>
                <w:rFonts w:eastAsia="宋体" w:cs="Times New Roman"/>
                <w:color w:val="000000"/>
                <w:sz w:val="21"/>
                <w:szCs w:val="21"/>
                <w:lang w:eastAsia="zh-CN" w:bidi="ar"/>
              </w:rPr>
              <w:t>μ</w:t>
            </w:r>
            <w:r w:rsidRPr="0062191D">
              <w:rPr>
                <w:rFonts w:eastAsia="宋体" w:cs="Times New Roman"/>
                <w:color w:val="000000"/>
                <w:sz w:val="21"/>
                <w:szCs w:val="20"/>
                <w:lang w:eastAsia="zh-CN" w:bidi="ar"/>
              </w:rPr>
              <w:t>g/mL)</w:t>
            </w:r>
          </w:p>
        </w:tc>
        <w:tc>
          <w:tcPr>
            <w:tcW w:w="915" w:type="dxa"/>
            <w:tcBorders>
              <w:top w:val="nil"/>
              <w:left w:val="nil"/>
              <w:bottom w:val="single" w:sz="4" w:space="0" w:color="000000"/>
              <w:right w:val="nil"/>
            </w:tcBorders>
            <w:noWrap/>
            <w:vAlign w:val="center"/>
          </w:tcPr>
          <w:p w14:paraId="01DA880F"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RSD (%)</w:t>
            </w:r>
          </w:p>
        </w:tc>
        <w:tc>
          <w:tcPr>
            <w:tcW w:w="794" w:type="dxa"/>
            <w:tcBorders>
              <w:top w:val="nil"/>
              <w:left w:val="nil"/>
              <w:bottom w:val="single" w:sz="4" w:space="0" w:color="000000"/>
              <w:right w:val="nil"/>
            </w:tcBorders>
            <w:noWrap/>
            <w:vAlign w:val="center"/>
          </w:tcPr>
          <w:p w14:paraId="37A24BDD"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RE (%)</w:t>
            </w:r>
          </w:p>
        </w:tc>
        <w:tc>
          <w:tcPr>
            <w:tcW w:w="1359" w:type="dxa"/>
            <w:tcBorders>
              <w:top w:val="nil"/>
              <w:left w:val="nil"/>
              <w:bottom w:val="single" w:sz="4" w:space="0" w:color="000000"/>
              <w:right w:val="nil"/>
            </w:tcBorders>
            <w:noWrap/>
            <w:vAlign w:val="center"/>
          </w:tcPr>
          <w:p w14:paraId="684541C4" w14:textId="432E3389"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Measured concentration (</w:t>
            </w:r>
            <w:r w:rsidR="00547C5C" w:rsidRPr="00547C5C">
              <w:rPr>
                <w:rFonts w:eastAsia="宋体" w:cs="Times New Roman"/>
                <w:color w:val="000000"/>
                <w:sz w:val="21"/>
                <w:szCs w:val="21"/>
                <w:lang w:eastAsia="zh-CN" w:bidi="ar"/>
              </w:rPr>
              <w:t>μ</w:t>
            </w:r>
            <w:r w:rsidRPr="0062191D">
              <w:rPr>
                <w:rFonts w:eastAsia="宋体" w:cs="Times New Roman"/>
                <w:color w:val="000000"/>
                <w:sz w:val="21"/>
                <w:szCs w:val="20"/>
                <w:lang w:eastAsia="zh-CN" w:bidi="ar"/>
              </w:rPr>
              <w:t>g/mL)</w:t>
            </w:r>
          </w:p>
        </w:tc>
        <w:tc>
          <w:tcPr>
            <w:tcW w:w="672" w:type="dxa"/>
            <w:tcBorders>
              <w:top w:val="nil"/>
              <w:left w:val="nil"/>
              <w:bottom w:val="single" w:sz="4" w:space="0" w:color="000000"/>
              <w:right w:val="nil"/>
            </w:tcBorders>
            <w:noWrap/>
            <w:vAlign w:val="center"/>
          </w:tcPr>
          <w:p w14:paraId="43F8DCF0"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RSD (%)</w:t>
            </w:r>
          </w:p>
        </w:tc>
        <w:tc>
          <w:tcPr>
            <w:tcW w:w="1123" w:type="dxa"/>
            <w:tcBorders>
              <w:top w:val="nil"/>
              <w:left w:val="nil"/>
              <w:bottom w:val="single" w:sz="4" w:space="0" w:color="000000"/>
              <w:right w:val="nil"/>
            </w:tcBorders>
            <w:noWrap/>
            <w:vAlign w:val="center"/>
          </w:tcPr>
          <w:p w14:paraId="3D40A9C5"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RE (%)</w:t>
            </w:r>
          </w:p>
        </w:tc>
        <w:tc>
          <w:tcPr>
            <w:tcW w:w="1359" w:type="dxa"/>
            <w:tcBorders>
              <w:top w:val="nil"/>
              <w:left w:val="nil"/>
              <w:bottom w:val="single" w:sz="4" w:space="0" w:color="000000"/>
              <w:right w:val="nil"/>
            </w:tcBorders>
            <w:noWrap/>
            <w:vAlign w:val="center"/>
          </w:tcPr>
          <w:p w14:paraId="74BDC873" w14:textId="50C8AF2A"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Measured concentration (</w:t>
            </w:r>
            <w:r w:rsidR="00547C5C" w:rsidRPr="00547C5C">
              <w:rPr>
                <w:rFonts w:eastAsia="宋体" w:cs="Times New Roman"/>
                <w:color w:val="000000"/>
                <w:sz w:val="21"/>
                <w:szCs w:val="21"/>
                <w:lang w:eastAsia="zh-CN" w:bidi="ar"/>
              </w:rPr>
              <w:t>μ</w:t>
            </w:r>
            <w:r w:rsidRPr="0062191D">
              <w:rPr>
                <w:rFonts w:eastAsia="宋体" w:cs="Times New Roman"/>
                <w:color w:val="000000"/>
                <w:sz w:val="21"/>
                <w:szCs w:val="20"/>
                <w:lang w:eastAsia="zh-CN" w:bidi="ar"/>
              </w:rPr>
              <w:t>g/mL)</w:t>
            </w:r>
          </w:p>
        </w:tc>
        <w:tc>
          <w:tcPr>
            <w:tcW w:w="774" w:type="dxa"/>
            <w:tcBorders>
              <w:top w:val="nil"/>
              <w:left w:val="nil"/>
              <w:bottom w:val="single" w:sz="4" w:space="0" w:color="000000"/>
              <w:right w:val="nil"/>
            </w:tcBorders>
            <w:noWrap/>
            <w:vAlign w:val="center"/>
          </w:tcPr>
          <w:p w14:paraId="2FBFD479"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RSD (%)</w:t>
            </w:r>
          </w:p>
        </w:tc>
        <w:tc>
          <w:tcPr>
            <w:tcW w:w="794" w:type="dxa"/>
            <w:tcBorders>
              <w:top w:val="nil"/>
              <w:left w:val="nil"/>
              <w:bottom w:val="single" w:sz="4" w:space="0" w:color="000000"/>
              <w:right w:val="nil"/>
            </w:tcBorders>
            <w:noWrap/>
            <w:vAlign w:val="center"/>
          </w:tcPr>
          <w:p w14:paraId="6D46E0A0"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0"/>
                <w:lang w:eastAsia="zh-CN" w:bidi="ar"/>
              </w:rPr>
              <w:t>RE (%)</w:t>
            </w:r>
          </w:p>
        </w:tc>
      </w:tr>
      <w:tr w:rsidR="0062191D" w:rsidRPr="0062191D" w14:paraId="586D5351" w14:textId="77777777" w:rsidTr="00D252D3">
        <w:trPr>
          <w:trHeight w:val="196"/>
        </w:trPr>
        <w:tc>
          <w:tcPr>
            <w:tcW w:w="1500" w:type="dxa"/>
            <w:vMerge w:val="restart"/>
            <w:tcBorders>
              <w:top w:val="nil"/>
              <w:left w:val="nil"/>
              <w:bottom w:val="single" w:sz="8" w:space="0" w:color="000000"/>
              <w:right w:val="nil"/>
            </w:tcBorders>
            <w:noWrap/>
            <w:vAlign w:val="center"/>
          </w:tcPr>
          <w:p w14:paraId="3034EDAE"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20"/>
                <w:lang w:eastAsia="zh-CN"/>
              </w:rPr>
            </w:pPr>
            <w:r w:rsidRPr="0062191D">
              <w:rPr>
                <w:rFonts w:eastAsia="宋体" w:cs="Times New Roman"/>
                <w:color w:val="000000"/>
                <w:sz w:val="21"/>
                <w:szCs w:val="21"/>
                <w:lang w:eastAsia="zh-CN"/>
              </w:rPr>
              <w:t>Blood</w:t>
            </w:r>
          </w:p>
        </w:tc>
        <w:tc>
          <w:tcPr>
            <w:tcW w:w="1359" w:type="dxa"/>
            <w:tcBorders>
              <w:top w:val="nil"/>
              <w:left w:val="nil"/>
              <w:bottom w:val="nil"/>
              <w:right w:val="nil"/>
            </w:tcBorders>
            <w:noWrap/>
            <w:vAlign w:val="center"/>
          </w:tcPr>
          <w:p w14:paraId="798F05F9"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18"/>
                <w:lang w:eastAsia="zh-CN"/>
              </w:rPr>
            </w:pPr>
            <w:r w:rsidRPr="0062191D">
              <w:rPr>
                <w:rFonts w:eastAsia="宋体" w:cs="Times New Roman"/>
                <w:color w:val="000000"/>
                <w:sz w:val="21"/>
                <w:szCs w:val="18"/>
                <w:lang w:eastAsia="zh-CN" w:bidi="ar"/>
              </w:rPr>
              <w:t>12.50</w:t>
            </w:r>
          </w:p>
        </w:tc>
        <w:tc>
          <w:tcPr>
            <w:tcW w:w="1359" w:type="dxa"/>
            <w:tcBorders>
              <w:top w:val="nil"/>
              <w:left w:val="nil"/>
              <w:bottom w:val="nil"/>
              <w:right w:val="nil"/>
            </w:tcBorders>
            <w:noWrap/>
            <w:vAlign w:val="center"/>
          </w:tcPr>
          <w:p w14:paraId="7EE51285"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12.69±0.85</w:t>
            </w:r>
          </w:p>
        </w:tc>
        <w:tc>
          <w:tcPr>
            <w:tcW w:w="915" w:type="dxa"/>
            <w:tcBorders>
              <w:top w:val="nil"/>
              <w:left w:val="nil"/>
              <w:bottom w:val="nil"/>
              <w:right w:val="nil"/>
            </w:tcBorders>
            <w:noWrap/>
            <w:vAlign w:val="center"/>
          </w:tcPr>
          <w:p w14:paraId="35047C4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6.72 </w:t>
            </w:r>
          </w:p>
        </w:tc>
        <w:tc>
          <w:tcPr>
            <w:tcW w:w="794" w:type="dxa"/>
            <w:tcBorders>
              <w:top w:val="nil"/>
              <w:left w:val="nil"/>
              <w:bottom w:val="nil"/>
              <w:right w:val="nil"/>
            </w:tcBorders>
            <w:noWrap/>
            <w:vAlign w:val="center"/>
          </w:tcPr>
          <w:p w14:paraId="0820119A"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101.56 </w:t>
            </w:r>
          </w:p>
        </w:tc>
        <w:tc>
          <w:tcPr>
            <w:tcW w:w="1359" w:type="dxa"/>
            <w:tcBorders>
              <w:top w:val="nil"/>
              <w:left w:val="nil"/>
              <w:bottom w:val="nil"/>
              <w:right w:val="nil"/>
            </w:tcBorders>
            <w:noWrap/>
            <w:vAlign w:val="center"/>
          </w:tcPr>
          <w:p w14:paraId="514FECB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12.02±0.6</w:t>
            </w:r>
          </w:p>
        </w:tc>
        <w:tc>
          <w:tcPr>
            <w:tcW w:w="672" w:type="dxa"/>
            <w:tcBorders>
              <w:top w:val="nil"/>
              <w:left w:val="nil"/>
              <w:bottom w:val="nil"/>
              <w:right w:val="nil"/>
            </w:tcBorders>
            <w:noWrap/>
            <w:vAlign w:val="center"/>
          </w:tcPr>
          <w:p w14:paraId="0238923B"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5.00 </w:t>
            </w:r>
          </w:p>
        </w:tc>
        <w:tc>
          <w:tcPr>
            <w:tcW w:w="1123" w:type="dxa"/>
            <w:tcBorders>
              <w:top w:val="nil"/>
              <w:left w:val="nil"/>
              <w:bottom w:val="nil"/>
              <w:right w:val="nil"/>
            </w:tcBorders>
            <w:noWrap/>
            <w:vAlign w:val="center"/>
          </w:tcPr>
          <w:p w14:paraId="4F4E96EF"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96.19 </w:t>
            </w:r>
          </w:p>
        </w:tc>
        <w:tc>
          <w:tcPr>
            <w:tcW w:w="1359" w:type="dxa"/>
            <w:tcBorders>
              <w:top w:val="nil"/>
              <w:left w:val="nil"/>
              <w:bottom w:val="nil"/>
              <w:right w:val="nil"/>
            </w:tcBorders>
            <w:noWrap/>
            <w:vAlign w:val="center"/>
          </w:tcPr>
          <w:p w14:paraId="15011CD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12.55±0.56</w:t>
            </w:r>
          </w:p>
        </w:tc>
        <w:tc>
          <w:tcPr>
            <w:tcW w:w="774" w:type="dxa"/>
            <w:tcBorders>
              <w:top w:val="nil"/>
              <w:left w:val="nil"/>
              <w:bottom w:val="nil"/>
              <w:right w:val="nil"/>
            </w:tcBorders>
            <w:noWrap/>
            <w:vAlign w:val="center"/>
          </w:tcPr>
          <w:p w14:paraId="66BBBEDD"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4.46 </w:t>
            </w:r>
          </w:p>
        </w:tc>
        <w:tc>
          <w:tcPr>
            <w:tcW w:w="794" w:type="dxa"/>
            <w:tcBorders>
              <w:top w:val="nil"/>
              <w:left w:val="nil"/>
              <w:bottom w:val="nil"/>
              <w:right w:val="nil"/>
            </w:tcBorders>
            <w:noWrap/>
            <w:vAlign w:val="center"/>
          </w:tcPr>
          <w:p w14:paraId="4B9619EC"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100.36 </w:t>
            </w:r>
          </w:p>
        </w:tc>
      </w:tr>
      <w:tr w:rsidR="0062191D" w:rsidRPr="0062191D" w14:paraId="4EB2D48C" w14:textId="77777777" w:rsidTr="00D252D3">
        <w:trPr>
          <w:trHeight w:val="90"/>
        </w:trPr>
        <w:tc>
          <w:tcPr>
            <w:tcW w:w="1500" w:type="dxa"/>
            <w:vMerge/>
            <w:tcBorders>
              <w:top w:val="nil"/>
              <w:left w:val="nil"/>
              <w:bottom w:val="single" w:sz="8" w:space="0" w:color="000000"/>
              <w:right w:val="nil"/>
            </w:tcBorders>
            <w:noWrap/>
            <w:vAlign w:val="center"/>
          </w:tcPr>
          <w:p w14:paraId="7522296F" w14:textId="77777777" w:rsidR="0062191D" w:rsidRPr="0062191D" w:rsidRDefault="0062191D" w:rsidP="0062191D">
            <w:pPr>
              <w:widowControl w:val="0"/>
              <w:autoSpaceDE w:val="0"/>
              <w:autoSpaceDN w:val="0"/>
              <w:snapToGrid w:val="0"/>
              <w:spacing w:before="0" w:after="0" w:line="240" w:lineRule="atLeast"/>
              <w:jc w:val="center"/>
              <w:rPr>
                <w:rFonts w:eastAsia="宋体" w:cs="Times New Roman"/>
                <w:color w:val="000000"/>
                <w:sz w:val="21"/>
                <w:szCs w:val="20"/>
                <w:lang w:eastAsia="zh-CN"/>
              </w:rPr>
            </w:pPr>
          </w:p>
        </w:tc>
        <w:tc>
          <w:tcPr>
            <w:tcW w:w="1359" w:type="dxa"/>
            <w:tcBorders>
              <w:top w:val="nil"/>
              <w:left w:val="nil"/>
              <w:bottom w:val="nil"/>
              <w:right w:val="nil"/>
            </w:tcBorders>
            <w:noWrap/>
            <w:vAlign w:val="center"/>
          </w:tcPr>
          <w:p w14:paraId="3A9C6D7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18"/>
                <w:lang w:eastAsia="zh-CN"/>
              </w:rPr>
            </w:pPr>
            <w:r w:rsidRPr="0062191D">
              <w:rPr>
                <w:rFonts w:eastAsia="宋体" w:cs="Times New Roman"/>
                <w:color w:val="000000"/>
                <w:sz w:val="21"/>
                <w:szCs w:val="18"/>
                <w:lang w:eastAsia="zh-CN" w:bidi="ar"/>
              </w:rPr>
              <w:t>1.56</w:t>
            </w:r>
          </w:p>
        </w:tc>
        <w:tc>
          <w:tcPr>
            <w:tcW w:w="1359" w:type="dxa"/>
            <w:tcBorders>
              <w:top w:val="nil"/>
              <w:left w:val="nil"/>
              <w:bottom w:val="nil"/>
              <w:right w:val="nil"/>
            </w:tcBorders>
            <w:noWrap/>
            <w:vAlign w:val="center"/>
          </w:tcPr>
          <w:p w14:paraId="1E1FC4CC"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1.54±0.07</w:t>
            </w:r>
          </w:p>
        </w:tc>
        <w:tc>
          <w:tcPr>
            <w:tcW w:w="915" w:type="dxa"/>
            <w:tcBorders>
              <w:top w:val="nil"/>
              <w:left w:val="nil"/>
              <w:bottom w:val="nil"/>
              <w:right w:val="nil"/>
            </w:tcBorders>
            <w:noWrap/>
            <w:vAlign w:val="center"/>
          </w:tcPr>
          <w:p w14:paraId="43CD8ECA"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4.44 </w:t>
            </w:r>
          </w:p>
        </w:tc>
        <w:tc>
          <w:tcPr>
            <w:tcW w:w="794" w:type="dxa"/>
            <w:tcBorders>
              <w:top w:val="nil"/>
              <w:left w:val="nil"/>
              <w:bottom w:val="nil"/>
              <w:right w:val="nil"/>
            </w:tcBorders>
            <w:noWrap/>
            <w:vAlign w:val="center"/>
          </w:tcPr>
          <w:p w14:paraId="3FEBBC91"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98.50 </w:t>
            </w:r>
          </w:p>
        </w:tc>
        <w:tc>
          <w:tcPr>
            <w:tcW w:w="1359" w:type="dxa"/>
            <w:tcBorders>
              <w:top w:val="nil"/>
              <w:left w:val="nil"/>
              <w:bottom w:val="nil"/>
              <w:right w:val="nil"/>
            </w:tcBorders>
            <w:noWrap/>
            <w:vAlign w:val="center"/>
          </w:tcPr>
          <w:p w14:paraId="51ADD0B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1.54±0.04</w:t>
            </w:r>
          </w:p>
        </w:tc>
        <w:tc>
          <w:tcPr>
            <w:tcW w:w="672" w:type="dxa"/>
            <w:tcBorders>
              <w:top w:val="nil"/>
              <w:left w:val="nil"/>
              <w:bottom w:val="nil"/>
              <w:right w:val="nil"/>
            </w:tcBorders>
            <w:noWrap/>
            <w:vAlign w:val="center"/>
          </w:tcPr>
          <w:p w14:paraId="142C74EA"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2.85 </w:t>
            </w:r>
          </w:p>
        </w:tc>
        <w:tc>
          <w:tcPr>
            <w:tcW w:w="1123" w:type="dxa"/>
            <w:tcBorders>
              <w:top w:val="nil"/>
              <w:left w:val="nil"/>
              <w:bottom w:val="nil"/>
              <w:right w:val="nil"/>
            </w:tcBorders>
            <w:noWrap/>
            <w:vAlign w:val="center"/>
          </w:tcPr>
          <w:p w14:paraId="088E0197"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98.92 </w:t>
            </w:r>
          </w:p>
        </w:tc>
        <w:tc>
          <w:tcPr>
            <w:tcW w:w="1359" w:type="dxa"/>
            <w:tcBorders>
              <w:top w:val="nil"/>
              <w:left w:val="nil"/>
              <w:bottom w:val="nil"/>
              <w:right w:val="nil"/>
            </w:tcBorders>
            <w:noWrap/>
            <w:vAlign w:val="center"/>
          </w:tcPr>
          <w:p w14:paraId="4ADFA365"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1.52±0.08</w:t>
            </w:r>
          </w:p>
        </w:tc>
        <w:tc>
          <w:tcPr>
            <w:tcW w:w="774" w:type="dxa"/>
            <w:tcBorders>
              <w:top w:val="nil"/>
              <w:left w:val="nil"/>
              <w:bottom w:val="nil"/>
              <w:right w:val="nil"/>
            </w:tcBorders>
            <w:noWrap/>
            <w:vAlign w:val="center"/>
          </w:tcPr>
          <w:p w14:paraId="008C339C"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4.97 </w:t>
            </w:r>
          </w:p>
        </w:tc>
        <w:tc>
          <w:tcPr>
            <w:tcW w:w="794" w:type="dxa"/>
            <w:tcBorders>
              <w:top w:val="nil"/>
              <w:left w:val="nil"/>
              <w:bottom w:val="nil"/>
              <w:right w:val="nil"/>
            </w:tcBorders>
            <w:noWrap/>
            <w:vAlign w:val="center"/>
          </w:tcPr>
          <w:p w14:paraId="1DA499F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97.55 </w:t>
            </w:r>
          </w:p>
        </w:tc>
      </w:tr>
      <w:tr w:rsidR="0062191D" w:rsidRPr="0062191D" w14:paraId="4AB49D56" w14:textId="77777777" w:rsidTr="00D252D3">
        <w:trPr>
          <w:trHeight w:val="90"/>
        </w:trPr>
        <w:tc>
          <w:tcPr>
            <w:tcW w:w="1500" w:type="dxa"/>
            <w:vMerge/>
            <w:tcBorders>
              <w:top w:val="nil"/>
              <w:left w:val="nil"/>
              <w:bottom w:val="single" w:sz="8" w:space="0" w:color="000000"/>
              <w:right w:val="nil"/>
            </w:tcBorders>
            <w:noWrap/>
            <w:vAlign w:val="center"/>
          </w:tcPr>
          <w:p w14:paraId="3D90D8F6" w14:textId="77777777" w:rsidR="0062191D" w:rsidRPr="0062191D" w:rsidRDefault="0062191D" w:rsidP="0062191D">
            <w:pPr>
              <w:widowControl w:val="0"/>
              <w:autoSpaceDE w:val="0"/>
              <w:autoSpaceDN w:val="0"/>
              <w:snapToGrid w:val="0"/>
              <w:spacing w:before="0" w:after="0" w:line="240" w:lineRule="atLeast"/>
              <w:jc w:val="center"/>
              <w:rPr>
                <w:rFonts w:eastAsia="宋体" w:cs="Times New Roman"/>
                <w:color w:val="000000"/>
                <w:sz w:val="21"/>
                <w:szCs w:val="20"/>
                <w:lang w:eastAsia="zh-CN"/>
              </w:rPr>
            </w:pPr>
          </w:p>
        </w:tc>
        <w:tc>
          <w:tcPr>
            <w:tcW w:w="1359" w:type="dxa"/>
            <w:tcBorders>
              <w:top w:val="nil"/>
              <w:left w:val="nil"/>
              <w:bottom w:val="single" w:sz="8" w:space="0" w:color="000000"/>
              <w:right w:val="nil"/>
            </w:tcBorders>
            <w:noWrap/>
            <w:vAlign w:val="center"/>
          </w:tcPr>
          <w:p w14:paraId="78E02C48"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1"/>
                <w:szCs w:val="18"/>
                <w:lang w:eastAsia="zh-CN"/>
              </w:rPr>
            </w:pPr>
            <w:r w:rsidRPr="0062191D">
              <w:rPr>
                <w:rFonts w:eastAsia="宋体" w:cs="Times New Roman"/>
                <w:color w:val="000000"/>
                <w:sz w:val="21"/>
                <w:szCs w:val="18"/>
                <w:lang w:eastAsia="zh-CN" w:bidi="ar"/>
              </w:rPr>
              <w:t>0.19</w:t>
            </w:r>
          </w:p>
        </w:tc>
        <w:tc>
          <w:tcPr>
            <w:tcW w:w="1359" w:type="dxa"/>
            <w:tcBorders>
              <w:top w:val="nil"/>
              <w:left w:val="nil"/>
              <w:bottom w:val="single" w:sz="8" w:space="0" w:color="000000"/>
              <w:right w:val="nil"/>
            </w:tcBorders>
            <w:noWrap/>
            <w:vAlign w:val="center"/>
          </w:tcPr>
          <w:p w14:paraId="4B0FBAF8"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0.18±0.02</w:t>
            </w:r>
          </w:p>
        </w:tc>
        <w:tc>
          <w:tcPr>
            <w:tcW w:w="915" w:type="dxa"/>
            <w:tcBorders>
              <w:top w:val="nil"/>
              <w:left w:val="nil"/>
              <w:bottom w:val="single" w:sz="8" w:space="0" w:color="000000"/>
              <w:right w:val="nil"/>
            </w:tcBorders>
            <w:noWrap/>
            <w:vAlign w:val="center"/>
          </w:tcPr>
          <w:p w14:paraId="35849CD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8.93 </w:t>
            </w:r>
          </w:p>
        </w:tc>
        <w:tc>
          <w:tcPr>
            <w:tcW w:w="794" w:type="dxa"/>
            <w:tcBorders>
              <w:top w:val="nil"/>
              <w:left w:val="nil"/>
              <w:bottom w:val="single" w:sz="8" w:space="0" w:color="000000"/>
              <w:right w:val="nil"/>
            </w:tcBorders>
            <w:noWrap/>
            <w:vAlign w:val="center"/>
          </w:tcPr>
          <w:p w14:paraId="3B813799"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92.25 </w:t>
            </w:r>
          </w:p>
        </w:tc>
        <w:tc>
          <w:tcPr>
            <w:tcW w:w="1359" w:type="dxa"/>
            <w:tcBorders>
              <w:top w:val="nil"/>
              <w:left w:val="nil"/>
              <w:bottom w:val="single" w:sz="8" w:space="0" w:color="000000"/>
              <w:right w:val="nil"/>
            </w:tcBorders>
            <w:noWrap/>
            <w:vAlign w:val="center"/>
          </w:tcPr>
          <w:p w14:paraId="673EC677"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0.17±0.01</w:t>
            </w:r>
          </w:p>
        </w:tc>
        <w:tc>
          <w:tcPr>
            <w:tcW w:w="672" w:type="dxa"/>
            <w:tcBorders>
              <w:top w:val="nil"/>
              <w:left w:val="nil"/>
              <w:bottom w:val="single" w:sz="8" w:space="0" w:color="000000"/>
              <w:right w:val="nil"/>
            </w:tcBorders>
            <w:noWrap/>
            <w:vAlign w:val="center"/>
          </w:tcPr>
          <w:p w14:paraId="6E50B3EC"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5.30 </w:t>
            </w:r>
          </w:p>
        </w:tc>
        <w:tc>
          <w:tcPr>
            <w:tcW w:w="1123" w:type="dxa"/>
            <w:tcBorders>
              <w:top w:val="nil"/>
              <w:left w:val="nil"/>
              <w:bottom w:val="single" w:sz="8" w:space="0" w:color="000000"/>
              <w:right w:val="nil"/>
            </w:tcBorders>
            <w:noWrap/>
            <w:vAlign w:val="center"/>
          </w:tcPr>
          <w:p w14:paraId="291345C5"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89.61 </w:t>
            </w:r>
          </w:p>
        </w:tc>
        <w:tc>
          <w:tcPr>
            <w:tcW w:w="1359" w:type="dxa"/>
            <w:tcBorders>
              <w:top w:val="nil"/>
              <w:left w:val="nil"/>
              <w:bottom w:val="single" w:sz="8" w:space="0" w:color="000000"/>
              <w:right w:val="nil"/>
            </w:tcBorders>
            <w:noWrap/>
            <w:vAlign w:val="center"/>
          </w:tcPr>
          <w:p w14:paraId="636852BB"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0.18±0.02</w:t>
            </w:r>
          </w:p>
        </w:tc>
        <w:tc>
          <w:tcPr>
            <w:tcW w:w="774" w:type="dxa"/>
            <w:tcBorders>
              <w:top w:val="nil"/>
              <w:left w:val="nil"/>
              <w:bottom w:val="single" w:sz="8" w:space="0" w:color="000000"/>
              <w:right w:val="nil"/>
            </w:tcBorders>
            <w:noWrap/>
            <w:vAlign w:val="center"/>
          </w:tcPr>
          <w:p w14:paraId="343ACAAB"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9.13 </w:t>
            </w:r>
          </w:p>
        </w:tc>
        <w:tc>
          <w:tcPr>
            <w:tcW w:w="794" w:type="dxa"/>
            <w:tcBorders>
              <w:top w:val="nil"/>
              <w:left w:val="nil"/>
              <w:bottom w:val="single" w:sz="8" w:space="0" w:color="000000"/>
              <w:right w:val="nil"/>
            </w:tcBorders>
            <w:noWrap/>
            <w:vAlign w:val="center"/>
          </w:tcPr>
          <w:p w14:paraId="4E7DC9D4" w14:textId="77777777" w:rsidR="0062191D" w:rsidRPr="0062191D" w:rsidRDefault="0062191D" w:rsidP="0062191D">
            <w:pPr>
              <w:autoSpaceDE w:val="0"/>
              <w:autoSpaceDN w:val="0"/>
              <w:snapToGrid w:val="0"/>
              <w:spacing w:before="0" w:after="0" w:line="240" w:lineRule="atLeast"/>
              <w:jc w:val="center"/>
              <w:textAlignment w:val="center"/>
              <w:rPr>
                <w:rFonts w:eastAsia="宋体" w:cs="Times New Roman"/>
                <w:color w:val="000000"/>
                <w:sz w:val="20"/>
                <w:lang w:eastAsia="zh-CN"/>
              </w:rPr>
            </w:pPr>
            <w:r w:rsidRPr="0062191D">
              <w:rPr>
                <w:rFonts w:eastAsia="宋体" w:cs="Times New Roman"/>
                <w:color w:val="000000"/>
                <w:kern w:val="2"/>
                <w:sz w:val="21"/>
                <w:szCs w:val="24"/>
                <w:lang w:eastAsia="zh-CN"/>
              </w:rPr>
              <w:t xml:space="preserve">94.52 </w:t>
            </w:r>
          </w:p>
        </w:tc>
      </w:tr>
      <w:bookmarkEnd w:id="7"/>
      <w:bookmarkEnd w:id="5"/>
    </w:tbl>
    <w:p w14:paraId="37FD6656" w14:textId="77777777" w:rsidR="00776A15" w:rsidRDefault="00776A15">
      <w:pPr>
        <w:pStyle w:val="a5"/>
        <w:rPr>
          <w:rFonts w:hint="eastAsia"/>
          <w:color w:val="000000" w:themeColor="text1"/>
          <w:lang w:eastAsia="zh-CN"/>
        </w:rPr>
      </w:pPr>
    </w:p>
    <w:sectPr w:rsidR="00776A15">
      <w:headerReference w:type="even" r:id="rId10"/>
      <w:footerReference w:type="even" r:id="rId11"/>
      <w:footerReference w:type="default" r:id="rId12"/>
      <w:headerReference w:type="first" r:id="rId13"/>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8DFE" w14:textId="77777777" w:rsidR="007E7D5B" w:rsidRDefault="007E7D5B">
      <w:pPr>
        <w:spacing w:before="0" w:after="0"/>
      </w:pPr>
      <w:r>
        <w:separator/>
      </w:r>
    </w:p>
  </w:endnote>
  <w:endnote w:type="continuationSeparator" w:id="0">
    <w:p w14:paraId="0E47EEC6" w14:textId="77777777" w:rsidR="007E7D5B" w:rsidRDefault="007E7D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6F56" w14:textId="77777777" w:rsidR="00776A15" w:rsidRDefault="008E446C">
    <w:pPr>
      <w:rPr>
        <w:color w:val="C00000"/>
        <w:szCs w:val="24"/>
      </w:rPr>
    </w:pPr>
    <w:r>
      <w:rPr>
        <w:noProof/>
        <w:lang w:eastAsia="zh-CN"/>
      </w:rPr>
      <mc:AlternateContent>
        <mc:Choice Requires="wps">
          <w:drawing>
            <wp:anchor distT="0" distB="0" distL="114300" distR="114300" simplePos="0" relativeHeight="251660288" behindDoc="0" locked="0" layoutInCell="1" allowOverlap="1" wp14:anchorId="37FD6F59" wp14:editId="37FD6F5A">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7FD6F5E" w14:textId="77777777" w:rsidR="00776A15" w:rsidRDefault="008E446C">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37FD6F59"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37FD6F5E" w14:textId="77777777" w:rsidR="00776A15" w:rsidRDefault="008E446C">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6F57" w14:textId="77777777" w:rsidR="00776A15" w:rsidRDefault="008E446C">
    <w:pPr>
      <w:rPr>
        <w:b/>
        <w:sz w:val="20"/>
        <w:szCs w:val="24"/>
      </w:rPr>
    </w:pPr>
    <w:r>
      <w:rPr>
        <w:noProof/>
        <w:lang w:eastAsia="zh-CN"/>
      </w:rPr>
      <mc:AlternateContent>
        <mc:Choice Requires="wps">
          <w:drawing>
            <wp:anchor distT="0" distB="0" distL="114300" distR="114300" simplePos="0" relativeHeight="251659264" behindDoc="0" locked="0" layoutInCell="1" allowOverlap="1" wp14:anchorId="37FD6F5B" wp14:editId="37FD6F5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7FD6F5D" w14:textId="77777777" w:rsidR="00776A15" w:rsidRDefault="008E446C">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37FD6F5B"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" filled="f" stroked="f" strokeweight=".5pt">
              <v:textbox style="mso-fit-shape-to-text:t">
                <w:txbxContent>
                  <w:p w14:paraId="37FD6F5D" w14:textId="77777777" w:rsidR="00776A15" w:rsidRDefault="008E446C">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E1209" w14:textId="77777777" w:rsidR="007E7D5B" w:rsidRDefault="007E7D5B">
      <w:pPr>
        <w:spacing w:before="0" w:after="0"/>
      </w:pPr>
      <w:r>
        <w:separator/>
      </w:r>
    </w:p>
  </w:footnote>
  <w:footnote w:type="continuationSeparator" w:id="0">
    <w:p w14:paraId="547357E4" w14:textId="77777777" w:rsidR="007E7D5B" w:rsidRDefault="007E7D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6F55" w14:textId="77777777" w:rsidR="00776A15" w:rsidRDefault="008E446C">
    <w:pPr>
      <w:rPr>
        <w:rFonts w:cs="Times New Roman"/>
      </w:rPr>
    </w:pPr>
    <w:r>
      <w:rPr>
        <w:rFonts w:cs="Times New Roman"/>
      </w:rPr>
      <w:ptab w:relativeTo="margin" w:alignment="center" w:leader="none"/>
    </w:r>
    <w:r>
      <w:rPr>
        <w:rFonts w:cs="Times New Roman"/>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6F58" w14:textId="77777777" w:rsidR="00776A15" w:rsidRDefault="008E446C">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57499202">
    <w:abstractNumId w:val="0"/>
  </w:num>
  <w:num w:numId="2" w16cid:durableId="1828355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defaultTabStop w:val="720"/>
  <w:evenAndOddHeaders/>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NTAwMDE2NrW0MDBU0lEKTi0uzszPAykwrAUApnb5yCwAAAA="/>
    <w:docVar w:name="commondata" w:val="eyJoZGlkIjoiMWFlYTE1MDlkZTIxZGUzYWYxODdlNDExYmZjYjRhZDkifQ=="/>
    <w:docVar w:name="EN.InstantFormat" w:val="&lt;ENInstantFormat&gt;&lt;Enabled&gt;1&lt;/Enabled&gt;&lt;ScanUnformatted&gt;1&lt;/ScanUnformatted&gt;&lt;ScanChanges&gt;1&lt;/ScanChanges&gt;&lt;Suspended&gt;0&lt;/Suspended&gt;&lt;/ENInstantFormat&gt;"/>
    <w:docVar w:name="EN.Layout" w:val="&lt;ENLayout&gt;&lt;Style&gt;J Ethnopharma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wzazv5se59rderdrnvavppxeatrz2tfrex&quot;&gt;BBRCHS库&lt;record-ids&gt;&lt;item&gt;71&lt;/item&gt;&lt;/record-ids&gt;&lt;/item&gt;&lt;/Libraries&gt;"/>
  </w:docVars>
  <w:rsids>
    <w:rsidRoot w:val="00ED20B5"/>
    <w:rsid w:val="0000337E"/>
    <w:rsid w:val="0001436A"/>
    <w:rsid w:val="000208A0"/>
    <w:rsid w:val="00034304"/>
    <w:rsid w:val="00035434"/>
    <w:rsid w:val="00052A14"/>
    <w:rsid w:val="00056788"/>
    <w:rsid w:val="0007639E"/>
    <w:rsid w:val="00077D53"/>
    <w:rsid w:val="0008256A"/>
    <w:rsid w:val="000E1E5D"/>
    <w:rsid w:val="000E3C50"/>
    <w:rsid w:val="000F1B5F"/>
    <w:rsid w:val="000F6501"/>
    <w:rsid w:val="000F7D61"/>
    <w:rsid w:val="00101DAD"/>
    <w:rsid w:val="001037AE"/>
    <w:rsid w:val="00105FD9"/>
    <w:rsid w:val="00117666"/>
    <w:rsid w:val="0013263B"/>
    <w:rsid w:val="00133502"/>
    <w:rsid w:val="00134FD6"/>
    <w:rsid w:val="00151452"/>
    <w:rsid w:val="001549D3"/>
    <w:rsid w:val="00160065"/>
    <w:rsid w:val="00177D84"/>
    <w:rsid w:val="00187F89"/>
    <w:rsid w:val="00191E4A"/>
    <w:rsid w:val="00196AE7"/>
    <w:rsid w:val="00197C4A"/>
    <w:rsid w:val="001C7190"/>
    <w:rsid w:val="001E011C"/>
    <w:rsid w:val="001F0C20"/>
    <w:rsid w:val="00202DB1"/>
    <w:rsid w:val="00211EB4"/>
    <w:rsid w:val="00222C72"/>
    <w:rsid w:val="00252327"/>
    <w:rsid w:val="00267D18"/>
    <w:rsid w:val="00267D3C"/>
    <w:rsid w:val="002720A1"/>
    <w:rsid w:val="00273C5C"/>
    <w:rsid w:val="00274347"/>
    <w:rsid w:val="002868E2"/>
    <w:rsid w:val="002869C3"/>
    <w:rsid w:val="002919A9"/>
    <w:rsid w:val="002936E4"/>
    <w:rsid w:val="002A0DD5"/>
    <w:rsid w:val="002B4A57"/>
    <w:rsid w:val="002C3FA5"/>
    <w:rsid w:val="002C74CA"/>
    <w:rsid w:val="002D0F2C"/>
    <w:rsid w:val="002E1E28"/>
    <w:rsid w:val="00302402"/>
    <w:rsid w:val="003123F4"/>
    <w:rsid w:val="00313C3C"/>
    <w:rsid w:val="00315DC1"/>
    <w:rsid w:val="003172A1"/>
    <w:rsid w:val="00332A90"/>
    <w:rsid w:val="003342D7"/>
    <w:rsid w:val="00336960"/>
    <w:rsid w:val="00337086"/>
    <w:rsid w:val="003544FB"/>
    <w:rsid w:val="003743A4"/>
    <w:rsid w:val="00390221"/>
    <w:rsid w:val="00390F3B"/>
    <w:rsid w:val="003A529D"/>
    <w:rsid w:val="003A7836"/>
    <w:rsid w:val="003B27DC"/>
    <w:rsid w:val="003B5B80"/>
    <w:rsid w:val="003C4EAB"/>
    <w:rsid w:val="003D2F2D"/>
    <w:rsid w:val="003E798B"/>
    <w:rsid w:val="003F6866"/>
    <w:rsid w:val="003F7D78"/>
    <w:rsid w:val="00401590"/>
    <w:rsid w:val="00416640"/>
    <w:rsid w:val="00420CDB"/>
    <w:rsid w:val="00432A5F"/>
    <w:rsid w:val="00447801"/>
    <w:rsid w:val="00452E9C"/>
    <w:rsid w:val="00457B54"/>
    <w:rsid w:val="004735C8"/>
    <w:rsid w:val="0047411C"/>
    <w:rsid w:val="0048215F"/>
    <w:rsid w:val="004924F0"/>
    <w:rsid w:val="00493B4A"/>
    <w:rsid w:val="004947A6"/>
    <w:rsid w:val="00495C6B"/>
    <w:rsid w:val="004961FF"/>
    <w:rsid w:val="004A0B97"/>
    <w:rsid w:val="004A3188"/>
    <w:rsid w:val="004B13BB"/>
    <w:rsid w:val="004B4665"/>
    <w:rsid w:val="004F49D6"/>
    <w:rsid w:val="00500FEC"/>
    <w:rsid w:val="00501082"/>
    <w:rsid w:val="00517A89"/>
    <w:rsid w:val="00521D08"/>
    <w:rsid w:val="005250F2"/>
    <w:rsid w:val="00547C5C"/>
    <w:rsid w:val="00557096"/>
    <w:rsid w:val="00567AC8"/>
    <w:rsid w:val="00593671"/>
    <w:rsid w:val="00593EEA"/>
    <w:rsid w:val="005A5EEE"/>
    <w:rsid w:val="005B2BE6"/>
    <w:rsid w:val="005C3019"/>
    <w:rsid w:val="005F0909"/>
    <w:rsid w:val="0062191D"/>
    <w:rsid w:val="00621B58"/>
    <w:rsid w:val="00633E64"/>
    <w:rsid w:val="006375C7"/>
    <w:rsid w:val="00640699"/>
    <w:rsid w:val="0065462C"/>
    <w:rsid w:val="00654E8F"/>
    <w:rsid w:val="0066099A"/>
    <w:rsid w:val="00660D05"/>
    <w:rsid w:val="0066292F"/>
    <w:rsid w:val="00676F29"/>
    <w:rsid w:val="006820B1"/>
    <w:rsid w:val="006A646F"/>
    <w:rsid w:val="006B7D14"/>
    <w:rsid w:val="006D5823"/>
    <w:rsid w:val="006E7068"/>
    <w:rsid w:val="006F6B08"/>
    <w:rsid w:val="00701727"/>
    <w:rsid w:val="007044E9"/>
    <w:rsid w:val="0070566C"/>
    <w:rsid w:val="00705FBE"/>
    <w:rsid w:val="00714C50"/>
    <w:rsid w:val="00725A7D"/>
    <w:rsid w:val="00733F3C"/>
    <w:rsid w:val="00735E69"/>
    <w:rsid w:val="007501BE"/>
    <w:rsid w:val="00754B50"/>
    <w:rsid w:val="00774CE6"/>
    <w:rsid w:val="00776A15"/>
    <w:rsid w:val="00790BB3"/>
    <w:rsid w:val="007A68AD"/>
    <w:rsid w:val="007C206C"/>
    <w:rsid w:val="007C7330"/>
    <w:rsid w:val="007E6946"/>
    <w:rsid w:val="007E7D5B"/>
    <w:rsid w:val="007F7DC0"/>
    <w:rsid w:val="00817DD6"/>
    <w:rsid w:val="008333BD"/>
    <w:rsid w:val="0083759F"/>
    <w:rsid w:val="008466AA"/>
    <w:rsid w:val="00862A9E"/>
    <w:rsid w:val="0087625F"/>
    <w:rsid w:val="00885156"/>
    <w:rsid w:val="00897A77"/>
    <w:rsid w:val="008B33A9"/>
    <w:rsid w:val="008E446C"/>
    <w:rsid w:val="008E4D1E"/>
    <w:rsid w:val="00904A76"/>
    <w:rsid w:val="009151AA"/>
    <w:rsid w:val="009151EF"/>
    <w:rsid w:val="009273D8"/>
    <w:rsid w:val="00930ED5"/>
    <w:rsid w:val="0093339C"/>
    <w:rsid w:val="0093429D"/>
    <w:rsid w:val="00936793"/>
    <w:rsid w:val="009378D7"/>
    <w:rsid w:val="00943573"/>
    <w:rsid w:val="00943EF4"/>
    <w:rsid w:val="009465B8"/>
    <w:rsid w:val="00946A76"/>
    <w:rsid w:val="0095363C"/>
    <w:rsid w:val="009552CE"/>
    <w:rsid w:val="00963F89"/>
    <w:rsid w:val="00964134"/>
    <w:rsid w:val="00964203"/>
    <w:rsid w:val="00970F7D"/>
    <w:rsid w:val="009774BF"/>
    <w:rsid w:val="009924B7"/>
    <w:rsid w:val="00994A3D"/>
    <w:rsid w:val="009A0236"/>
    <w:rsid w:val="009C2B12"/>
    <w:rsid w:val="009E55CD"/>
    <w:rsid w:val="00A11BAE"/>
    <w:rsid w:val="00A11D98"/>
    <w:rsid w:val="00A174D9"/>
    <w:rsid w:val="00A46201"/>
    <w:rsid w:val="00A61395"/>
    <w:rsid w:val="00A62C8B"/>
    <w:rsid w:val="00A63A76"/>
    <w:rsid w:val="00A93EC0"/>
    <w:rsid w:val="00AA1A43"/>
    <w:rsid w:val="00AA3AD6"/>
    <w:rsid w:val="00AA4D24"/>
    <w:rsid w:val="00AB6715"/>
    <w:rsid w:val="00AC2171"/>
    <w:rsid w:val="00AD36A2"/>
    <w:rsid w:val="00AE36D2"/>
    <w:rsid w:val="00AF71F1"/>
    <w:rsid w:val="00B01AD8"/>
    <w:rsid w:val="00B07452"/>
    <w:rsid w:val="00B1671E"/>
    <w:rsid w:val="00B17DE8"/>
    <w:rsid w:val="00B25EB8"/>
    <w:rsid w:val="00B37F4D"/>
    <w:rsid w:val="00B64239"/>
    <w:rsid w:val="00B90E7C"/>
    <w:rsid w:val="00BB067D"/>
    <w:rsid w:val="00BB4BD3"/>
    <w:rsid w:val="00BB79C7"/>
    <w:rsid w:val="00BC0171"/>
    <w:rsid w:val="00C0075E"/>
    <w:rsid w:val="00C41104"/>
    <w:rsid w:val="00C52A7B"/>
    <w:rsid w:val="00C56BAF"/>
    <w:rsid w:val="00C62F89"/>
    <w:rsid w:val="00C679AA"/>
    <w:rsid w:val="00C75972"/>
    <w:rsid w:val="00C8086A"/>
    <w:rsid w:val="00C83109"/>
    <w:rsid w:val="00C83746"/>
    <w:rsid w:val="00C83D0A"/>
    <w:rsid w:val="00CB506C"/>
    <w:rsid w:val="00CC067A"/>
    <w:rsid w:val="00CD066B"/>
    <w:rsid w:val="00CE4FEE"/>
    <w:rsid w:val="00CF0AB4"/>
    <w:rsid w:val="00D00037"/>
    <w:rsid w:val="00D060CF"/>
    <w:rsid w:val="00D20286"/>
    <w:rsid w:val="00D32F7C"/>
    <w:rsid w:val="00D51FFC"/>
    <w:rsid w:val="00D62E39"/>
    <w:rsid w:val="00DA31FE"/>
    <w:rsid w:val="00DA70A8"/>
    <w:rsid w:val="00DB42F0"/>
    <w:rsid w:val="00DB59C3"/>
    <w:rsid w:val="00DC259A"/>
    <w:rsid w:val="00DC5939"/>
    <w:rsid w:val="00DE0AD7"/>
    <w:rsid w:val="00DE23E8"/>
    <w:rsid w:val="00E33F22"/>
    <w:rsid w:val="00E51CBD"/>
    <w:rsid w:val="00E52377"/>
    <w:rsid w:val="00E537AD"/>
    <w:rsid w:val="00E64E17"/>
    <w:rsid w:val="00E866C9"/>
    <w:rsid w:val="00E959B5"/>
    <w:rsid w:val="00EA3D3C"/>
    <w:rsid w:val="00EB3F3C"/>
    <w:rsid w:val="00EB5962"/>
    <w:rsid w:val="00EC090A"/>
    <w:rsid w:val="00ED20B5"/>
    <w:rsid w:val="00ED7831"/>
    <w:rsid w:val="00EE70D9"/>
    <w:rsid w:val="00EF3A24"/>
    <w:rsid w:val="00F06762"/>
    <w:rsid w:val="00F22673"/>
    <w:rsid w:val="00F23758"/>
    <w:rsid w:val="00F32D55"/>
    <w:rsid w:val="00F357E0"/>
    <w:rsid w:val="00F46900"/>
    <w:rsid w:val="00F51F21"/>
    <w:rsid w:val="00F61D89"/>
    <w:rsid w:val="00F72EF3"/>
    <w:rsid w:val="00F933FA"/>
    <w:rsid w:val="00FA3CFA"/>
    <w:rsid w:val="00FB6D7B"/>
    <w:rsid w:val="00FC1167"/>
    <w:rsid w:val="00FC462E"/>
    <w:rsid w:val="1ED87A98"/>
    <w:rsid w:val="25F9478E"/>
    <w:rsid w:val="31E46816"/>
    <w:rsid w:val="54D84241"/>
    <w:rsid w:val="5F4141C5"/>
    <w:rsid w:val="6DA0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648F"/>
  <w15:docId w15:val="{DC91E9B8-F94E-422D-9F1A-671AD32E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240"/>
    </w:pPr>
    <w:rPr>
      <w:rFonts w:eastAsiaTheme="minorEastAsia" w:cstheme="minorBidi"/>
      <w:sz w:val="24"/>
      <w:szCs w:val="22"/>
      <w:lang w:eastAsia="en-US"/>
    </w:rPr>
  </w:style>
  <w:style w:type="paragraph" w:styleId="1">
    <w:name w:val="heading 1"/>
    <w:basedOn w:val="a"/>
    <w:next w:val="a0"/>
    <w:link w:val="10"/>
    <w:uiPriority w:val="2"/>
    <w:qFormat/>
    <w:pPr>
      <w:numPr>
        <w:numId w:val="1"/>
      </w:numPr>
      <w:spacing w:before="240"/>
      <w:contextualSpacing w:val="0"/>
      <w:outlineLvl w:val="0"/>
    </w:pPr>
    <w:rPr>
      <w:b/>
    </w:rPr>
  </w:style>
  <w:style w:type="paragraph" w:styleId="2">
    <w:name w:val="heading 2"/>
    <w:basedOn w:val="1"/>
    <w:next w:val="a0"/>
    <w:link w:val="20"/>
    <w:uiPriority w:val="2"/>
    <w:qFormat/>
    <w:pPr>
      <w:numPr>
        <w:ilvl w:val="1"/>
      </w:numPr>
      <w:spacing w:after="200"/>
      <w:outlineLvl w:val="1"/>
    </w:pPr>
  </w:style>
  <w:style w:type="paragraph" w:styleId="3">
    <w:name w:val="heading 3"/>
    <w:basedOn w:val="a0"/>
    <w:next w:val="a0"/>
    <w:link w:val="30"/>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0"/>
    <w:uiPriority w:val="2"/>
    <w:qFormat/>
    <w:pPr>
      <w:numPr>
        <w:ilvl w:val="3"/>
      </w:numPr>
      <w:outlineLvl w:val="3"/>
    </w:pPr>
    <w:rPr>
      <w:iCs/>
    </w:rPr>
  </w:style>
  <w:style w:type="paragraph" w:styleId="5">
    <w:name w:val="heading 5"/>
    <w:basedOn w:val="4"/>
    <w:next w:val="a0"/>
    <w:link w:val="50"/>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
    <w:qFormat/>
    <w:pPr>
      <w:numPr>
        <w:numId w:val="2"/>
      </w:numPr>
      <w:contextualSpacing/>
    </w:pPr>
    <w:rPr>
      <w:rFonts w:eastAsia="Cambria" w:cs="Times New Roman"/>
      <w:szCs w:val="24"/>
    </w:rPr>
  </w:style>
  <w:style w:type="paragraph" w:styleId="a4">
    <w:name w:val="caption"/>
    <w:basedOn w:val="a0"/>
    <w:next w:val="a5"/>
    <w:uiPriority w:val="35"/>
    <w:unhideWhenUsed/>
    <w:qFormat/>
    <w:pPr>
      <w:keepNext/>
    </w:pPr>
    <w:rPr>
      <w:rFonts w:cs="Times New Roman"/>
      <w:b/>
      <w:bCs/>
      <w:szCs w:val="24"/>
    </w:rPr>
  </w:style>
  <w:style w:type="paragraph" w:styleId="a5">
    <w:name w:val="No Spacing"/>
    <w:uiPriority w:val="99"/>
    <w:unhideWhenUsed/>
    <w:qFormat/>
    <w:rPr>
      <w:rFonts w:eastAsiaTheme="minorEastAsia" w:cstheme="minorBidi"/>
      <w:sz w:val="24"/>
      <w:szCs w:val="22"/>
      <w:lang w:eastAsia="en-US"/>
    </w:rPr>
  </w:style>
  <w:style w:type="paragraph" w:styleId="a6">
    <w:name w:val="annotation text"/>
    <w:basedOn w:val="a0"/>
    <w:link w:val="a7"/>
    <w:uiPriority w:val="99"/>
    <w:semiHidden/>
    <w:unhideWhenUsed/>
    <w:qFormat/>
    <w:rPr>
      <w:sz w:val="20"/>
      <w:szCs w:val="20"/>
    </w:rPr>
  </w:style>
  <w:style w:type="paragraph" w:styleId="a8">
    <w:name w:val="endnote text"/>
    <w:basedOn w:val="a0"/>
    <w:link w:val="a9"/>
    <w:uiPriority w:val="99"/>
    <w:semiHidden/>
    <w:unhideWhenUsed/>
    <w:qFormat/>
    <w:pPr>
      <w:spacing w:after="0"/>
    </w:pPr>
    <w:rPr>
      <w:sz w:val="20"/>
      <w:szCs w:val="20"/>
    </w:rPr>
  </w:style>
  <w:style w:type="paragraph" w:styleId="aa">
    <w:name w:val="Balloon Text"/>
    <w:basedOn w:val="a0"/>
    <w:link w:val="ab"/>
    <w:uiPriority w:val="99"/>
    <w:semiHidden/>
    <w:unhideWhenUsed/>
    <w:qFormat/>
    <w:pPr>
      <w:spacing w:after="0"/>
    </w:pPr>
    <w:rPr>
      <w:rFonts w:ascii="Tahoma" w:hAnsi="Tahoma" w:cs="Tahoma"/>
      <w:sz w:val="16"/>
      <w:szCs w:val="16"/>
    </w:rPr>
  </w:style>
  <w:style w:type="paragraph" w:styleId="ac">
    <w:name w:val="footer"/>
    <w:basedOn w:val="a0"/>
    <w:link w:val="ad"/>
    <w:uiPriority w:val="99"/>
    <w:unhideWhenUsed/>
    <w:qFormat/>
    <w:pPr>
      <w:tabs>
        <w:tab w:val="center" w:pos="4844"/>
        <w:tab w:val="right" w:pos="9689"/>
      </w:tabs>
      <w:spacing w:after="0"/>
    </w:pPr>
  </w:style>
  <w:style w:type="paragraph" w:styleId="ae">
    <w:name w:val="header"/>
    <w:basedOn w:val="a0"/>
    <w:link w:val="af"/>
    <w:uiPriority w:val="99"/>
    <w:unhideWhenUsed/>
    <w:qFormat/>
    <w:pPr>
      <w:tabs>
        <w:tab w:val="center" w:pos="4844"/>
        <w:tab w:val="right" w:pos="9689"/>
      </w:tabs>
    </w:pPr>
    <w:rPr>
      <w:b/>
    </w:rPr>
  </w:style>
  <w:style w:type="paragraph" w:styleId="af0">
    <w:name w:val="Subtitle"/>
    <w:basedOn w:val="a0"/>
    <w:next w:val="a0"/>
    <w:link w:val="af1"/>
    <w:uiPriority w:val="99"/>
    <w:unhideWhenUsed/>
    <w:qFormat/>
    <w:pPr>
      <w:spacing w:before="240"/>
    </w:pPr>
    <w:rPr>
      <w:rFonts w:cs="Times New Roman"/>
      <w:b/>
      <w:szCs w:val="24"/>
    </w:rPr>
  </w:style>
  <w:style w:type="paragraph" w:styleId="af2">
    <w:name w:val="footnote text"/>
    <w:basedOn w:val="a0"/>
    <w:link w:val="af3"/>
    <w:uiPriority w:val="99"/>
    <w:semiHidden/>
    <w:unhideWhenUsed/>
    <w:qFormat/>
    <w:pPr>
      <w:spacing w:after="0"/>
    </w:pPr>
    <w:rPr>
      <w:sz w:val="20"/>
      <w:szCs w:val="20"/>
    </w:rPr>
  </w:style>
  <w:style w:type="paragraph" w:styleId="af4">
    <w:name w:val="Normal (Web)"/>
    <w:basedOn w:val="a0"/>
    <w:uiPriority w:val="99"/>
    <w:unhideWhenUsed/>
    <w:qFormat/>
    <w:pPr>
      <w:spacing w:before="100" w:beforeAutospacing="1" w:after="100" w:afterAutospacing="1"/>
    </w:pPr>
    <w:rPr>
      <w:rFonts w:eastAsia="Times New Roman" w:cs="Times New Roman"/>
      <w:szCs w:val="24"/>
    </w:rPr>
  </w:style>
  <w:style w:type="paragraph" w:styleId="af5">
    <w:name w:val="Title"/>
    <w:basedOn w:val="a0"/>
    <w:next w:val="a0"/>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rPr>
  </w:style>
  <w:style w:type="character" w:customStyle="1" w:styleId="20">
    <w:name w:val="标题 2 字符"/>
    <w:basedOn w:val="a1"/>
    <w:link w:val="2"/>
    <w:uiPriority w:val="2"/>
    <w:qFormat/>
    <w:rPr>
      <w:rFonts w:ascii="Times New Roman" w:eastAsia="Cambria" w:hAnsi="Times New Roman" w:cs="Times New Roman"/>
      <w:b/>
      <w:sz w:val="24"/>
      <w:szCs w:val="24"/>
    </w:rPr>
  </w:style>
  <w:style w:type="character" w:customStyle="1" w:styleId="af1">
    <w:name w:val="副标题 字符"/>
    <w:basedOn w:val="a1"/>
    <w:link w:val="af0"/>
    <w:uiPriority w:val="99"/>
    <w:qFormat/>
    <w:rPr>
      <w:rFonts w:ascii="Times New Roman" w:hAnsi="Times New Roman" w:cs="Times New Roman"/>
      <w:b/>
      <w:sz w:val="24"/>
      <w:szCs w:val="24"/>
    </w:rPr>
  </w:style>
  <w:style w:type="paragraph" w:customStyle="1" w:styleId="AuthorList">
    <w:name w:val="Author List"/>
    <w:basedOn w:val="af0"/>
    <w:next w:val="a0"/>
    <w:uiPriority w:val="1"/>
    <w:qFormat/>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11">
    <w:name w:val="书籍标题1"/>
    <w:basedOn w:val="a1"/>
    <w:uiPriority w:val="33"/>
    <w:qFormat/>
    <w:rPr>
      <w:rFonts w:ascii="Times New Roman" w:hAnsi="Times New Roman"/>
      <w:b/>
      <w:bCs/>
      <w:i/>
      <w:iCs/>
      <w:spacing w:val="5"/>
    </w:rPr>
  </w:style>
  <w:style w:type="character" w:customStyle="1" w:styleId="a7">
    <w:name w:val="批注文字 字符"/>
    <w:basedOn w:val="a1"/>
    <w:link w:val="a6"/>
    <w:uiPriority w:val="99"/>
    <w:semiHidden/>
    <w:qFormat/>
    <w:rPr>
      <w:rFonts w:ascii="Times New Roman" w:hAnsi="Times New Roman"/>
      <w:sz w:val="20"/>
      <w:szCs w:val="20"/>
    </w:rPr>
  </w:style>
  <w:style w:type="character" w:customStyle="1" w:styleId="af8">
    <w:name w:val="批注主题 字符"/>
    <w:basedOn w:val="a7"/>
    <w:link w:val="af7"/>
    <w:uiPriority w:val="99"/>
    <w:semiHidden/>
    <w:qFormat/>
    <w:rPr>
      <w:rFonts w:ascii="Times New Roman" w:hAnsi="Times New Roman"/>
      <w:b/>
      <w:bCs/>
      <w:sz w:val="20"/>
      <w:szCs w:val="20"/>
    </w:rPr>
  </w:style>
  <w:style w:type="character" w:customStyle="1" w:styleId="a9">
    <w:name w:val="尾注文本 字符"/>
    <w:basedOn w:val="a1"/>
    <w:link w:val="a8"/>
    <w:uiPriority w:val="99"/>
    <w:semiHidden/>
    <w:qFormat/>
    <w:rPr>
      <w:rFonts w:ascii="Times New Roman" w:hAnsi="Times New Roman"/>
      <w:sz w:val="20"/>
      <w:szCs w:val="20"/>
    </w:rPr>
  </w:style>
  <w:style w:type="character" w:customStyle="1" w:styleId="ad">
    <w:name w:val="页脚 字符"/>
    <w:basedOn w:val="a1"/>
    <w:link w:val="ac"/>
    <w:uiPriority w:val="99"/>
    <w:qFormat/>
    <w:rPr>
      <w:rFonts w:ascii="Times New Roman" w:hAnsi="Times New Roman"/>
      <w:sz w:val="24"/>
    </w:rPr>
  </w:style>
  <w:style w:type="character" w:customStyle="1" w:styleId="af3">
    <w:name w:val="脚注文本 字符"/>
    <w:basedOn w:val="a1"/>
    <w:link w:val="af2"/>
    <w:uiPriority w:val="99"/>
    <w:semiHidden/>
    <w:qFormat/>
    <w:rPr>
      <w:rFonts w:ascii="Times New Roman" w:hAnsi="Times New Roman"/>
      <w:sz w:val="20"/>
      <w:szCs w:val="20"/>
    </w:rPr>
  </w:style>
  <w:style w:type="character" w:customStyle="1" w:styleId="af">
    <w:name w:val="页眉 字符"/>
    <w:basedOn w:val="a1"/>
    <w:link w:val="ae"/>
    <w:uiPriority w:val="99"/>
    <w:qFormat/>
    <w:rPr>
      <w:rFonts w:ascii="Times New Roman" w:hAnsi="Times New Roman"/>
      <w:b/>
      <w:sz w:val="24"/>
    </w:rPr>
  </w:style>
  <w:style w:type="character" w:customStyle="1" w:styleId="12">
    <w:name w:val="明显强调1"/>
    <w:basedOn w:val="a1"/>
    <w:uiPriority w:val="21"/>
    <w:unhideWhenUsed/>
    <w:qFormat/>
    <w:rPr>
      <w:rFonts w:ascii="Times New Roman" w:hAnsi="Times New Roman"/>
      <w:i/>
      <w:iCs/>
      <w:color w:val="auto"/>
    </w:rPr>
  </w:style>
  <w:style w:type="character" w:customStyle="1" w:styleId="13">
    <w:name w:val="明显参考1"/>
    <w:basedOn w:val="a1"/>
    <w:uiPriority w:val="32"/>
    <w:qFormat/>
    <w:rPr>
      <w:b/>
      <w:bCs/>
      <w:smallCaps/>
      <w:color w:val="auto"/>
      <w:spacing w:val="5"/>
    </w:rPr>
  </w:style>
  <w:style w:type="character" w:customStyle="1" w:styleId="30">
    <w:name w:val="标题 3 字符"/>
    <w:basedOn w:val="a1"/>
    <w:link w:val="3"/>
    <w:uiPriority w:val="2"/>
    <w:qFormat/>
    <w:rPr>
      <w:rFonts w:ascii="Times New Roman" w:eastAsiaTheme="majorEastAsia" w:hAnsi="Times New Roman" w:cstheme="majorBidi"/>
      <w:b/>
      <w:sz w:val="24"/>
      <w:szCs w:val="24"/>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styleId="aff2">
    <w:name w:val="Quote"/>
    <w:basedOn w:val="a0"/>
    <w:next w:val="a0"/>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4">
    <w:name w:val="不明显强调1"/>
    <w:basedOn w:val="a1"/>
    <w:uiPriority w:val="19"/>
    <w:qFormat/>
    <w:rPr>
      <w:rFonts w:ascii="Times New Roman" w:hAnsi="Times New Roman"/>
      <w:i/>
      <w:iCs/>
      <w:color w:val="404040" w:themeColor="text1" w:themeTint="BF"/>
    </w:rPr>
  </w:style>
  <w:style w:type="character" w:customStyle="1" w:styleId="af6">
    <w:name w:val="标题 字符"/>
    <w:basedOn w:val="a1"/>
    <w:link w:val="af5"/>
    <w:qFormat/>
    <w:rPr>
      <w:rFonts w:ascii="Times New Roman" w:hAnsi="Times New Roman" w:cs="Times New Roman"/>
      <w:b/>
      <w:sz w:val="32"/>
      <w:szCs w:val="32"/>
    </w:rPr>
  </w:style>
  <w:style w:type="paragraph" w:customStyle="1" w:styleId="SupplementaryMaterial">
    <w:name w:val="Supplementary Material"/>
    <w:basedOn w:val="af5"/>
    <w:next w:val="af5"/>
    <w:qFormat/>
    <w:pPr>
      <w:spacing w:after="120"/>
    </w:pPr>
    <w:rPr>
      <w:i/>
    </w:rPr>
  </w:style>
  <w:style w:type="paragraph" w:customStyle="1" w:styleId="EndNoteBibliographyTitle">
    <w:name w:val="EndNote Bibliography Title"/>
    <w:basedOn w:val="a0"/>
    <w:link w:val="EndNoteBibliographyTitle0"/>
    <w:pPr>
      <w:spacing w:after="0"/>
      <w:jc w:val="center"/>
    </w:pPr>
    <w:rPr>
      <w:rFonts w:cs="Times New Roman"/>
    </w:rPr>
  </w:style>
  <w:style w:type="character" w:customStyle="1" w:styleId="EndNoteBibliographyTitle0">
    <w:name w:val="EndNote Bibliography Title 字符"/>
    <w:basedOn w:val="a1"/>
    <w:link w:val="EndNoteBibliographyTitle"/>
    <w:qFormat/>
    <w:rPr>
      <w:rFonts w:eastAsiaTheme="minorEastAsia"/>
      <w:sz w:val="24"/>
      <w:szCs w:val="22"/>
      <w:lang w:eastAsia="en-US"/>
    </w:rPr>
  </w:style>
  <w:style w:type="paragraph" w:customStyle="1" w:styleId="EndNoteBibliography">
    <w:name w:val="EndNote Bibliography"/>
    <w:basedOn w:val="a0"/>
    <w:link w:val="EndNoteBibliography0"/>
    <w:rPr>
      <w:rFonts w:cs="Times New Roman"/>
    </w:rPr>
  </w:style>
  <w:style w:type="character" w:customStyle="1" w:styleId="EndNoteBibliography0">
    <w:name w:val="EndNote Bibliography 字符"/>
    <w:basedOn w:val="a1"/>
    <w:link w:val="EndNoteBibliography"/>
    <w:qFormat/>
    <w:rPr>
      <w:rFonts w:eastAsiaTheme="minorEastAsia"/>
      <w:sz w:val="24"/>
      <w:szCs w:val="22"/>
      <w:lang w:eastAsia="en-US"/>
    </w:rPr>
  </w:style>
  <w:style w:type="paragraph" w:customStyle="1" w:styleId="15">
    <w:name w:val="修订1"/>
    <w:hidden/>
    <w:uiPriority w:val="99"/>
    <w:semiHidden/>
    <w:rPr>
      <w:rFonts w:eastAsiaTheme="minorEastAsia" w:cstheme="minorBidi"/>
      <w:sz w:val="24"/>
      <w:szCs w:val="22"/>
      <w:lang w:eastAsia="en-US"/>
    </w:rPr>
  </w:style>
  <w:style w:type="paragraph" w:customStyle="1" w:styleId="21">
    <w:name w:val="修订2"/>
    <w:hidden/>
    <w:uiPriority w:val="99"/>
    <w:semiHidden/>
    <w:rPr>
      <w:rFonts w:eastAsiaTheme="minorEastAsia" w:cstheme="minorBidi"/>
      <w:sz w:val="24"/>
      <w:szCs w:val="22"/>
      <w:lang w:eastAsia="en-US"/>
    </w:rPr>
  </w:style>
  <w:style w:type="paragraph" w:styleId="aff4">
    <w:name w:val="Revision"/>
    <w:hidden/>
    <w:uiPriority w:val="99"/>
    <w:semiHidden/>
    <w:rsid w:val="00943EF4"/>
    <w:rPr>
      <w:rFonts w:eastAsiaTheme="minorEastAsia"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4E30D-9B06-4162-A41B-D3133F15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282</TotalTime>
  <Pages>4</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Ziwei Huang</cp:lastModifiedBy>
  <cp:revision>48</cp:revision>
  <cp:lastPrinted>2013-10-03T12:51:00Z</cp:lastPrinted>
  <dcterms:created xsi:type="dcterms:W3CDTF">2023-01-09T08:13:00Z</dcterms:created>
  <dcterms:modified xsi:type="dcterms:W3CDTF">2024-05-21T08:08:00Z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CAED7D5E831348D0BC8CD949375AC8D9</vt:lpwstr>
  </property>
  <property fmtid="{D5CDD505-2E9C-101B-9397-08002B2CF9AE}" pid="4" name="GrammarlyDocumentId">
    <vt:lpwstr>2414790864b5ed8ccbbcb97bca741d68f4156b865fa8be01932c9720283f99fa</vt:lpwstr>
  </property>
</Properties>
</file>