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D257A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t>Supplementary figure S1:</w:t>
      </w:r>
    </w:p>
    <w:p w14:paraId="2C339196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color w:val="000000"/>
          <w:sz w:val="24"/>
        </w:rPr>
        <w:t xml:space="preserve">vWF derived from HCC cells promotes tumor migration through inducing glycolysis </w:t>
      </w:r>
      <w:r w:rsidRPr="007862AD">
        <w:rPr>
          <w:rFonts w:ascii="Arial" w:hAnsi="Arial" w:cs="Arial"/>
          <w:i/>
          <w:iCs/>
          <w:color w:val="000000"/>
          <w:sz w:val="24"/>
        </w:rPr>
        <w:t>in vitro</w:t>
      </w:r>
      <w:r w:rsidRPr="007862AD">
        <w:rPr>
          <w:rFonts w:ascii="Arial" w:hAnsi="Arial" w:cs="Arial"/>
          <w:color w:val="000000"/>
          <w:sz w:val="24"/>
        </w:rPr>
        <w:t>. (</w:t>
      </w:r>
      <w:r w:rsidRPr="007862AD">
        <w:rPr>
          <w:rFonts w:ascii="Arial" w:hAnsi="Arial" w:cs="Arial"/>
          <w:b/>
          <w:bCs/>
          <w:color w:val="000000"/>
          <w:sz w:val="24"/>
        </w:rPr>
        <w:t>A</w:t>
      </w:r>
      <w:r w:rsidRPr="007862AD">
        <w:rPr>
          <w:rFonts w:ascii="Arial" w:hAnsi="Arial" w:cs="Arial"/>
          <w:color w:val="000000"/>
          <w:sz w:val="24"/>
        </w:rPr>
        <w:t>) vWF expression data in HCC tumor and normal tissues from GEPIA dataset. (</w:t>
      </w:r>
      <w:r w:rsidRPr="007862AD">
        <w:rPr>
          <w:rFonts w:ascii="Arial" w:hAnsi="Arial" w:cs="Arial"/>
          <w:b/>
          <w:bCs/>
          <w:color w:val="000000"/>
          <w:sz w:val="24"/>
        </w:rPr>
        <w:t>B-C</w:t>
      </w:r>
      <w:r w:rsidRPr="007862AD">
        <w:rPr>
          <w:rFonts w:ascii="Arial" w:hAnsi="Arial" w:cs="Arial"/>
          <w:color w:val="000000"/>
          <w:sz w:val="24"/>
        </w:rPr>
        <w:t xml:space="preserve">) Efficiency of vWF KD, vWF OE and control vectors were analyzed by Western blotting in HepG2 and SMMC-7721 cells. </w:t>
      </w:r>
      <w:r w:rsidRPr="007862AD">
        <w:rPr>
          <w:rFonts w:ascii="Arial" w:hAnsi="Arial" w:cs="Arial"/>
          <w:color w:val="000000"/>
          <w:sz w:val="24"/>
          <w:vertAlign w:val="superscript"/>
        </w:rPr>
        <w:t>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>&lt;0.05.</w:t>
      </w:r>
    </w:p>
    <w:p w14:paraId="51650048" w14:textId="77777777" w:rsidR="00BD4E91" w:rsidRPr="007862AD" w:rsidRDefault="007862AD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7862AD">
        <w:rPr>
          <w:rFonts w:ascii="Times New Roman" w:hAnsi="Times New Roman" w:cs="Times New Roman" w:hint="eastAsia"/>
          <w:b/>
          <w:bCs/>
          <w:color w:val="000000"/>
          <w:sz w:val="24"/>
        </w:rPr>
        <w:drawing>
          <wp:inline distT="0" distB="0" distL="114300" distR="114300">
            <wp:extent cx="5271135" cy="2882265"/>
            <wp:effectExtent l="0" t="0" r="12065" b="635"/>
            <wp:docPr id="1" name="图片 1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AD5D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FAF8F24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D13476C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27A7D114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C0CB3BF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E588B2A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5DFAFEF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16D5052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9AF343A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01737821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45D44269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7B04875D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77CA028D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1BD0E086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7422D8D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00DA4EE5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lastRenderedPageBreak/>
        <w:t>Supplementary figure S2:</w:t>
      </w:r>
    </w:p>
    <w:p w14:paraId="11BBCD64" w14:textId="7FDF27EA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color w:val="000000"/>
          <w:sz w:val="24"/>
        </w:rPr>
        <w:t>IL-6/JAK1 signaling pathway activated by co-culture system regulates vWF mediated glycolysis and migration of HCC cells. (</w:t>
      </w:r>
      <w:r w:rsidRPr="007862AD">
        <w:rPr>
          <w:rFonts w:ascii="Arial" w:hAnsi="Arial" w:cs="Arial"/>
          <w:b/>
          <w:bCs/>
          <w:color w:val="000000"/>
          <w:sz w:val="24"/>
        </w:rPr>
        <w:t>A</w:t>
      </w:r>
      <w:r w:rsidRPr="007862AD">
        <w:rPr>
          <w:rFonts w:ascii="Arial" w:hAnsi="Arial" w:cs="Arial"/>
          <w:color w:val="000000"/>
          <w:sz w:val="24"/>
        </w:rPr>
        <w:t>) The concentrations of IL-6 in cell medium was detected by ELISA. (</w:t>
      </w:r>
      <w:r w:rsidRPr="007862AD">
        <w:rPr>
          <w:rFonts w:ascii="Arial" w:hAnsi="Arial" w:cs="Arial"/>
          <w:b/>
          <w:bCs/>
          <w:color w:val="000000"/>
          <w:sz w:val="24"/>
        </w:rPr>
        <w:t>B</w:t>
      </w:r>
      <w:r w:rsidRPr="007862AD">
        <w:rPr>
          <w:rFonts w:ascii="Arial" w:hAnsi="Arial" w:cs="Arial"/>
          <w:color w:val="000000"/>
          <w:sz w:val="24"/>
        </w:rPr>
        <w:t>) vWF expression levels in SMMC-7721 cells under the treatment of gradient concentrations of exogenous IL-6. (</w:t>
      </w:r>
      <w:r w:rsidRPr="007862AD">
        <w:rPr>
          <w:rFonts w:ascii="Arial" w:hAnsi="Arial" w:cs="Arial"/>
          <w:b/>
          <w:bCs/>
          <w:color w:val="000000"/>
          <w:sz w:val="24"/>
        </w:rPr>
        <w:t>C</w:t>
      </w:r>
      <w:r w:rsidRPr="007862AD">
        <w:rPr>
          <w:rFonts w:ascii="Arial" w:hAnsi="Arial" w:cs="Arial"/>
          <w:color w:val="000000"/>
          <w:sz w:val="24"/>
        </w:rPr>
        <w:t>) The phosphorylation levels of JAK2 in HCC cells with or without LX-2 cells co-culturing. (</w:t>
      </w:r>
      <w:r w:rsidRPr="007862AD">
        <w:rPr>
          <w:rFonts w:ascii="Arial" w:hAnsi="Arial" w:cs="Arial" w:hint="eastAsia"/>
          <w:b/>
          <w:bCs/>
          <w:color w:val="000000"/>
          <w:sz w:val="24"/>
        </w:rPr>
        <w:t>D</w:t>
      </w:r>
      <w:r w:rsidRPr="007862AD">
        <w:rPr>
          <w:rFonts w:ascii="Arial" w:hAnsi="Arial" w:cs="Arial"/>
          <w:color w:val="000000"/>
          <w:sz w:val="24"/>
        </w:rPr>
        <w:t>) The effect of pyridone 6 on JAK1 phosphorylation under normal or co-culturing conditions was confirmed by Western blot.</w:t>
      </w:r>
      <w:r w:rsidRPr="007862AD">
        <w:rPr>
          <w:rFonts w:ascii="Arial" w:hAnsi="Arial" w:cs="Arial" w:hint="eastAsia"/>
          <w:color w:val="000000"/>
          <w:sz w:val="24"/>
        </w:rPr>
        <w:t xml:space="preserve"> </w:t>
      </w:r>
      <w:r w:rsidRPr="007862AD">
        <w:rPr>
          <w:rFonts w:ascii="Arial" w:hAnsi="Arial" w:cs="Arial"/>
          <w:color w:val="000000"/>
          <w:sz w:val="24"/>
        </w:rPr>
        <w:t>(</w:t>
      </w:r>
      <w:r w:rsidRPr="007862AD">
        <w:rPr>
          <w:rFonts w:ascii="Arial" w:hAnsi="Arial" w:cs="Arial" w:hint="eastAsia"/>
          <w:b/>
          <w:bCs/>
          <w:color w:val="000000"/>
          <w:sz w:val="24"/>
        </w:rPr>
        <w:t>E</w:t>
      </w:r>
      <w:r w:rsidRPr="007862AD">
        <w:rPr>
          <w:rFonts w:ascii="Arial" w:hAnsi="Arial" w:cs="Arial"/>
          <w:color w:val="000000"/>
          <w:sz w:val="24"/>
        </w:rPr>
        <w:t>) Glycogen content of SMMC-7721 cells treating with vWF OE and pyridone 6 was detected by PAS staining. (</w:t>
      </w:r>
      <w:r w:rsidRPr="007862AD">
        <w:rPr>
          <w:rFonts w:ascii="Arial" w:hAnsi="Arial" w:cs="Arial" w:hint="eastAsia"/>
          <w:b/>
          <w:bCs/>
          <w:color w:val="000000"/>
          <w:sz w:val="24"/>
        </w:rPr>
        <w:t>F-G</w:t>
      </w:r>
      <w:r w:rsidRPr="007862AD">
        <w:rPr>
          <w:rFonts w:ascii="Arial" w:hAnsi="Arial" w:cs="Arial"/>
          <w:color w:val="000000"/>
          <w:sz w:val="24"/>
        </w:rPr>
        <w:t>) Glyc</w:t>
      </w:r>
      <w:r w:rsidRPr="007862AD">
        <w:rPr>
          <w:rFonts w:ascii="Arial" w:hAnsi="Arial" w:cs="Arial"/>
          <w:color w:val="000000"/>
          <w:sz w:val="24"/>
        </w:rPr>
        <w:t>ogen</w:t>
      </w:r>
      <w:r w:rsidRPr="007862AD">
        <w:rPr>
          <w:rFonts w:ascii="Arial" w:hAnsi="Arial" w:cs="Arial"/>
          <w:color w:val="000000"/>
          <w:sz w:val="24"/>
        </w:rPr>
        <w:t xml:space="preserve"> content of HepG2 </w:t>
      </w:r>
      <w:r w:rsidRPr="007862AD">
        <w:rPr>
          <w:rFonts w:ascii="Arial" w:hAnsi="Arial" w:cs="Arial" w:hint="eastAsia"/>
          <w:color w:val="000000"/>
          <w:sz w:val="24"/>
        </w:rPr>
        <w:t xml:space="preserve">and SMMC-7721 </w:t>
      </w:r>
      <w:r w:rsidRPr="007862AD">
        <w:rPr>
          <w:rFonts w:ascii="Arial" w:hAnsi="Arial" w:cs="Arial"/>
          <w:color w:val="000000"/>
          <w:sz w:val="24"/>
        </w:rPr>
        <w:t>cells treating with vWF OE and pyridone 6 was detected by glycogen</w:t>
      </w:r>
      <w:r w:rsidRPr="007862AD">
        <w:rPr>
          <w:rFonts w:ascii="Arial" w:hAnsi="Arial" w:cs="Arial"/>
          <w:color w:val="000000"/>
          <w:sz w:val="24"/>
        </w:rPr>
        <w:t xml:space="preserve"> assays. (</w:t>
      </w:r>
      <w:r w:rsidRPr="007862AD">
        <w:rPr>
          <w:rFonts w:ascii="Arial" w:hAnsi="Arial" w:cs="Arial" w:hint="eastAsia"/>
          <w:b/>
          <w:bCs/>
          <w:color w:val="000000"/>
          <w:sz w:val="24"/>
        </w:rPr>
        <w:t>H-I</w:t>
      </w:r>
      <w:r w:rsidRPr="007862AD">
        <w:rPr>
          <w:rFonts w:ascii="Arial" w:hAnsi="Arial" w:cs="Arial"/>
          <w:color w:val="000000"/>
          <w:sz w:val="24"/>
        </w:rPr>
        <w:t xml:space="preserve">) </w:t>
      </w:r>
      <w:r w:rsidRPr="007862AD">
        <w:rPr>
          <w:rFonts w:ascii="Arial" w:hAnsi="Arial" w:cs="Arial"/>
          <w:color w:val="000000"/>
          <w:sz w:val="24"/>
        </w:rPr>
        <w:t xml:space="preserve">L-lactate content of </w:t>
      </w:r>
      <w:r w:rsidRPr="007862AD">
        <w:rPr>
          <w:rFonts w:ascii="Arial" w:hAnsi="Arial" w:cs="Arial" w:hint="eastAsia"/>
          <w:color w:val="000000"/>
          <w:sz w:val="24"/>
        </w:rPr>
        <w:t xml:space="preserve">HepG2 and </w:t>
      </w:r>
      <w:r w:rsidRPr="007862AD">
        <w:rPr>
          <w:rFonts w:ascii="Arial" w:hAnsi="Arial" w:cs="Arial"/>
          <w:color w:val="000000"/>
          <w:sz w:val="24"/>
        </w:rPr>
        <w:t xml:space="preserve">SMMC-7721 cells treating with vWF OE and pyridone 6 was detected by </w:t>
      </w:r>
      <w:r w:rsidRPr="007862AD">
        <w:rPr>
          <w:rFonts w:ascii="Arial" w:hAnsi="Arial" w:cs="Arial"/>
          <w:color w:val="000000"/>
          <w:sz w:val="24"/>
        </w:rPr>
        <w:t>L-lactate assays. (</w:t>
      </w:r>
      <w:r w:rsidRPr="007862AD">
        <w:rPr>
          <w:rFonts w:ascii="Arial" w:hAnsi="Arial" w:cs="Arial" w:hint="eastAsia"/>
          <w:b/>
          <w:bCs/>
          <w:color w:val="000000"/>
          <w:sz w:val="24"/>
        </w:rPr>
        <w:t>J-K</w:t>
      </w:r>
      <w:r w:rsidRPr="007862AD">
        <w:rPr>
          <w:rFonts w:ascii="Arial" w:hAnsi="Arial" w:cs="Arial"/>
          <w:color w:val="000000"/>
          <w:sz w:val="24"/>
        </w:rPr>
        <w:t xml:space="preserve">) Migration ability of SMMC-7721 cells treating with vWF OE and pyridone 6 reflected by Wound-healing and Transwell assays. </w:t>
      </w:r>
      <w:r w:rsidRPr="007862AD">
        <w:rPr>
          <w:rFonts w:ascii="Arial" w:hAnsi="Arial" w:cs="Arial"/>
          <w:color w:val="000000"/>
          <w:sz w:val="24"/>
          <w:vertAlign w:val="superscript"/>
        </w:rPr>
        <w:t>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 xml:space="preserve">&lt;0.05, </w:t>
      </w:r>
      <w:r w:rsidRPr="007862AD">
        <w:rPr>
          <w:rFonts w:ascii="Arial" w:hAnsi="Arial" w:cs="Arial"/>
          <w:color w:val="000000"/>
          <w:sz w:val="24"/>
          <w:vertAlign w:val="superscript"/>
        </w:rPr>
        <w:t>**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 xml:space="preserve">&lt;0.01, </w:t>
      </w:r>
      <w:r w:rsidRPr="007862AD">
        <w:rPr>
          <w:rFonts w:ascii="Arial" w:hAnsi="Arial" w:cs="Arial"/>
          <w:color w:val="000000"/>
          <w:sz w:val="24"/>
          <w:vertAlign w:val="superscript"/>
        </w:rPr>
        <w:t>***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>&lt;0.001; ns, no significance.</w:t>
      </w:r>
    </w:p>
    <w:p w14:paraId="6CC31F83" w14:textId="32D6AB1A" w:rsidR="00BD4E91" w:rsidRPr="007862AD" w:rsidRDefault="007862AD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7862AD">
        <w:rPr>
          <w:rFonts w:ascii="Times New Roman" w:hAnsi="Times New Roman" w:cs="Times New Roman" w:hint="eastAsia"/>
          <w:b/>
          <w:bCs/>
          <w:color w:val="000000"/>
          <w:sz w:val="24"/>
        </w:rPr>
        <w:lastRenderedPageBreak/>
        <w:drawing>
          <wp:inline distT="0" distB="0" distL="114300" distR="114300">
            <wp:extent cx="5264150" cy="7134860"/>
            <wp:effectExtent l="0" t="0" r="6350" b="2540"/>
            <wp:docPr id="2" name="图片 2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D6EA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FED9178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7F286DB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E2C465D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3945094" w14:textId="77777777" w:rsidR="00BD4E91" w:rsidRPr="007862AD" w:rsidRDefault="00BD4E91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</w:p>
    <w:p w14:paraId="5BE3FBBB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lastRenderedPageBreak/>
        <w:t>Supplementary figure S3:</w:t>
      </w:r>
    </w:p>
    <w:p w14:paraId="543D1717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color w:val="000000"/>
          <w:sz w:val="24"/>
        </w:rPr>
        <w:t>LX-2 enhances vWF mediated TGFB1 expression and secretion by activating the JAK signaling pathway. (</w:t>
      </w:r>
      <w:r w:rsidRPr="007862AD">
        <w:rPr>
          <w:rFonts w:ascii="Arial" w:hAnsi="Arial" w:cs="Arial"/>
          <w:b/>
          <w:bCs/>
          <w:color w:val="000000"/>
          <w:sz w:val="24"/>
        </w:rPr>
        <w:t>A</w:t>
      </w:r>
      <w:r w:rsidRPr="007862AD">
        <w:rPr>
          <w:rFonts w:ascii="Arial" w:hAnsi="Arial" w:cs="Arial"/>
          <w:color w:val="000000"/>
          <w:sz w:val="24"/>
        </w:rPr>
        <w:t>) Relative mRNA expression data of PDGFB in HCC cells under pcDNA and vWF OE conditions. (</w:t>
      </w:r>
      <w:r w:rsidRPr="007862AD">
        <w:rPr>
          <w:rFonts w:ascii="Arial" w:hAnsi="Arial" w:cs="Arial"/>
          <w:b/>
          <w:bCs/>
          <w:color w:val="000000"/>
          <w:sz w:val="24"/>
        </w:rPr>
        <w:t>B</w:t>
      </w:r>
      <w:r w:rsidRPr="007862AD">
        <w:rPr>
          <w:rFonts w:ascii="Arial" w:hAnsi="Arial" w:cs="Arial"/>
          <w:color w:val="000000"/>
          <w:sz w:val="24"/>
        </w:rPr>
        <w:t xml:space="preserve">) Efficiency of si-TGFB1RII and si-control in LX-2 cells. </w:t>
      </w:r>
      <w:r w:rsidRPr="007862AD">
        <w:rPr>
          <w:rFonts w:ascii="Arial" w:hAnsi="Arial" w:cs="Arial" w:hint="eastAsia"/>
          <w:color w:val="000000"/>
          <w:sz w:val="24"/>
        </w:rPr>
        <w:t>(</w:t>
      </w:r>
      <w:r w:rsidRPr="007862AD">
        <w:rPr>
          <w:rFonts w:ascii="Arial" w:hAnsi="Arial" w:cs="Arial"/>
          <w:b/>
          <w:bCs/>
          <w:color w:val="000000"/>
          <w:sz w:val="24"/>
        </w:rPr>
        <w:t>C</w:t>
      </w:r>
      <w:r w:rsidRPr="007862AD">
        <w:rPr>
          <w:rFonts w:ascii="Arial" w:hAnsi="Arial" w:cs="Arial" w:hint="eastAsia"/>
          <w:color w:val="000000"/>
          <w:sz w:val="24"/>
        </w:rPr>
        <w:t>)</w:t>
      </w:r>
      <w:r w:rsidRPr="007862AD">
        <w:rPr>
          <w:rFonts w:ascii="Arial" w:hAnsi="Arial" w:cs="Arial"/>
          <w:color w:val="000000"/>
          <w:sz w:val="24"/>
        </w:rPr>
        <w:t xml:space="preserve"> Efficiency of TGFB1</w:t>
      </w:r>
      <w:r w:rsidRPr="007862AD">
        <w:rPr>
          <w:rFonts w:ascii="Arial" w:hAnsi="Arial" w:cs="Arial" w:hint="eastAsia"/>
          <w:color w:val="000000"/>
          <w:sz w:val="24"/>
        </w:rPr>
        <w:t xml:space="preserve"> KD</w:t>
      </w:r>
      <w:r w:rsidRPr="007862AD">
        <w:rPr>
          <w:rFonts w:ascii="Arial" w:hAnsi="Arial" w:cs="Arial"/>
          <w:color w:val="000000"/>
          <w:sz w:val="24"/>
        </w:rPr>
        <w:t xml:space="preserve"> and control in HCC cells. (</w:t>
      </w:r>
      <w:r w:rsidRPr="007862AD">
        <w:rPr>
          <w:rFonts w:ascii="Arial" w:hAnsi="Arial" w:cs="Arial"/>
          <w:b/>
          <w:bCs/>
          <w:color w:val="000000"/>
          <w:sz w:val="24"/>
        </w:rPr>
        <w:t>D-E</w:t>
      </w:r>
      <w:r w:rsidRPr="007862AD">
        <w:rPr>
          <w:rFonts w:ascii="Arial" w:hAnsi="Arial" w:cs="Arial"/>
          <w:color w:val="000000"/>
          <w:sz w:val="24"/>
        </w:rPr>
        <w:t>) Functions of TGFB1 and TGFBR</w:t>
      </w:r>
      <w:r w:rsidRPr="007862AD">
        <w:rPr>
          <w:rFonts w:ascii="Arial" w:hAnsi="Arial" w:cs="Arial" w:hint="eastAsia"/>
          <w:color w:val="000000"/>
          <w:sz w:val="24"/>
        </w:rPr>
        <w:t>2</w:t>
      </w:r>
      <w:r w:rsidRPr="007862AD">
        <w:rPr>
          <w:rFonts w:ascii="Arial" w:hAnsi="Arial" w:cs="Arial"/>
          <w:color w:val="000000"/>
          <w:sz w:val="24"/>
        </w:rPr>
        <w:t xml:space="preserve"> in mediating the migration ability of SMMC-7721 cells by Wound-healing. (</w:t>
      </w:r>
      <w:r w:rsidRPr="007862AD">
        <w:rPr>
          <w:rFonts w:ascii="Arial" w:hAnsi="Arial" w:cs="Arial"/>
          <w:b/>
          <w:bCs/>
          <w:color w:val="000000"/>
          <w:sz w:val="24"/>
        </w:rPr>
        <w:t>F-G</w:t>
      </w:r>
      <w:r w:rsidRPr="007862AD">
        <w:rPr>
          <w:rFonts w:ascii="Arial" w:hAnsi="Arial" w:cs="Arial"/>
          <w:color w:val="000000"/>
          <w:sz w:val="24"/>
        </w:rPr>
        <w:t xml:space="preserve">) Functions of TGFB1 and TGFB1RII in mediating the migration ability of SMMC-7721 cells by Transwell assays. </w:t>
      </w:r>
      <w:r w:rsidRPr="007862AD">
        <w:rPr>
          <w:rFonts w:ascii="Arial" w:hAnsi="Arial" w:cs="Arial"/>
          <w:color w:val="000000"/>
          <w:sz w:val="24"/>
          <w:vertAlign w:val="superscript"/>
        </w:rPr>
        <w:t>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 xml:space="preserve">&lt;0.05, </w:t>
      </w:r>
      <w:r w:rsidRPr="007862AD">
        <w:rPr>
          <w:rFonts w:ascii="Arial" w:hAnsi="Arial" w:cs="Arial"/>
          <w:color w:val="000000"/>
          <w:sz w:val="24"/>
          <w:vertAlign w:val="superscript"/>
        </w:rPr>
        <w:t>**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 xml:space="preserve">&lt;0.01, </w:t>
      </w:r>
      <w:r w:rsidRPr="007862AD">
        <w:rPr>
          <w:rFonts w:ascii="Arial" w:hAnsi="Arial" w:cs="Arial"/>
          <w:color w:val="000000"/>
          <w:sz w:val="24"/>
          <w:vertAlign w:val="superscript"/>
        </w:rPr>
        <w:t>***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>&lt;0.001; ns, no significance.</w:t>
      </w:r>
    </w:p>
    <w:p w14:paraId="46ABA53F" w14:textId="77777777" w:rsidR="00BD4E91" w:rsidRPr="007862AD" w:rsidRDefault="007862AD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7862AD">
        <w:rPr>
          <w:rFonts w:ascii="Times New Roman" w:hAnsi="Times New Roman" w:cs="Times New Roman" w:hint="eastAsia"/>
          <w:b/>
          <w:bCs/>
          <w:color w:val="000000"/>
          <w:sz w:val="24"/>
        </w:rPr>
        <w:lastRenderedPageBreak/>
        <w:drawing>
          <wp:inline distT="0" distB="0" distL="114300" distR="114300">
            <wp:extent cx="5271135" cy="7452360"/>
            <wp:effectExtent l="0" t="0" r="12065" b="2540"/>
            <wp:docPr id="3" name="图片 3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3E33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1231FBFA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229C6A4F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5A70CEC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4A7AABA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lastRenderedPageBreak/>
        <w:t>Supplementary figure S4:</w:t>
      </w:r>
    </w:p>
    <w:p w14:paraId="3F4D781D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color w:val="000000"/>
          <w:sz w:val="24"/>
        </w:rPr>
        <w:t>TGFB1 derived from HCC cells promotes cancer cell migration and glycolysis through activating HSCs. SMMC-7721 cells transfected with vWF OE and si-TGFB1 or treated by pyridone 6 co-cultured with LX-2 cells transfected with si-TGFB1RII were used for (</w:t>
      </w:r>
      <w:r w:rsidRPr="007862AD">
        <w:rPr>
          <w:rFonts w:ascii="Arial" w:hAnsi="Arial" w:cs="Arial"/>
          <w:b/>
          <w:bCs/>
          <w:color w:val="000000"/>
          <w:sz w:val="24"/>
        </w:rPr>
        <w:t>A</w:t>
      </w:r>
      <w:r w:rsidRPr="007862AD">
        <w:rPr>
          <w:rFonts w:ascii="Arial" w:hAnsi="Arial" w:cs="Arial"/>
          <w:color w:val="000000"/>
          <w:sz w:val="24"/>
        </w:rPr>
        <w:t>) Western blot analysis of α-SMA levels of LX-2 cells; (</w:t>
      </w:r>
      <w:r w:rsidRPr="007862AD">
        <w:rPr>
          <w:rFonts w:ascii="Arial" w:hAnsi="Arial" w:cs="Arial"/>
          <w:b/>
          <w:bCs/>
          <w:color w:val="000000"/>
          <w:sz w:val="24"/>
        </w:rPr>
        <w:t>B-C</w:t>
      </w:r>
      <w:r w:rsidRPr="007862AD">
        <w:rPr>
          <w:rFonts w:ascii="Arial" w:hAnsi="Arial" w:cs="Arial"/>
          <w:color w:val="000000"/>
          <w:sz w:val="24"/>
        </w:rPr>
        <w:t>) Glycogen content reflected by PAS staining and glycogen assays; (</w:t>
      </w:r>
      <w:r w:rsidRPr="007862AD">
        <w:rPr>
          <w:rFonts w:ascii="Arial" w:hAnsi="Arial" w:cs="Arial"/>
          <w:b/>
          <w:bCs/>
          <w:color w:val="000000"/>
          <w:sz w:val="24"/>
        </w:rPr>
        <w:t>D</w:t>
      </w:r>
      <w:r w:rsidRPr="007862AD">
        <w:rPr>
          <w:rFonts w:ascii="Arial" w:hAnsi="Arial" w:cs="Arial"/>
          <w:color w:val="000000"/>
          <w:sz w:val="24"/>
        </w:rPr>
        <w:t>) L-lactate content tested by L-lactate assays; (</w:t>
      </w:r>
      <w:r w:rsidRPr="007862AD">
        <w:rPr>
          <w:rFonts w:ascii="Arial" w:hAnsi="Arial" w:cs="Arial"/>
          <w:b/>
          <w:bCs/>
          <w:color w:val="000000"/>
          <w:sz w:val="24"/>
        </w:rPr>
        <w:t>E-F</w:t>
      </w:r>
      <w:r w:rsidRPr="007862AD">
        <w:rPr>
          <w:rFonts w:ascii="Arial" w:hAnsi="Arial" w:cs="Arial"/>
          <w:color w:val="000000"/>
          <w:sz w:val="24"/>
        </w:rPr>
        <w:t xml:space="preserve">) Migration ability was examined by Wound-healing and Transwell assays. </w:t>
      </w:r>
      <w:r w:rsidRPr="007862AD">
        <w:rPr>
          <w:rFonts w:ascii="Arial" w:hAnsi="Arial" w:cs="Arial"/>
          <w:color w:val="000000"/>
          <w:sz w:val="24"/>
          <w:vertAlign w:val="superscript"/>
        </w:rPr>
        <w:t>**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 xml:space="preserve">&lt;0.01, </w:t>
      </w:r>
      <w:r w:rsidRPr="007862AD">
        <w:rPr>
          <w:rFonts w:ascii="Arial" w:hAnsi="Arial" w:cs="Arial"/>
          <w:color w:val="000000"/>
          <w:sz w:val="24"/>
          <w:vertAlign w:val="superscript"/>
        </w:rPr>
        <w:t>***</w:t>
      </w:r>
      <w:r w:rsidRPr="007862AD">
        <w:rPr>
          <w:rFonts w:ascii="Arial" w:hAnsi="Arial" w:cs="Arial"/>
          <w:i/>
          <w:iCs/>
          <w:color w:val="000000"/>
          <w:sz w:val="24"/>
        </w:rPr>
        <w:t>P</w:t>
      </w:r>
      <w:r w:rsidRPr="007862AD">
        <w:rPr>
          <w:rFonts w:ascii="Arial" w:hAnsi="Arial" w:cs="Arial"/>
          <w:color w:val="000000"/>
          <w:sz w:val="24"/>
        </w:rPr>
        <w:t>&lt;0.001; ns, no significance.</w:t>
      </w:r>
    </w:p>
    <w:p w14:paraId="1A05C282" w14:textId="77777777" w:rsidR="00BD4E91" w:rsidRPr="007862AD" w:rsidRDefault="007862AD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7862AD">
        <w:rPr>
          <w:rFonts w:ascii="Times New Roman" w:hAnsi="Times New Roman" w:cs="Times New Roman" w:hint="eastAsia"/>
          <w:b/>
          <w:bCs/>
          <w:color w:val="000000"/>
          <w:sz w:val="24"/>
        </w:rPr>
        <w:lastRenderedPageBreak/>
        <w:drawing>
          <wp:inline distT="0" distB="0" distL="114300" distR="114300">
            <wp:extent cx="5271135" cy="7452360"/>
            <wp:effectExtent l="0" t="0" r="12065" b="2540"/>
            <wp:docPr id="4" name="图片 4" descr="Figur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C420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</w:p>
    <w:p w14:paraId="2D87E3BB" w14:textId="77777777" w:rsidR="00BD4E91" w:rsidRPr="007862AD" w:rsidRDefault="00BD4E91">
      <w:pPr>
        <w:rPr>
          <w:color w:val="000000"/>
        </w:rPr>
      </w:pPr>
    </w:p>
    <w:p w14:paraId="51384A2F" w14:textId="77777777" w:rsidR="00BD4E91" w:rsidRPr="007862AD" w:rsidRDefault="00BD4E91">
      <w:pPr>
        <w:rPr>
          <w:color w:val="000000"/>
        </w:rPr>
      </w:pPr>
    </w:p>
    <w:p w14:paraId="7782D153" w14:textId="77777777" w:rsidR="00BD4E91" w:rsidRPr="007862AD" w:rsidRDefault="00BD4E91">
      <w:pPr>
        <w:rPr>
          <w:color w:val="000000"/>
        </w:rPr>
      </w:pPr>
    </w:p>
    <w:p w14:paraId="70A55EB3" w14:textId="77777777" w:rsidR="00BD4E91" w:rsidRPr="007862AD" w:rsidRDefault="00BD4E91">
      <w:pPr>
        <w:rPr>
          <w:color w:val="000000"/>
        </w:rPr>
      </w:pPr>
    </w:p>
    <w:p w14:paraId="132EFB7B" w14:textId="77777777" w:rsidR="00BD4E91" w:rsidRPr="007862AD" w:rsidRDefault="00BD4E91">
      <w:pPr>
        <w:rPr>
          <w:color w:val="000000"/>
        </w:rPr>
      </w:pPr>
    </w:p>
    <w:p w14:paraId="0C725A4E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lastRenderedPageBreak/>
        <w:t>Supplementary Table S1:</w:t>
      </w:r>
    </w:p>
    <w:p w14:paraId="19FF13CB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t xml:space="preserve">List of plasmids and </w:t>
      </w:r>
      <w:r w:rsidRPr="007862AD">
        <w:rPr>
          <w:rFonts w:ascii="Arial" w:hAnsi="Arial" w:cs="Arial"/>
          <w:b/>
          <w:bCs/>
          <w:color w:val="000000"/>
          <w:sz w:val="24"/>
        </w:rPr>
        <w:t>lentivirus used for transfection</w:t>
      </w:r>
    </w:p>
    <w:tbl>
      <w:tblPr>
        <w:tblW w:w="9943" w:type="dxa"/>
        <w:tblInd w:w="98" w:type="dxa"/>
        <w:tblLook w:val="04A0" w:firstRow="1" w:lastRow="0" w:firstColumn="1" w:lastColumn="0" w:noHBand="0" w:noVBand="1"/>
      </w:tblPr>
      <w:tblGrid>
        <w:gridCol w:w="1899"/>
        <w:gridCol w:w="8044"/>
      </w:tblGrid>
      <w:tr w:rsidR="00BD4E91" w:rsidRPr="007862AD" w14:paraId="0296B331" w14:textId="77777777">
        <w:trPr>
          <w:trHeight w:val="408"/>
        </w:trPr>
        <w:tc>
          <w:tcPr>
            <w:tcW w:w="189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701B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Name</w:t>
            </w:r>
          </w:p>
        </w:tc>
        <w:tc>
          <w:tcPr>
            <w:tcW w:w="8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A1223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Sequence/Company</w:t>
            </w:r>
          </w:p>
        </w:tc>
      </w:tr>
      <w:tr w:rsidR="00BD4E91" w:rsidRPr="007862AD" w14:paraId="046362D8" w14:textId="77777777">
        <w:trPr>
          <w:trHeight w:val="817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5168C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vWF shRNA</w:t>
            </w:r>
          </w:p>
        </w:tc>
        <w:tc>
          <w:tcPr>
            <w:tcW w:w="8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ED81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kern w:val="0"/>
                <w:sz w:val="24"/>
                <w:lang w:bidi="ar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5'-GCCAGAGCCTGTCTATCAATGTTCAAGAGACATTGATAGAC</w:t>
            </w:r>
          </w:p>
          <w:p w14:paraId="1154FC65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AGGCTCTGGCTTTTTT-3'</w:t>
            </w:r>
          </w:p>
        </w:tc>
      </w:tr>
      <w:tr w:rsidR="00BD4E91" w:rsidRPr="007862AD" w14:paraId="1BEF906B" w14:textId="77777777">
        <w:trPr>
          <w:trHeight w:val="817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73D3BC20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vWF OE plasmid</w:t>
            </w:r>
          </w:p>
        </w:tc>
        <w:tc>
          <w:tcPr>
            <w:tcW w:w="8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1CE518A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Addgene, MA, USA ( (#124794)</w:t>
            </w:r>
          </w:p>
        </w:tc>
      </w:tr>
      <w:tr w:rsidR="00BD4E91" w:rsidRPr="007862AD" w14:paraId="77F4F03D" w14:textId="77777777">
        <w:trPr>
          <w:trHeight w:val="817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412DD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TGFB1 shRNA</w:t>
            </w:r>
          </w:p>
        </w:tc>
        <w:tc>
          <w:tcPr>
            <w:tcW w:w="8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498C0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5'-CAAGCAGAGTACACACAGCAT-3'</w:t>
            </w:r>
          </w:p>
        </w:tc>
      </w:tr>
      <w:tr w:rsidR="00BD4E91" w:rsidRPr="007862AD" w14:paraId="78EE5C21" w14:textId="77777777">
        <w:trPr>
          <w:trHeight w:val="817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0AB142FC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TGFBR2 shRNA</w:t>
            </w:r>
          </w:p>
        </w:tc>
        <w:tc>
          <w:tcPr>
            <w:tcW w:w="8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3638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5'-AATGACGAGAACATAACACT-3'</w:t>
            </w:r>
          </w:p>
        </w:tc>
      </w:tr>
    </w:tbl>
    <w:p w14:paraId="6B514443" w14:textId="77777777" w:rsidR="00BD4E91" w:rsidRPr="007862AD" w:rsidRDefault="00BD4E91">
      <w:pPr>
        <w:rPr>
          <w:color w:val="000000"/>
        </w:rPr>
      </w:pPr>
    </w:p>
    <w:p w14:paraId="27B4BC4C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BA8701F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7E23E29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D77901F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1EE0DE50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3BD7004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057F11D6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76DC040C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7194413C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F9784D2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2CF4707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74E4B01B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0444F07A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3CA24C0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CF0CEF0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1D3FAA53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2E760387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00720F90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2CBBFA9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lastRenderedPageBreak/>
        <w:t>Supplementary Table S2:</w:t>
      </w:r>
    </w:p>
    <w:p w14:paraId="4D8480A6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t xml:space="preserve"> List of Primers used in PCR</w:t>
      </w:r>
    </w:p>
    <w:tbl>
      <w:tblPr>
        <w:tblW w:w="9940" w:type="dxa"/>
        <w:tblInd w:w="98" w:type="dxa"/>
        <w:tblLook w:val="04A0" w:firstRow="1" w:lastRow="0" w:firstColumn="1" w:lastColumn="0" w:noHBand="0" w:noVBand="1"/>
      </w:tblPr>
      <w:tblGrid>
        <w:gridCol w:w="2166"/>
        <w:gridCol w:w="2621"/>
        <w:gridCol w:w="5156"/>
      </w:tblGrid>
      <w:tr w:rsidR="00BD4E91" w:rsidRPr="007862AD" w14:paraId="2586191D" w14:textId="77777777">
        <w:trPr>
          <w:trHeight w:val="310"/>
        </w:trPr>
        <w:tc>
          <w:tcPr>
            <w:tcW w:w="216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845DE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Gene name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D4AD6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Primers (5</w:t>
            </w: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’</w:t>
            </w: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-3</w:t>
            </w: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’</w:t>
            </w: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)</w:t>
            </w:r>
          </w:p>
        </w:tc>
        <w:tc>
          <w:tcPr>
            <w:tcW w:w="51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CD0E2" w14:textId="77777777" w:rsidR="00BD4E91" w:rsidRPr="007862AD" w:rsidRDefault="00BD4E91">
            <w:pPr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D4E91" w:rsidRPr="007862AD" w14:paraId="29D933D5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247E2B0E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TGFB1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1746706F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04541C95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TGGTGGAAACCCACAACGAA</w:t>
            </w:r>
          </w:p>
        </w:tc>
      </w:tr>
      <w:tr w:rsidR="00BD4E91" w:rsidRPr="007862AD" w14:paraId="0B2D535A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63299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FBE3E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2463D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AGAAGTTGGCATGGTAGCCC</w:t>
            </w:r>
          </w:p>
        </w:tc>
      </w:tr>
      <w:tr w:rsidR="00BD4E91" w:rsidRPr="007862AD" w14:paraId="0228B24E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64E35838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PDGFA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00BC42DA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515D44E4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CAGCGACTCCTGGAGATAGAC</w:t>
            </w:r>
          </w:p>
        </w:tc>
      </w:tr>
      <w:tr w:rsidR="00BD4E91" w:rsidRPr="007862AD" w14:paraId="0166C443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D003F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F6DA6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E2DFB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GGACAGCTTCCTCGATGCTT</w:t>
            </w:r>
          </w:p>
        </w:tc>
      </w:tr>
      <w:tr w:rsidR="00BD4E91" w:rsidRPr="007862AD" w14:paraId="27CA44E1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5E83FC2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PDGFB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086D5EC1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66D8D758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GGAGTCGGCATGAATCGCT</w:t>
            </w:r>
          </w:p>
        </w:tc>
      </w:tr>
      <w:tr w:rsidR="00BD4E91" w:rsidRPr="007862AD" w14:paraId="6F73B69F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13386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24F9B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14C26E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AATGGGGTCCCCCTCGG</w:t>
            </w:r>
          </w:p>
        </w:tc>
      </w:tr>
      <w:tr w:rsidR="00BD4E91" w:rsidRPr="007862AD" w14:paraId="780E97DB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4531E89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PDGFC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26B512B8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0B9BEE38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AAATGAGCCTCTTCGGGCTT</w:t>
            </w:r>
          </w:p>
        </w:tc>
      </w:tr>
      <w:tr w:rsidR="00BD4E91" w:rsidRPr="007862AD" w14:paraId="4AB650BD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4B1A1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F5E1A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4A0BE0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TGAGGATCTTGTACTCCGTTCTG</w:t>
            </w:r>
          </w:p>
        </w:tc>
      </w:tr>
      <w:tr w:rsidR="00BD4E91" w:rsidRPr="007862AD" w14:paraId="7F301992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4F443DA0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PDGFD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07FD013D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10253A0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CTCAGGCGAGATGAGAGCAAT</w:t>
            </w:r>
          </w:p>
        </w:tc>
      </w:tr>
      <w:tr w:rsidR="00BD4E91" w:rsidRPr="007862AD" w14:paraId="174B7EEF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1FFFB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62976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14F4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GCACGTAGCCGTTTCCTTTC</w:t>
            </w:r>
          </w:p>
        </w:tc>
      </w:tr>
      <w:tr w:rsidR="00BD4E91" w:rsidRPr="007862AD" w14:paraId="0917558F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46516161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VEGFA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3B1195D0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2CAD22A8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ACAAATGTGAATGCAGACCAAA</w:t>
            </w:r>
          </w:p>
        </w:tc>
      </w:tr>
      <w:tr w:rsidR="00BD4E91" w:rsidRPr="007862AD" w14:paraId="7EE51509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A1036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CC97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A095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ACCAACGTACACGCTCCAG</w:t>
            </w:r>
          </w:p>
        </w:tc>
      </w:tr>
      <w:tr w:rsidR="00BD4E91" w:rsidRPr="007862AD" w14:paraId="1D7CB73E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3564F095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CTGF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7C6E56C5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3003D12F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CGCACAAGGGCCTATTCTGT</w:t>
            </w:r>
          </w:p>
        </w:tc>
      </w:tr>
      <w:tr w:rsidR="00BD4E91" w:rsidRPr="007862AD" w14:paraId="56455560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E7DB8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9DE85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A9CFC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GAGCACCATCTTTGGCGGT</w:t>
            </w:r>
          </w:p>
        </w:tc>
      </w:tr>
      <w:tr w:rsidR="00BD4E91" w:rsidRPr="007862AD" w14:paraId="39D2A890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3CE917F2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GAPDH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5548711C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forward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572822FA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GTCAGCCGCATCTTCTTTTG</w:t>
            </w:r>
          </w:p>
        </w:tc>
      </w:tr>
      <w:tr w:rsidR="00BD4E91" w:rsidRPr="007862AD" w14:paraId="60041356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96AB0" w14:textId="77777777" w:rsidR="00BD4E91" w:rsidRPr="007862AD" w:rsidRDefault="00BD4E91">
            <w:pPr>
              <w:rPr>
                <w:rFonts w:ascii="DengXian" w:eastAsia="DengXian" w:hAnsi="DengXian" w:cs="DengXi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EBBA0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reverse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90D33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GCGCCCAATACGACCAAATC</w:t>
            </w:r>
          </w:p>
        </w:tc>
      </w:tr>
    </w:tbl>
    <w:p w14:paraId="1766BE16" w14:textId="77777777" w:rsidR="00BD4E91" w:rsidRPr="007862AD" w:rsidRDefault="00BD4E91">
      <w:pPr>
        <w:jc w:val="left"/>
        <w:rPr>
          <w:color w:val="000000"/>
        </w:rPr>
      </w:pPr>
    </w:p>
    <w:p w14:paraId="5B96FE6C" w14:textId="77777777" w:rsidR="00BD4E91" w:rsidRPr="007862AD" w:rsidRDefault="00BD4E91">
      <w:pPr>
        <w:rPr>
          <w:color w:val="000000"/>
        </w:rPr>
      </w:pPr>
    </w:p>
    <w:p w14:paraId="4AAB6A6C" w14:textId="77777777" w:rsidR="00BD4E91" w:rsidRPr="007862AD" w:rsidRDefault="00BD4E91">
      <w:pPr>
        <w:rPr>
          <w:color w:val="000000"/>
        </w:rPr>
      </w:pPr>
    </w:p>
    <w:p w14:paraId="2D1E8E5F" w14:textId="77777777" w:rsidR="00BD4E91" w:rsidRPr="007862AD" w:rsidRDefault="00BD4E91">
      <w:pPr>
        <w:rPr>
          <w:color w:val="000000"/>
        </w:rPr>
      </w:pPr>
    </w:p>
    <w:p w14:paraId="0848A3E3" w14:textId="77777777" w:rsidR="00BD4E91" w:rsidRPr="007862AD" w:rsidRDefault="00BD4E91">
      <w:pPr>
        <w:rPr>
          <w:color w:val="000000"/>
        </w:rPr>
      </w:pPr>
    </w:p>
    <w:p w14:paraId="65C3F8FB" w14:textId="77777777" w:rsidR="00BD4E91" w:rsidRPr="007862AD" w:rsidRDefault="00BD4E91">
      <w:pPr>
        <w:rPr>
          <w:color w:val="000000"/>
        </w:rPr>
      </w:pPr>
    </w:p>
    <w:p w14:paraId="2A3393E5" w14:textId="77777777" w:rsidR="00BD4E91" w:rsidRPr="007862AD" w:rsidRDefault="00BD4E91">
      <w:pPr>
        <w:rPr>
          <w:color w:val="000000"/>
        </w:rPr>
      </w:pPr>
    </w:p>
    <w:p w14:paraId="17BD8273" w14:textId="77777777" w:rsidR="00BD4E91" w:rsidRPr="007862AD" w:rsidRDefault="00BD4E91">
      <w:pPr>
        <w:rPr>
          <w:color w:val="000000"/>
        </w:rPr>
      </w:pPr>
    </w:p>
    <w:p w14:paraId="5C42297A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lastRenderedPageBreak/>
        <w:t>Supplementary Table S3:</w:t>
      </w:r>
    </w:p>
    <w:p w14:paraId="713E13E5" w14:textId="77777777" w:rsidR="00BD4E91" w:rsidRPr="007862AD" w:rsidRDefault="007862AD">
      <w:pPr>
        <w:spacing w:line="360" w:lineRule="auto"/>
        <w:rPr>
          <w:rFonts w:ascii="Arial" w:hAnsi="Arial" w:cs="Arial"/>
          <w:b/>
          <w:bCs/>
          <w:color w:val="000000"/>
          <w:sz w:val="24"/>
        </w:rPr>
      </w:pPr>
      <w:r w:rsidRPr="007862AD">
        <w:rPr>
          <w:rFonts w:ascii="Arial" w:hAnsi="Arial" w:cs="Arial"/>
          <w:b/>
          <w:bCs/>
          <w:color w:val="000000"/>
          <w:sz w:val="24"/>
        </w:rPr>
        <w:t xml:space="preserve"> List of antibodies used in western blot (WB)</w:t>
      </w:r>
    </w:p>
    <w:tbl>
      <w:tblPr>
        <w:tblW w:w="7880" w:type="dxa"/>
        <w:tblInd w:w="98" w:type="dxa"/>
        <w:tblLook w:val="04A0" w:firstRow="1" w:lastRow="0" w:firstColumn="1" w:lastColumn="0" w:noHBand="0" w:noVBand="1"/>
      </w:tblPr>
      <w:tblGrid>
        <w:gridCol w:w="2490"/>
        <w:gridCol w:w="4164"/>
        <w:gridCol w:w="1480"/>
      </w:tblGrid>
      <w:tr w:rsidR="00BD4E91" w:rsidRPr="007862AD" w14:paraId="414B8AC5" w14:textId="77777777">
        <w:trPr>
          <w:trHeight w:val="310"/>
        </w:trPr>
        <w:tc>
          <w:tcPr>
            <w:tcW w:w="249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E2B94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Antibody name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AC27A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Company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3A9F3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b/>
                <w:bCs/>
                <w:color w:val="000000"/>
                <w:sz w:val="22"/>
                <w:szCs w:val="22"/>
              </w:rPr>
            </w:pPr>
            <w:r w:rsidRPr="007862AD">
              <w:rPr>
                <w:rFonts w:ascii="DengXian" w:eastAsia="DengXian" w:hAnsi="DengXian" w:cs="DengXi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Application</w:t>
            </w:r>
          </w:p>
        </w:tc>
      </w:tr>
      <w:tr w:rsidR="00BD4E91" w:rsidRPr="007862AD" w14:paraId="666FB9BF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0A1789F3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Anti-vWF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4413F5B6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SantaCruz Biotechnology, (#sc-53466)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4CC61711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WB/IHC</w:t>
            </w:r>
          </w:p>
        </w:tc>
      </w:tr>
      <w:tr w:rsidR="00BD4E91" w:rsidRPr="007862AD" w14:paraId="37C7E42C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5B4AB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Anti-TGFB1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0EDA0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Wanleibio, (WL02193)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8BD03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WB/IHC</w:t>
            </w:r>
          </w:p>
        </w:tc>
      </w:tr>
      <w:tr w:rsidR="00BD4E91" w:rsidRPr="007862AD" w14:paraId="005F758E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0A893BC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</w:t>
            </w: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α</w:t>
            </w: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-actin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4DC752A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Wanleibio, (WL02510)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72BAB931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WB/IHC</w:t>
            </w:r>
          </w:p>
        </w:tc>
      </w:tr>
      <w:tr w:rsidR="00BD4E91" w:rsidRPr="007862AD" w14:paraId="06CB0899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D79A9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Anti-IL-6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147A1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Wanleibio, (WL02841)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459753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</w:t>
            </w:r>
          </w:p>
        </w:tc>
      </w:tr>
      <w:tr w:rsidR="00BD4E91" w:rsidRPr="007862AD" w14:paraId="06B0DB4B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361586F6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Anti-JAK1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72E759BD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Abways TECHOLOGY, (CY7173)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306AA7B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</w:t>
            </w:r>
          </w:p>
        </w:tc>
      </w:tr>
      <w:tr w:rsidR="00BD4E91" w:rsidRPr="007862AD" w14:paraId="2E69FA29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98E7C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Anti-p-JAK1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BF46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Abways TECHOLOGY, (CY10423)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BE69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</w:t>
            </w:r>
          </w:p>
        </w:tc>
      </w:tr>
      <w:tr w:rsidR="00BD4E91" w:rsidRPr="007862AD" w14:paraId="47C1D095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32AEBF6D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Anti-JAK2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74F28BD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Abways TECHOLOGY, (CY5287)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17EBAFBE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</w:t>
            </w:r>
          </w:p>
        </w:tc>
      </w:tr>
      <w:tr w:rsidR="00BD4E91" w:rsidRPr="007862AD" w14:paraId="40D0D633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BC5AF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Anti-p-JAK2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BB772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Abways TECHOLOGY, (CY6570)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96767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</w:t>
            </w:r>
          </w:p>
        </w:tc>
      </w:tr>
      <w:tr w:rsidR="00BD4E91" w:rsidRPr="007862AD" w14:paraId="171B20BD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26B63F11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Anti-TGFBR2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center"/>
          </w:tcPr>
          <w:p w14:paraId="389E2F2A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Wanleibio, (WL02714)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6E6"/>
            <w:noWrap/>
            <w:vAlign w:val="center"/>
          </w:tcPr>
          <w:p w14:paraId="27843CBF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</w:t>
            </w:r>
          </w:p>
        </w:tc>
      </w:tr>
      <w:tr w:rsidR="00BD4E91" w:rsidRPr="007862AD" w14:paraId="0EB8745A" w14:textId="77777777">
        <w:trPr>
          <w:trHeight w:val="31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3B2BA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Anti-</w:t>
            </w: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β</w:t>
            </w: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-actin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C48AA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 xml:space="preserve">Affinity Biosciences, </w:t>
            </w: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(AF7018)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C52FD" w14:textId="77777777" w:rsidR="00BD4E91" w:rsidRPr="007862AD" w:rsidRDefault="007862AD">
            <w:pPr>
              <w:widowControl/>
              <w:jc w:val="left"/>
              <w:textAlignment w:val="center"/>
              <w:rPr>
                <w:rFonts w:ascii="DengXian" w:eastAsia="DengXian" w:hAnsi="DengXian" w:cs="DengXian"/>
                <w:color w:val="000000"/>
                <w:sz w:val="24"/>
              </w:rPr>
            </w:pPr>
            <w:r w:rsidRPr="007862AD">
              <w:rPr>
                <w:rFonts w:ascii="DengXian" w:eastAsia="DengXian" w:hAnsi="DengXian" w:cs="DengXian" w:hint="eastAsia"/>
                <w:color w:val="000000"/>
                <w:kern w:val="0"/>
                <w:sz w:val="24"/>
                <w:lang w:bidi="ar"/>
              </w:rPr>
              <w:t>WB</w:t>
            </w:r>
          </w:p>
        </w:tc>
      </w:tr>
    </w:tbl>
    <w:p w14:paraId="55545C43" w14:textId="77777777" w:rsidR="00BD4E91" w:rsidRPr="007862AD" w:rsidRDefault="00BD4E91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sectPr w:rsidR="00BD4E91" w:rsidRPr="007862AD">
      <w:footerReference w:type="even" r:id="rId11"/>
      <w:footerReference w:type="defaul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BD5EF" w14:textId="77777777" w:rsidR="007862AD" w:rsidRDefault="007862AD">
      <w:r>
        <w:separator/>
      </w:r>
    </w:p>
  </w:endnote>
  <w:endnote w:type="continuationSeparator" w:id="0">
    <w:p w14:paraId="3462AF40" w14:textId="77777777" w:rsidR="007862AD" w:rsidRDefault="00786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10BE4" w14:textId="77777777" w:rsidR="00BD4E91" w:rsidRDefault="007862A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92885015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ACDBCE" w14:textId="77777777" w:rsidR="00BD4E91" w:rsidRDefault="007862AD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Tw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O5nar6E541QOxoV7y7cdlt4xH16Yww3jIKja&#10;8IyHVNBXFC6Ikhbc97/ZYzwSj15KelRMRQ1KmhL1yeBCiuUiz6PC0g2Bm0CdwPx9vox+c9SPgGKc&#10;47uwPMEYHNQEpQP9DUW9idXQxQzHmhWtJ/gYRv3io+Bis0lBKCbLws7sLY+pI2febo4BiUz8RpZG&#10;Ti7koZzShi7Sj3r9+Z6ibg90/QM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JcjxPD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52ACDBCE" w14:textId="77777777" w:rsidR="00BD4E91" w:rsidRDefault="007862AD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8230F" w14:textId="77777777" w:rsidR="00BD4E91" w:rsidRDefault="007862A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09458897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0A8716" w14:textId="77777777" w:rsidR="00BD4E91" w:rsidRDefault="007862AD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610A8716" w14:textId="77777777" w:rsidR="00BD4E91" w:rsidRDefault="007862AD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E728A" w14:textId="77777777" w:rsidR="00BD4E91" w:rsidRDefault="007862A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00244109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C10E7A" w14:textId="77777777" w:rsidR="00BD4E91" w:rsidRDefault="007862AD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5DC10E7A" w14:textId="77777777" w:rsidR="00BD4E91" w:rsidRDefault="007862AD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A6BA3" w14:textId="77777777" w:rsidR="007862AD" w:rsidRDefault="007862AD">
      <w:r>
        <w:separator/>
      </w:r>
    </w:p>
  </w:footnote>
  <w:footnote w:type="continuationSeparator" w:id="0">
    <w:p w14:paraId="15E3D182" w14:textId="77777777" w:rsidR="007862AD" w:rsidRDefault="007862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oNotTrackFormatting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RlNDM3ZTc5MDg3Y2QzZTUyNjA1M2QzMGI4YTk0ZGQifQ=="/>
  </w:docVars>
  <w:rsids>
    <w:rsidRoot w:val="0036445B"/>
    <w:rsid w:val="00011AA2"/>
    <w:rsid w:val="000F0C42"/>
    <w:rsid w:val="00235D6C"/>
    <w:rsid w:val="002D55D9"/>
    <w:rsid w:val="0036445B"/>
    <w:rsid w:val="004226B0"/>
    <w:rsid w:val="00494401"/>
    <w:rsid w:val="007862AD"/>
    <w:rsid w:val="00876150"/>
    <w:rsid w:val="00A72CED"/>
    <w:rsid w:val="00BD4E91"/>
    <w:rsid w:val="00FB58BF"/>
    <w:rsid w:val="00FF6149"/>
    <w:rsid w:val="022D40C5"/>
    <w:rsid w:val="027433E3"/>
    <w:rsid w:val="03403B0B"/>
    <w:rsid w:val="0E404BDC"/>
    <w:rsid w:val="11D6438E"/>
    <w:rsid w:val="19B0550B"/>
    <w:rsid w:val="1E1B1FA6"/>
    <w:rsid w:val="20E26732"/>
    <w:rsid w:val="23596B80"/>
    <w:rsid w:val="23870B91"/>
    <w:rsid w:val="25CA597B"/>
    <w:rsid w:val="297E0FC2"/>
    <w:rsid w:val="3364016F"/>
    <w:rsid w:val="37DE39BE"/>
    <w:rsid w:val="392C0B00"/>
    <w:rsid w:val="43886350"/>
    <w:rsid w:val="49975A5C"/>
    <w:rsid w:val="4B440A21"/>
    <w:rsid w:val="56622606"/>
    <w:rsid w:val="5AC75FB2"/>
    <w:rsid w:val="6285559C"/>
    <w:rsid w:val="6EB20673"/>
    <w:rsid w:val="7B48515F"/>
    <w:rsid w:val="7D3F2D0C"/>
    <w:rsid w:val="7F2D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F605A8B-981B-464B-AA67-670D01D2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rFonts w:asciiTheme="minorHAnsi" w:eastAsiaTheme="minorEastAsia" w:hAnsiTheme="minorHAnsi" w:cstheme="minorBidi"/>
      <w:b/>
      <w:bCs/>
      <w:kern w:val="2"/>
      <w:lang w:val="en-US" w:eastAsia="zh-CN"/>
    </w:rPr>
  </w:style>
  <w:style w:type="paragraph" w:styleId="Revision">
    <w:name w:val="Revision"/>
    <w:hidden/>
    <w:uiPriority w:val="99"/>
    <w:unhideWhenUsed/>
    <w:rsid w:val="007862AD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608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祝逸飞</dc:creator>
  <cp:lastModifiedBy>Spence, Oliver</cp:lastModifiedBy>
  <cp:revision>2</cp:revision>
  <dcterms:created xsi:type="dcterms:W3CDTF">2024-06-20T00:28:00Z</dcterms:created>
  <dcterms:modified xsi:type="dcterms:W3CDTF">2024-06-20T00:28:00Z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0813967EA6E049F1AF5F68D409DDFF2D_12</vt:lpwstr>
  </property>
  <property fmtid="{D5CDD505-2E9C-101B-9397-08002B2CF9AE}" pid="4" name="ClassificationContentMarkingFooterShapeIds">
    <vt:lpwstr>5f61c98d,64e76017,36353dd1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2024-06-18T00:56:59Z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6e3a490f-6ff3-43bb-ae86-58cc36288edc</vt:lpwstr>
  </property>
  <property fmtid="{D5CDD505-2E9C-101B-9397-08002B2CF9AE}" pid="13" name="MSIP_Label_2bbab825-a111-45e4-86a1-18cee0005896_ContentBits">
    <vt:lpwstr>2</vt:lpwstr>
  </property>
</Properties>
</file>