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4BA45" w14:textId="77777777" w:rsidR="00FF5A50" w:rsidRDefault="000334CC">
      <w:pPr>
        <w:spacing w:line="480" w:lineRule="auto"/>
        <w:jc w:val="center"/>
        <w:rPr>
          <w:rFonts w:ascii="Arial Regular" w:eastAsia="MS Mincho" w:hAnsi="Arial Regular" w:cs="Arial Regular"/>
          <w:b/>
          <w:bCs/>
          <w:szCs w:val="24"/>
          <w:lang w:eastAsia="ja-JP"/>
        </w:rPr>
      </w:pPr>
      <w:r>
        <w:rPr>
          <w:rFonts w:ascii="Arial Regular" w:hAnsi="Arial Regular" w:cs="Arial Regular"/>
          <w:b/>
          <w:bCs/>
          <w:sz w:val="40"/>
          <w:szCs w:val="40"/>
        </w:rPr>
        <w:t>Supplementary Information</w:t>
      </w:r>
    </w:p>
    <w:p w14:paraId="4CAABD6F" w14:textId="77777777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b/>
          <w:bCs/>
          <w:szCs w:val="24"/>
          <w:lang w:eastAsia="ja-JP"/>
        </w:rPr>
      </w:pPr>
      <w:r>
        <w:rPr>
          <w:rFonts w:ascii="Arial Regular" w:eastAsia="MS Mincho" w:hAnsi="Arial Regular" w:cs="Arial Regular"/>
          <w:b/>
          <w:bCs/>
          <w:szCs w:val="24"/>
          <w:lang w:eastAsia="ja-JP"/>
        </w:rPr>
        <w:t>Figures</w:t>
      </w:r>
    </w:p>
    <w:p w14:paraId="0ED024E9" w14:textId="383BAA36" w:rsidR="000334CC" w:rsidRDefault="000334CC">
      <w:pPr>
        <w:spacing w:after="0" w:line="480" w:lineRule="auto"/>
        <w:jc w:val="left"/>
        <w:rPr>
          <w:rFonts w:ascii="Arial Regular" w:eastAsia="MS Mincho" w:hAnsi="Arial Regular" w:cs="Arial Regular"/>
          <w:b/>
          <w:bCs/>
          <w:szCs w:val="24"/>
          <w:lang w:eastAsia="ja-JP"/>
        </w:rPr>
      </w:pPr>
      <w:r>
        <w:rPr>
          <w:noProof/>
        </w:rPr>
        <w:drawing>
          <wp:inline distT="0" distB="0" distL="0" distR="0" wp14:anchorId="7F8C98C7" wp14:editId="214D01D7">
            <wp:extent cx="2717800" cy="2162175"/>
            <wp:effectExtent l="0" t="0" r="6350" b="9525"/>
            <wp:docPr id="153225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3965" w14:textId="77777777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 S1.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SEM image of L-(</w:t>
      </w:r>
      <w:proofErr w:type="spellStart"/>
      <w:r>
        <w:rPr>
          <w:rFonts w:ascii="Arial Regular" w:eastAsia="MS Mincho" w:hAnsi="Arial Regular" w:cs="Arial Regular"/>
          <w:szCs w:val="24"/>
          <w:lang w:eastAsia="ja-JP"/>
        </w:rPr>
        <w:t>CaP-ZnP</w:t>
      </w:r>
      <w:proofErr w:type="spellEnd"/>
      <w:r>
        <w:rPr>
          <w:rFonts w:ascii="Arial Regular" w:eastAsia="MS Mincho" w:hAnsi="Arial Regular" w:cs="Arial Regular"/>
          <w:szCs w:val="24"/>
          <w:lang w:eastAsia="ja-JP"/>
        </w:rPr>
        <w:t>) NPs.</w:t>
      </w:r>
    </w:p>
    <w:p w14:paraId="1AD0AB04" w14:textId="5ED2F9D3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30DFC95E" wp14:editId="4408D12A">
            <wp:extent cx="6187440" cy="3632200"/>
            <wp:effectExtent l="0" t="0" r="3810" b="6350"/>
            <wp:docPr id="1832785862" name="Picture 2" descr="A close up of a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85862" name="Picture 2" descr="A close up of a t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6B54" w14:textId="77777777" w:rsidR="00FF5A50" w:rsidRDefault="000334CC">
      <w:pPr>
        <w:spacing w:after="0"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 S2.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The Comparison of Viscosity between L-(</w:t>
      </w:r>
      <w:proofErr w:type="spellStart"/>
      <w:r>
        <w:rPr>
          <w:rFonts w:ascii="Arial Regular" w:eastAsia="MS Mincho" w:hAnsi="Arial Regular" w:cs="Arial Regular"/>
          <w:szCs w:val="24"/>
          <w:lang w:eastAsia="ja-JP"/>
        </w:rPr>
        <w:t>CaP-ZnP</w:t>
      </w:r>
      <w:proofErr w:type="spellEnd"/>
      <w:r>
        <w:rPr>
          <w:rFonts w:ascii="Arial Regular" w:eastAsia="MS Mincho" w:hAnsi="Arial Regular" w:cs="Arial Regular"/>
          <w:szCs w:val="24"/>
          <w:lang w:eastAsia="ja-JP"/>
        </w:rPr>
        <w:t>)/SA nanocomposite hydrogel and SA hydrogel at room temperature. (A) 0 minute (B) After 10 minutes.</w:t>
      </w:r>
    </w:p>
    <w:p w14:paraId="194B5C2C" w14:textId="3CA76281" w:rsidR="00FF5A50" w:rsidRDefault="000334CC">
      <w:pPr>
        <w:spacing w:after="0"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noProof/>
        </w:rPr>
        <w:drawing>
          <wp:inline distT="0" distB="0" distL="0" distR="0" wp14:anchorId="604ED0DD" wp14:editId="30E7B49E">
            <wp:extent cx="3709035" cy="2871470"/>
            <wp:effectExtent l="0" t="0" r="0" b="0"/>
            <wp:docPr id="756125434" name="Picture 3" descr="A black and whit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25434" name="Picture 3" descr="A black and white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B19D" w14:textId="77777777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 S3.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Cytotoxicity of the L-(</w:t>
      </w:r>
      <w:proofErr w:type="spellStart"/>
      <w:r>
        <w:rPr>
          <w:rFonts w:ascii="Arial Regular" w:eastAsia="MS Mincho" w:hAnsi="Arial Regular" w:cs="Arial Regular"/>
          <w:szCs w:val="24"/>
          <w:lang w:eastAsia="ja-JP"/>
        </w:rPr>
        <w:t>CaP-ZnP</w:t>
      </w:r>
      <w:proofErr w:type="spellEnd"/>
      <w:r>
        <w:rPr>
          <w:rFonts w:ascii="Arial Regular" w:eastAsia="MS Mincho" w:hAnsi="Arial Regular" w:cs="Arial Regular"/>
          <w:szCs w:val="24"/>
          <w:lang w:eastAsia="ja-JP"/>
        </w:rPr>
        <w:t xml:space="preserve">)/SA nanocomposite hydrogel towards </w:t>
      </w:r>
      <w:proofErr w:type="spellStart"/>
      <w:r>
        <w:rPr>
          <w:rFonts w:ascii="Arial Regular" w:eastAsia="MS Mincho" w:hAnsi="Arial Regular" w:cs="Arial Regular"/>
          <w:szCs w:val="24"/>
          <w:lang w:eastAsia="ja-JP"/>
        </w:rPr>
        <w:t>hDPSCs</w:t>
      </w:r>
      <w:proofErr w:type="spellEnd"/>
      <w:r>
        <w:rPr>
          <w:rFonts w:ascii="Arial Regular" w:eastAsia="MS Mincho" w:hAnsi="Arial Regular" w:cs="Arial Regular"/>
          <w:szCs w:val="24"/>
          <w:lang w:eastAsia="ja-JP"/>
        </w:rPr>
        <w:t xml:space="preserve"> with a co-incubation time of 24h.</w:t>
      </w:r>
    </w:p>
    <w:p w14:paraId="3660BF24" w14:textId="077DB799" w:rsidR="00FA3ACD" w:rsidRDefault="00FA3ACD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ja-JP"/>
        </w:rPr>
      </w:pPr>
      <w:r w:rsidRPr="00FA3ACD">
        <w:rPr>
          <w:rFonts w:ascii="Arial Regular" w:eastAsia="MS Mincho" w:hAnsi="Arial Regular" w:cs="Arial Regular"/>
          <w:szCs w:val="24"/>
          <w:lang w:eastAsia="ja-JP"/>
        </w:rPr>
        <w:t>Error bars indicate mean ± standard deviation. Asterisks indicate statistically significant differences (**P &lt; 0.01, and ***P &lt; 0.001).</w:t>
      </w:r>
    </w:p>
    <w:p w14:paraId="7079C5A0" w14:textId="44DCB43D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ja-JP"/>
        </w:rPr>
      </w:pPr>
      <w:r>
        <w:rPr>
          <w:noProof/>
        </w:rPr>
        <w:drawing>
          <wp:inline distT="0" distB="0" distL="0" distR="0" wp14:anchorId="3E3F06F9" wp14:editId="53103C57">
            <wp:extent cx="2683510" cy="3272790"/>
            <wp:effectExtent l="0" t="0" r="0" b="3810"/>
            <wp:docPr id="283672772" name="Picture 4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72772" name="Picture 4" descr="A graph of different colored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730E" w14:textId="47BBE8FD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 S4.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Quantitative calculation of Runx2 fluorescence intensity related to Figure 4C.</w:t>
      </w:r>
      <w:r w:rsidR="00FA3ACD">
        <w:rPr>
          <w:rFonts w:ascii="Arial Regular" w:eastAsia="MS Mincho" w:hAnsi="Arial Regular" w:cs="Arial Regular"/>
          <w:szCs w:val="24"/>
          <w:lang w:eastAsia="ja-JP"/>
        </w:rPr>
        <w:t xml:space="preserve"> </w:t>
      </w:r>
      <w:r w:rsidR="00FA3ACD" w:rsidRPr="00FA3ACD">
        <w:rPr>
          <w:rFonts w:ascii="Arial Regular" w:eastAsia="MS Mincho" w:hAnsi="Arial Regular" w:cs="Arial Regular"/>
          <w:szCs w:val="24"/>
          <w:lang w:eastAsia="ja-JP"/>
        </w:rPr>
        <w:t>Error bars indicate mean ± standard deviation. Asterisks indicate statistically significant differences (*P &lt; 0.05, and ***P &lt; 0.001).</w:t>
      </w:r>
    </w:p>
    <w:p w14:paraId="220D912B" w14:textId="611F84C8" w:rsidR="00FF5A50" w:rsidRDefault="000334CC">
      <w:pPr>
        <w:spacing w:after="0" w:line="480" w:lineRule="auto"/>
        <w:jc w:val="left"/>
        <w:rPr>
          <w:rFonts w:ascii="Arial Regular" w:eastAsia="MS Mincho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2BC13D15" wp14:editId="0CEF4AAB">
            <wp:extent cx="5478145" cy="2324735"/>
            <wp:effectExtent l="0" t="0" r="8255" b="0"/>
            <wp:docPr id="1105715738" name="Picture 5" descr="A graph of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15738" name="Picture 5" descr="A graph of different colored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D11F" w14:textId="5EEF48E9" w:rsidR="00FF5A50" w:rsidRDefault="000334CC">
      <w:pPr>
        <w:spacing w:after="0"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</w:t>
      </w:r>
      <w:r>
        <w:rPr>
          <w:rFonts w:ascii="Arial Regular" w:eastAsia="SimSun" w:hAnsi="Arial Regular" w:cs="Arial Regular"/>
          <w:b/>
          <w:szCs w:val="24"/>
          <w:lang w:eastAsia="zh-CN"/>
        </w:rPr>
        <w:t xml:space="preserve"> </w:t>
      </w:r>
      <w:r>
        <w:rPr>
          <w:rFonts w:ascii="Arial Regular" w:eastAsia="MS Mincho" w:hAnsi="Arial Regular" w:cs="Arial Regular"/>
          <w:b/>
          <w:szCs w:val="24"/>
          <w:lang w:eastAsia="ja-JP"/>
        </w:rPr>
        <w:t>S5.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Semiquantitative protein expression related to Figure 5A-C. (A, B) Semiquantitative analysis of p-p38 and p38 protein expression. (C) Semiquantitative analysis of Runx2 protein expression.</w:t>
      </w:r>
      <w:r w:rsidR="00FA3ACD">
        <w:rPr>
          <w:rFonts w:ascii="Arial Regular" w:eastAsia="MS Mincho" w:hAnsi="Arial Regular" w:cs="Arial Regular"/>
          <w:szCs w:val="24"/>
          <w:lang w:eastAsia="ja-JP"/>
        </w:rPr>
        <w:t xml:space="preserve"> </w:t>
      </w:r>
      <w:r w:rsidR="00FA3ACD" w:rsidRPr="00FA3ACD">
        <w:rPr>
          <w:rFonts w:ascii="Arial Regular" w:eastAsia="MS Mincho" w:hAnsi="Arial Regular" w:cs="Arial Regular"/>
          <w:szCs w:val="24"/>
          <w:lang w:eastAsia="ja-JP"/>
        </w:rPr>
        <w:t>Error bars indicate mean ± standard deviation. Asterisks indicate statistically significant differences (**P &lt; 0.01, and ***P &lt; 0.001).</w:t>
      </w:r>
    </w:p>
    <w:p w14:paraId="38117C70" w14:textId="4C53A962" w:rsidR="00FF5A50" w:rsidRDefault="000334CC">
      <w:pPr>
        <w:spacing w:after="0"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noProof/>
        </w:rPr>
        <w:drawing>
          <wp:inline distT="0" distB="0" distL="0" distR="0" wp14:anchorId="0F196DA5" wp14:editId="61296AB3">
            <wp:extent cx="2426970" cy="3315970"/>
            <wp:effectExtent l="0" t="0" r="0" b="0"/>
            <wp:docPr id="748914212" name="Picture 6" descr="A graph of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14212" name="Picture 6" descr="A graph of a bar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9701" w14:textId="25230E0D" w:rsidR="00FF5A50" w:rsidRDefault="000334CC">
      <w:pPr>
        <w:spacing w:after="0"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szCs w:val="24"/>
          <w:lang w:eastAsia="ja-JP"/>
        </w:rPr>
        <w:t>Figure S6.</w:t>
      </w:r>
      <w:r>
        <w:rPr>
          <w:rFonts w:ascii="Arial Regular" w:eastAsia="MS Mincho" w:hAnsi="Arial Regular" w:cs="Arial Regular"/>
          <w:szCs w:val="24"/>
          <w:lang w:eastAsia="ja-JP"/>
        </w:rPr>
        <w:t xml:space="preserve"> Quantitative calculation of Runx2 fluorescence intensity </w:t>
      </w:r>
      <w:proofErr w:type="gramStart"/>
      <w:r>
        <w:rPr>
          <w:rFonts w:ascii="Arial Regular" w:eastAsia="MS Mincho" w:hAnsi="Arial Regular" w:cs="Arial Regular"/>
          <w:szCs w:val="24"/>
          <w:lang w:eastAsia="ja-JP"/>
        </w:rPr>
        <w:t>related</w:t>
      </w:r>
      <w:proofErr w:type="gramEnd"/>
      <w:r>
        <w:rPr>
          <w:rFonts w:ascii="Arial Regular" w:eastAsia="MS Mincho" w:hAnsi="Arial Regular" w:cs="Arial Regular"/>
          <w:szCs w:val="24"/>
          <w:lang w:eastAsia="ja-JP"/>
        </w:rPr>
        <w:t xml:space="preserve"> to Figure 5</w:t>
      </w:r>
      <w:r w:rsidR="00FA3ACD">
        <w:rPr>
          <w:rFonts w:ascii="Arial Regular" w:eastAsia="MS Mincho" w:hAnsi="Arial Regular" w:cs="Arial Regular"/>
          <w:szCs w:val="24"/>
          <w:lang w:eastAsia="ja-JP"/>
        </w:rPr>
        <w:t xml:space="preserve">H. </w:t>
      </w:r>
      <w:r w:rsidR="00FA3ACD" w:rsidRPr="00FA3ACD">
        <w:rPr>
          <w:rFonts w:ascii="Arial Regular" w:eastAsia="MS Mincho" w:hAnsi="Arial Regular" w:cs="Arial Regular"/>
          <w:szCs w:val="24"/>
          <w:lang w:eastAsia="ja-JP"/>
        </w:rPr>
        <w:t>Error bars indicate mean ± standard deviation. Asterisks indicate statistically significant differences (***P &lt; 0.001).</w:t>
      </w:r>
    </w:p>
    <w:p w14:paraId="49B0AB53" w14:textId="77777777" w:rsidR="00FF5A50" w:rsidRDefault="00FF5A50">
      <w:pPr>
        <w:spacing w:line="480" w:lineRule="auto"/>
        <w:rPr>
          <w:rFonts w:ascii="Arial Regular" w:eastAsia="MS Mincho" w:hAnsi="Arial Regular" w:cs="Arial Regular"/>
          <w:b/>
          <w:lang w:eastAsia="ja-JP"/>
        </w:rPr>
      </w:pPr>
    </w:p>
    <w:p w14:paraId="19A95E34" w14:textId="786C4A44" w:rsidR="00FF5A50" w:rsidRDefault="000334CC">
      <w:pPr>
        <w:spacing w:line="480" w:lineRule="auto"/>
        <w:rPr>
          <w:rFonts w:ascii="Arial Regular" w:eastAsia="MS Mincho" w:hAnsi="Arial Regular" w:cs="Arial Regular"/>
          <w:szCs w:val="24"/>
          <w:lang w:eastAsia="ja-JP"/>
        </w:rPr>
      </w:pPr>
      <w:r>
        <w:rPr>
          <w:rFonts w:ascii="Arial Regular" w:eastAsia="MS Mincho" w:hAnsi="Arial Regular" w:cs="Arial Regular"/>
          <w:b/>
          <w:lang w:eastAsia="ja-JP"/>
        </w:rPr>
        <w:t xml:space="preserve">Table </w:t>
      </w:r>
      <w:r w:rsidR="00235A37">
        <w:rPr>
          <w:rFonts w:ascii="Arial Regular" w:eastAsia="MS Mincho" w:hAnsi="Arial Regular" w:cs="Arial Regular"/>
          <w:b/>
          <w:lang w:eastAsia="ja-JP"/>
        </w:rPr>
        <w:t>S</w:t>
      </w:r>
      <w:r>
        <w:rPr>
          <w:rFonts w:ascii="Arial Regular" w:eastAsia="MS Mincho" w:hAnsi="Arial Regular" w:cs="Arial Regular"/>
          <w:b/>
          <w:lang w:eastAsia="ja-JP"/>
        </w:rPr>
        <w:t>1.</w:t>
      </w:r>
      <w:r>
        <w:rPr>
          <w:rFonts w:ascii="Arial Regular" w:eastAsia="MS Mincho" w:hAnsi="Arial Regular" w:cs="Arial Regular"/>
          <w:lang w:eastAsia="ja-JP"/>
        </w:rPr>
        <w:t xml:space="preserve"> Primers of genes for </w:t>
      </w:r>
      <w:proofErr w:type="spellStart"/>
      <w:r>
        <w:rPr>
          <w:rFonts w:ascii="Arial Regular" w:eastAsia="MS Mincho" w:hAnsi="Arial Regular" w:cs="Arial Regular"/>
          <w:lang w:eastAsia="ja-JP"/>
        </w:rPr>
        <w:t>qRT</w:t>
      </w:r>
      <w:proofErr w:type="spellEnd"/>
      <w:r>
        <w:rPr>
          <w:rFonts w:ascii="Arial Regular" w:eastAsia="MS Mincho" w:hAnsi="Arial Regular" w:cs="Arial Regular"/>
          <w:lang w:eastAsia="ja-JP"/>
        </w:rPr>
        <w:t>-PCR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809"/>
        <w:gridCol w:w="3828"/>
        <w:gridCol w:w="3685"/>
      </w:tblGrid>
      <w:tr w:rsidR="00FF5A50" w14:paraId="712812ED" w14:textId="77777777">
        <w:trPr>
          <w:trHeight w:val="82"/>
        </w:trPr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8FBC92" w14:textId="77777777" w:rsidR="00FF5A50" w:rsidRDefault="000334CC">
            <w:pPr>
              <w:rPr>
                <w:rFonts w:ascii="Arial Regular" w:eastAsia="SimSun" w:hAnsi="Arial Regular" w:cs="Arial Regular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Gene name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41F20C" w14:textId="77777777" w:rsidR="00FF5A50" w:rsidRDefault="000334CC">
            <w:pPr>
              <w:rPr>
                <w:rFonts w:ascii="Arial Regular" w:eastAsia="SimSun" w:hAnsi="Arial Regular" w:cs="Arial Regular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Forward</w:t>
            </w:r>
            <w:r>
              <w:rPr>
                <w:rFonts w:ascii="Arial Regular" w:eastAsia="SimSun" w:hAnsi="Arial Regular" w:cs="Arial Regular"/>
                <w:sz w:val="20"/>
                <w:lang w:val="en-GB" w:eastAsia="zh-CN"/>
              </w:rPr>
              <w:t xml:space="preserve"> </w:t>
            </w: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Premier (from 5’-3')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EF9B5D" w14:textId="77777777" w:rsidR="00FF5A50" w:rsidRDefault="000334CC">
            <w:pPr>
              <w:rPr>
                <w:rFonts w:ascii="Arial Regular" w:eastAsia="SimSun" w:hAnsi="Arial Regular" w:cs="Arial Regular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Reverse Premier</w:t>
            </w: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（</w:t>
            </w: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from 5’-3'</w:t>
            </w:r>
            <w:r>
              <w:rPr>
                <w:rFonts w:ascii="Arial Regular" w:eastAsia="SimSun" w:hAnsi="Arial Regular" w:cs="Arial Regular"/>
                <w:sz w:val="20"/>
                <w:lang w:eastAsia="zh-CN"/>
              </w:rPr>
              <w:t>）</w:t>
            </w:r>
          </w:p>
        </w:tc>
      </w:tr>
      <w:tr w:rsidR="00FF5A50" w14:paraId="6CC5AD0F" w14:textId="77777777">
        <w:tc>
          <w:tcPr>
            <w:tcW w:w="1809" w:type="dxa"/>
            <w:tcBorders>
              <w:top w:val="single" w:sz="4" w:space="0" w:color="000000"/>
            </w:tcBorders>
            <w:shd w:val="clear" w:color="auto" w:fill="auto"/>
          </w:tcPr>
          <w:p w14:paraId="296B0DA1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</w:t>
            </w:r>
            <w:r>
              <w:rPr>
                <w:rFonts w:ascii="Arial Regular" w:eastAsia="SimSun" w:hAnsi="Arial Regular" w:cs="Arial Regular"/>
                <w:kern w:val="10"/>
                <w:sz w:val="20"/>
                <w:lang w:val="en-GB" w:eastAsia="zh-CN"/>
              </w:rPr>
              <w:t xml:space="preserve"> </w:t>
            </w: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GAPDH</w:t>
            </w:r>
          </w:p>
        </w:tc>
        <w:tc>
          <w:tcPr>
            <w:tcW w:w="3828" w:type="dxa"/>
            <w:tcBorders>
              <w:top w:val="single" w:sz="4" w:space="0" w:color="000000"/>
            </w:tcBorders>
            <w:shd w:val="clear" w:color="auto" w:fill="auto"/>
          </w:tcPr>
          <w:p w14:paraId="0AF692F6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GGAGCGAGATCCCTCCAAAAT</w:t>
            </w:r>
          </w:p>
        </w:tc>
        <w:tc>
          <w:tcPr>
            <w:tcW w:w="3685" w:type="dxa"/>
            <w:tcBorders>
              <w:top w:val="single" w:sz="4" w:space="0" w:color="000000"/>
            </w:tcBorders>
            <w:shd w:val="clear" w:color="auto" w:fill="auto"/>
          </w:tcPr>
          <w:p w14:paraId="3070A70F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GGCTGTTGTCATACTTCTCATGG</w:t>
            </w:r>
          </w:p>
        </w:tc>
      </w:tr>
      <w:tr w:rsidR="00FF5A50" w14:paraId="17416899" w14:textId="77777777">
        <w:tc>
          <w:tcPr>
            <w:tcW w:w="1809" w:type="dxa"/>
            <w:shd w:val="clear" w:color="auto" w:fill="auto"/>
          </w:tcPr>
          <w:p w14:paraId="768D04A5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DSPP</w:t>
            </w:r>
          </w:p>
        </w:tc>
        <w:tc>
          <w:tcPr>
            <w:tcW w:w="3828" w:type="dxa"/>
            <w:shd w:val="clear" w:color="auto" w:fill="auto"/>
          </w:tcPr>
          <w:p w14:paraId="1AF812DF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AAAGTGGTGTCCTGGTGCAT</w:t>
            </w:r>
          </w:p>
        </w:tc>
        <w:tc>
          <w:tcPr>
            <w:tcW w:w="3685" w:type="dxa"/>
            <w:shd w:val="clear" w:color="auto" w:fill="auto"/>
          </w:tcPr>
          <w:p w14:paraId="39F8C243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CCTGGATGCCATTTGCTGTG</w:t>
            </w:r>
          </w:p>
        </w:tc>
      </w:tr>
      <w:tr w:rsidR="00FF5A50" w14:paraId="2FABA48B" w14:textId="77777777">
        <w:tc>
          <w:tcPr>
            <w:tcW w:w="1809" w:type="dxa"/>
            <w:shd w:val="clear" w:color="auto" w:fill="auto"/>
          </w:tcPr>
          <w:p w14:paraId="43566A68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DMP1</w:t>
            </w:r>
          </w:p>
        </w:tc>
        <w:tc>
          <w:tcPr>
            <w:tcW w:w="3828" w:type="dxa"/>
            <w:shd w:val="clear" w:color="auto" w:fill="auto"/>
          </w:tcPr>
          <w:p w14:paraId="653CF3CB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TTCCTCTTTGAGAACATCAACCTG</w:t>
            </w:r>
          </w:p>
        </w:tc>
        <w:tc>
          <w:tcPr>
            <w:tcW w:w="3685" w:type="dxa"/>
            <w:shd w:val="clear" w:color="auto" w:fill="auto"/>
          </w:tcPr>
          <w:p w14:paraId="6E618EAE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ACTCACTGCTCTCCAAGGGT</w:t>
            </w:r>
          </w:p>
        </w:tc>
      </w:tr>
      <w:tr w:rsidR="00FF5A50" w14:paraId="46A535BC" w14:textId="77777777">
        <w:trPr>
          <w:trHeight w:val="612"/>
        </w:trPr>
        <w:tc>
          <w:tcPr>
            <w:tcW w:w="1809" w:type="dxa"/>
            <w:shd w:val="clear" w:color="auto" w:fill="auto"/>
          </w:tcPr>
          <w:p w14:paraId="66D441BC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BSP</w:t>
            </w:r>
          </w:p>
        </w:tc>
        <w:tc>
          <w:tcPr>
            <w:tcW w:w="3828" w:type="dxa"/>
            <w:shd w:val="clear" w:color="auto" w:fill="auto"/>
          </w:tcPr>
          <w:p w14:paraId="77EAAFF2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CACTGGAGCCAATGCAGAAGA</w:t>
            </w:r>
          </w:p>
        </w:tc>
        <w:tc>
          <w:tcPr>
            <w:tcW w:w="3685" w:type="dxa"/>
            <w:shd w:val="clear" w:color="auto" w:fill="auto"/>
          </w:tcPr>
          <w:p w14:paraId="016CD147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TGGTGGGGTTGTAGGTTCAAA</w:t>
            </w:r>
          </w:p>
        </w:tc>
      </w:tr>
      <w:tr w:rsidR="00FF5A50" w14:paraId="510AE1B7" w14:textId="77777777">
        <w:tc>
          <w:tcPr>
            <w:tcW w:w="1809" w:type="dxa"/>
            <w:shd w:val="clear" w:color="auto" w:fill="auto"/>
          </w:tcPr>
          <w:p w14:paraId="4B0B35D4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ALP</w:t>
            </w:r>
          </w:p>
        </w:tc>
        <w:tc>
          <w:tcPr>
            <w:tcW w:w="3828" w:type="dxa"/>
            <w:shd w:val="clear" w:color="auto" w:fill="auto"/>
          </w:tcPr>
          <w:p w14:paraId="081CE4BB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ATCTTCCTGGGCGATGGGAT</w:t>
            </w:r>
          </w:p>
        </w:tc>
        <w:tc>
          <w:tcPr>
            <w:tcW w:w="3685" w:type="dxa"/>
            <w:shd w:val="clear" w:color="auto" w:fill="auto"/>
          </w:tcPr>
          <w:p w14:paraId="577F7DD3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CCACATATGGGAAGCGGTCC</w:t>
            </w:r>
          </w:p>
        </w:tc>
      </w:tr>
      <w:tr w:rsidR="00FF5A50" w14:paraId="7D929EBE" w14:textId="77777777">
        <w:tc>
          <w:tcPr>
            <w:tcW w:w="1809" w:type="dxa"/>
            <w:shd w:val="clear" w:color="auto" w:fill="auto"/>
          </w:tcPr>
          <w:p w14:paraId="2982100F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Runx2</w:t>
            </w:r>
          </w:p>
        </w:tc>
        <w:tc>
          <w:tcPr>
            <w:tcW w:w="3828" w:type="dxa"/>
            <w:shd w:val="clear" w:color="auto" w:fill="auto"/>
          </w:tcPr>
          <w:p w14:paraId="7DAEDC79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CACTGGCGCTGCAACAAGA</w:t>
            </w:r>
          </w:p>
        </w:tc>
        <w:tc>
          <w:tcPr>
            <w:tcW w:w="3685" w:type="dxa"/>
            <w:shd w:val="clear" w:color="auto" w:fill="auto"/>
          </w:tcPr>
          <w:p w14:paraId="384D03AC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CATTCCGGAGCTCAGCAGAATAA</w:t>
            </w:r>
          </w:p>
        </w:tc>
      </w:tr>
      <w:tr w:rsidR="00FF5A50" w14:paraId="673A2114" w14:textId="77777777">
        <w:tc>
          <w:tcPr>
            <w:tcW w:w="1809" w:type="dxa"/>
            <w:shd w:val="clear" w:color="auto" w:fill="auto"/>
          </w:tcPr>
          <w:p w14:paraId="7CE0E73D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OPN</w:t>
            </w:r>
          </w:p>
        </w:tc>
        <w:tc>
          <w:tcPr>
            <w:tcW w:w="3828" w:type="dxa"/>
            <w:shd w:val="clear" w:color="auto" w:fill="auto"/>
          </w:tcPr>
          <w:p w14:paraId="5B14180E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GAAGTTCTGAGGAAAAGCAGC</w:t>
            </w:r>
          </w:p>
        </w:tc>
        <w:tc>
          <w:tcPr>
            <w:tcW w:w="3685" w:type="dxa"/>
            <w:shd w:val="clear" w:color="auto" w:fill="auto"/>
          </w:tcPr>
          <w:p w14:paraId="2CEBA588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GGACTTACTTGGAAGGGTCTCT</w:t>
            </w:r>
          </w:p>
        </w:tc>
      </w:tr>
      <w:tr w:rsidR="00FF5A50" w14:paraId="02626D28" w14:textId="77777777">
        <w:tc>
          <w:tcPr>
            <w:tcW w:w="1809" w:type="dxa"/>
            <w:shd w:val="clear" w:color="auto" w:fill="auto"/>
          </w:tcPr>
          <w:p w14:paraId="3C13F1D4" w14:textId="77777777" w:rsidR="00FF5A50" w:rsidRDefault="000334CC">
            <w:pPr>
              <w:rPr>
                <w:rFonts w:ascii="Arial Regular" w:eastAsia="SimSun" w:hAnsi="Arial Regular" w:cs="Arial Regular"/>
                <w:sz w:val="20"/>
              </w:rPr>
            </w:pPr>
            <w:r>
              <w:rPr>
                <w:rFonts w:ascii="Arial Regular" w:eastAsia="SimSun" w:hAnsi="Arial Regular" w:cs="Arial Regular"/>
                <w:sz w:val="20"/>
              </w:rPr>
              <w:t>Human IL-1β</w:t>
            </w:r>
          </w:p>
        </w:tc>
        <w:tc>
          <w:tcPr>
            <w:tcW w:w="3828" w:type="dxa"/>
            <w:shd w:val="clear" w:color="auto" w:fill="auto"/>
          </w:tcPr>
          <w:p w14:paraId="64312BA1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TGGCTTATTACAGTGGCAATGAGGATG</w:t>
            </w:r>
          </w:p>
        </w:tc>
        <w:tc>
          <w:tcPr>
            <w:tcW w:w="3685" w:type="dxa"/>
            <w:shd w:val="clear" w:color="auto" w:fill="auto"/>
          </w:tcPr>
          <w:p w14:paraId="4D63A29E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TGTAGTGGTGGTCGGAGATTCGTAG</w:t>
            </w:r>
          </w:p>
        </w:tc>
      </w:tr>
      <w:tr w:rsidR="00FF5A50" w14:paraId="473D7877" w14:textId="77777777">
        <w:tc>
          <w:tcPr>
            <w:tcW w:w="1809" w:type="dxa"/>
            <w:shd w:val="clear" w:color="auto" w:fill="auto"/>
          </w:tcPr>
          <w:p w14:paraId="15023E46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IL-6</w:t>
            </w:r>
          </w:p>
        </w:tc>
        <w:tc>
          <w:tcPr>
            <w:tcW w:w="3828" w:type="dxa"/>
            <w:shd w:val="clear" w:color="auto" w:fill="auto"/>
          </w:tcPr>
          <w:p w14:paraId="121BB364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GGTGTTGCCTGCTGCCTTCC</w:t>
            </w:r>
          </w:p>
        </w:tc>
        <w:tc>
          <w:tcPr>
            <w:tcW w:w="3685" w:type="dxa"/>
            <w:shd w:val="clear" w:color="auto" w:fill="auto"/>
          </w:tcPr>
          <w:p w14:paraId="4BBDB109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GTTCTGAAGAGGTGAGTGGCTGTC</w:t>
            </w:r>
          </w:p>
        </w:tc>
      </w:tr>
      <w:tr w:rsidR="00FF5A50" w14:paraId="157F59EC" w14:textId="77777777">
        <w:tc>
          <w:tcPr>
            <w:tcW w:w="1809" w:type="dxa"/>
            <w:shd w:val="clear" w:color="auto" w:fill="auto"/>
          </w:tcPr>
          <w:p w14:paraId="1C43510A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Human TNF-α</w:t>
            </w:r>
          </w:p>
        </w:tc>
        <w:tc>
          <w:tcPr>
            <w:tcW w:w="3828" w:type="dxa"/>
            <w:shd w:val="clear" w:color="auto" w:fill="auto"/>
          </w:tcPr>
          <w:p w14:paraId="5D889E02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CGTGGAGCTGGCCGAGGAG</w:t>
            </w:r>
          </w:p>
        </w:tc>
        <w:tc>
          <w:tcPr>
            <w:tcW w:w="3685" w:type="dxa"/>
            <w:shd w:val="clear" w:color="auto" w:fill="auto"/>
          </w:tcPr>
          <w:p w14:paraId="5D22A777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AGGAAGGAGAAGAGGCTGAGGAAC</w:t>
            </w:r>
          </w:p>
        </w:tc>
      </w:tr>
      <w:tr w:rsidR="00FF5A50" w14:paraId="588866CE" w14:textId="77777777">
        <w:tc>
          <w:tcPr>
            <w:tcW w:w="1809" w:type="dxa"/>
            <w:shd w:val="clear" w:color="auto" w:fill="auto"/>
          </w:tcPr>
          <w:p w14:paraId="51A97678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GADPH</w:t>
            </w:r>
          </w:p>
        </w:tc>
        <w:tc>
          <w:tcPr>
            <w:tcW w:w="3828" w:type="dxa"/>
            <w:shd w:val="clear" w:color="auto" w:fill="auto"/>
          </w:tcPr>
          <w:p w14:paraId="6D32BB39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AGGTCGGTGTGAACGGATTTG</w:t>
            </w:r>
          </w:p>
        </w:tc>
        <w:tc>
          <w:tcPr>
            <w:tcW w:w="3685" w:type="dxa"/>
            <w:shd w:val="clear" w:color="auto" w:fill="auto"/>
          </w:tcPr>
          <w:p w14:paraId="4E456D8C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GGGGTCGTTGATGGCAACA</w:t>
            </w:r>
          </w:p>
        </w:tc>
      </w:tr>
      <w:tr w:rsidR="00FF5A50" w14:paraId="41EB7CE3" w14:textId="77777777">
        <w:tc>
          <w:tcPr>
            <w:tcW w:w="1809" w:type="dxa"/>
            <w:shd w:val="clear" w:color="auto" w:fill="auto"/>
          </w:tcPr>
          <w:p w14:paraId="03DCC99A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IL-1β</w:t>
            </w:r>
          </w:p>
        </w:tc>
        <w:tc>
          <w:tcPr>
            <w:tcW w:w="3828" w:type="dxa"/>
            <w:shd w:val="clear" w:color="auto" w:fill="auto"/>
          </w:tcPr>
          <w:p w14:paraId="482EC77A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ATGAAGGGCTGCTTCCAAAC</w:t>
            </w:r>
          </w:p>
        </w:tc>
        <w:tc>
          <w:tcPr>
            <w:tcW w:w="3685" w:type="dxa"/>
            <w:shd w:val="clear" w:color="auto" w:fill="auto"/>
          </w:tcPr>
          <w:p w14:paraId="45A76571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TCTCCACAGCCACAATGAGT</w:t>
            </w:r>
          </w:p>
        </w:tc>
      </w:tr>
      <w:tr w:rsidR="00FF5A50" w14:paraId="473F4B9A" w14:textId="77777777">
        <w:tc>
          <w:tcPr>
            <w:tcW w:w="1809" w:type="dxa"/>
            <w:shd w:val="clear" w:color="auto" w:fill="auto"/>
          </w:tcPr>
          <w:p w14:paraId="0222EC55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IL-6</w:t>
            </w:r>
          </w:p>
        </w:tc>
        <w:tc>
          <w:tcPr>
            <w:tcW w:w="3828" w:type="dxa"/>
            <w:shd w:val="clear" w:color="auto" w:fill="auto"/>
          </w:tcPr>
          <w:p w14:paraId="10D12085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GGAGCCCACCAAGAACGATA</w:t>
            </w:r>
          </w:p>
        </w:tc>
        <w:tc>
          <w:tcPr>
            <w:tcW w:w="3685" w:type="dxa"/>
            <w:shd w:val="clear" w:color="auto" w:fill="auto"/>
          </w:tcPr>
          <w:p w14:paraId="41D9452B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ACCAGCATCAGTCCCAAGAA</w:t>
            </w:r>
          </w:p>
        </w:tc>
      </w:tr>
      <w:tr w:rsidR="00FF5A50" w14:paraId="4FA4FB16" w14:textId="77777777">
        <w:tc>
          <w:tcPr>
            <w:tcW w:w="1809" w:type="dxa"/>
            <w:shd w:val="clear" w:color="auto" w:fill="auto"/>
          </w:tcPr>
          <w:p w14:paraId="624429A3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TNF-α</w:t>
            </w:r>
          </w:p>
        </w:tc>
        <w:tc>
          <w:tcPr>
            <w:tcW w:w="3828" w:type="dxa"/>
            <w:shd w:val="clear" w:color="auto" w:fill="auto"/>
          </w:tcPr>
          <w:p w14:paraId="6BFE321F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CTCATGCACCACCATCAAGG</w:t>
            </w:r>
          </w:p>
        </w:tc>
        <w:tc>
          <w:tcPr>
            <w:tcW w:w="3685" w:type="dxa"/>
            <w:shd w:val="clear" w:color="auto" w:fill="auto"/>
          </w:tcPr>
          <w:p w14:paraId="11D5BC49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ACCTGACCACTCTCCCTTTG</w:t>
            </w:r>
          </w:p>
        </w:tc>
      </w:tr>
      <w:tr w:rsidR="00FF5A50" w14:paraId="3EE8597E" w14:textId="77777777">
        <w:tc>
          <w:tcPr>
            <w:tcW w:w="1809" w:type="dxa"/>
            <w:shd w:val="clear" w:color="auto" w:fill="auto"/>
          </w:tcPr>
          <w:p w14:paraId="0741482C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IL-10</w:t>
            </w:r>
          </w:p>
        </w:tc>
        <w:tc>
          <w:tcPr>
            <w:tcW w:w="3828" w:type="dxa"/>
            <w:shd w:val="clear" w:color="auto" w:fill="auto"/>
          </w:tcPr>
          <w:p w14:paraId="6E7A76E8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CTGGACAACATACTGCTAACCG</w:t>
            </w:r>
          </w:p>
        </w:tc>
        <w:tc>
          <w:tcPr>
            <w:tcW w:w="3685" w:type="dxa"/>
            <w:shd w:val="clear" w:color="auto" w:fill="auto"/>
          </w:tcPr>
          <w:p w14:paraId="6B308196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GGGCATCACTTCTACCAGGTAA</w:t>
            </w:r>
          </w:p>
        </w:tc>
      </w:tr>
      <w:tr w:rsidR="00FF5A50" w14:paraId="18F2C5D2" w14:textId="77777777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</w:tcPr>
          <w:p w14:paraId="72BE164E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Mouse Arg-1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  <w:shd w:val="clear" w:color="auto" w:fill="auto"/>
          </w:tcPr>
          <w:p w14:paraId="016A9EE2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TGGCTTGCGAGACGTAGAC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auto"/>
          </w:tcPr>
          <w:p w14:paraId="725DF0FB" w14:textId="77777777" w:rsidR="00FF5A50" w:rsidRDefault="000334CC">
            <w:pP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</w:pPr>
            <w:r>
              <w:rPr>
                <w:rFonts w:ascii="Arial Regular" w:eastAsia="SimSun" w:hAnsi="Arial Regular" w:cs="Arial Regular"/>
                <w:kern w:val="10"/>
                <w:sz w:val="20"/>
                <w:lang w:eastAsia="zh-CN"/>
              </w:rPr>
              <w:t>GCTCAGGTGAATCGGCCTTT</w:t>
            </w:r>
          </w:p>
        </w:tc>
      </w:tr>
    </w:tbl>
    <w:p w14:paraId="349BD93D" w14:textId="77777777" w:rsidR="00FF5A50" w:rsidRDefault="00FF5A50">
      <w:pPr>
        <w:spacing w:line="480" w:lineRule="auto"/>
        <w:jc w:val="left"/>
        <w:rPr>
          <w:rFonts w:ascii="Arial Regular" w:hAnsi="Arial Regular" w:cs="Arial Regular"/>
        </w:rPr>
      </w:pPr>
    </w:p>
    <w:sectPr w:rsidR="00FF5A50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40DE4" w14:textId="77777777" w:rsidR="00437426" w:rsidRDefault="00437426">
      <w:pPr>
        <w:spacing w:after="0"/>
      </w:pPr>
      <w:r>
        <w:separator/>
      </w:r>
    </w:p>
  </w:endnote>
  <w:endnote w:type="continuationSeparator" w:id="0">
    <w:p w14:paraId="190957F3" w14:textId="77777777" w:rsidR="00437426" w:rsidRDefault="004374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auto"/>
    <w:pitch w:val="default"/>
    <w:sig w:usb0="E00002FF" w:usb1="5000205A" w:usb2="00000000" w:usb3="00000000" w:csb0="2000019F" w:csb1="4F01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苹方-简"/>
    <w:charset w:val="00"/>
    <w:family w:val="roman"/>
    <w:pitch w:val="default"/>
    <w:sig w:usb0="00000000" w:usb1="00000000" w:usb2="00000000" w:usb3="00000000" w:csb0="0000019F" w:csb1="00000000"/>
  </w:font>
  <w:font w:name="Minion Pro">
    <w:altName w:val="苹方-简"/>
    <w:charset w:val="00"/>
    <w:family w:val="roman"/>
    <w:pitch w:val="default"/>
    <w:sig w:usb0="00000000" w:usb1="00000000" w:usb2="00000000" w:usb3="00000000" w:csb0="0000009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3A633" w14:textId="77777777" w:rsidR="00FF5A50" w:rsidRDefault="00FF5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83158" w14:textId="77777777" w:rsidR="00FF5A50" w:rsidRDefault="000334C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F9C73C" wp14:editId="075CF53C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290e4c73877c7bbd814640f1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38A743" w14:textId="77777777" w:rsidR="00FF5A50" w:rsidRDefault="000334CC">
                          <w:pPr>
                            <w:spacing w:after="0"/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MSIPCM290e4c73877c7bbd814640f1" o:spid="_x0000_s1026" o:spt="202" alt="{&quot;HashCode&quot;:-1348403003,&quot;Height&quot;:841.0,&quot;Width&quot;:595.0,&quot;Placement&quot;:&quot;Footer&quot;,&quot;Index&quot;:&quot;Primary&quot;,&quot;Section&quot;:1,&quot;Top&quot;:0.0,&quot;Left&quot;:0.0}" type="#_x0000_t202" style="position:absolute;left:0pt;margin-left:0pt;margin-top:806.1pt;height:20.75pt;width:595.3pt;mso-position-horizontal-relative:page;mso-position-vertical-relative:page;z-index:251659264;v-text-anchor:bottom;mso-width-relative:page;mso-height-relative:page;" filled="f" stroked="f" coordsize="21600,21600" o:allowincell="f" o:gfxdata="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WAAAAZHJzL1BLAQIUABQAAAAIAIdO4kDLtNoB2AAAAAsB&#10;AAAPAAAAAAAAAAEAIAAAADgAAABkcnMvZG93bnJldi54bWxQSwECFAAUAAAACACHTuJA/CtpTrAC&#10;AABcBQAADgAAAAAAAAABACAAAAA9AQAAZHJzL2Uyb0RvYy54bWxQSwUGAAAAAAYABgBZAQAAXwYA&#10;AAAA&#10;">
              <v:fill on="f" focussize="0,0"/>
              <v:stroke on="f" weight="0.5pt"/>
              <v:imagedata o:title=""/>
              <o:lock v:ext="edit" aspectratio="f"/>
              <v:textbox inset="20pt,0mm,2.54mm,0mm">
                <w:txbxContent>
                  <w:p>
                    <w:pPr>
                      <w:spacing w:after="0"/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  <w:sdt>
      <w:sdtPr>
        <w:id w:val="-1"/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sdtContent>
    </w:sdt>
  </w:p>
  <w:p w14:paraId="05F9CF2B" w14:textId="77777777" w:rsidR="00FF5A50" w:rsidRDefault="00FF5A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4270F" w14:textId="77777777" w:rsidR="00FF5A50" w:rsidRDefault="00FF5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DF0B5" w14:textId="77777777" w:rsidR="00437426" w:rsidRDefault="00437426">
      <w:pPr>
        <w:spacing w:after="0"/>
      </w:pPr>
      <w:r>
        <w:separator/>
      </w:r>
    </w:p>
  </w:footnote>
  <w:footnote w:type="continuationSeparator" w:id="0">
    <w:p w14:paraId="46D079A4" w14:textId="77777777" w:rsidR="00437426" w:rsidRDefault="004374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DA03E" w14:textId="77777777" w:rsidR="00FF5A50" w:rsidRDefault="00FF5A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7D78D" w14:textId="77777777" w:rsidR="00FF5A50" w:rsidRDefault="00FF5A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AIlNzM2MLExNLMyUdpeDU4uLM/DyQAvNaAADZB6IsAAAA"/>
  </w:docVars>
  <w:rsids>
    <w:rsidRoot w:val="005A56F2"/>
    <w:rsid w:val="D7FF2857"/>
    <w:rsid w:val="E9E56E58"/>
    <w:rsid w:val="000307F8"/>
    <w:rsid w:val="000334CC"/>
    <w:rsid w:val="00034C73"/>
    <w:rsid w:val="00053AD0"/>
    <w:rsid w:val="00062209"/>
    <w:rsid w:val="000A21C5"/>
    <w:rsid w:val="000C204A"/>
    <w:rsid w:val="001144C0"/>
    <w:rsid w:val="00126B11"/>
    <w:rsid w:val="001A51EB"/>
    <w:rsid w:val="001D4287"/>
    <w:rsid w:val="001D7772"/>
    <w:rsid w:val="00222C61"/>
    <w:rsid w:val="00235A37"/>
    <w:rsid w:val="00252018"/>
    <w:rsid w:val="00275487"/>
    <w:rsid w:val="002D1362"/>
    <w:rsid w:val="00307E5A"/>
    <w:rsid w:val="00364323"/>
    <w:rsid w:val="0036729B"/>
    <w:rsid w:val="00376919"/>
    <w:rsid w:val="003B6CA7"/>
    <w:rsid w:val="004262F6"/>
    <w:rsid w:val="00437426"/>
    <w:rsid w:val="004B175E"/>
    <w:rsid w:val="004F636A"/>
    <w:rsid w:val="00522CA3"/>
    <w:rsid w:val="00535046"/>
    <w:rsid w:val="00542A56"/>
    <w:rsid w:val="00543DAC"/>
    <w:rsid w:val="00556FE3"/>
    <w:rsid w:val="00591B3B"/>
    <w:rsid w:val="005A56F2"/>
    <w:rsid w:val="005B0107"/>
    <w:rsid w:val="005B0E0E"/>
    <w:rsid w:val="005F496E"/>
    <w:rsid w:val="005F5596"/>
    <w:rsid w:val="0060174E"/>
    <w:rsid w:val="00613957"/>
    <w:rsid w:val="00614773"/>
    <w:rsid w:val="00672C3C"/>
    <w:rsid w:val="006760EC"/>
    <w:rsid w:val="00684247"/>
    <w:rsid w:val="00696E1E"/>
    <w:rsid w:val="006A6879"/>
    <w:rsid w:val="006C1423"/>
    <w:rsid w:val="006C72DD"/>
    <w:rsid w:val="006F2030"/>
    <w:rsid w:val="00710A8E"/>
    <w:rsid w:val="00713FBE"/>
    <w:rsid w:val="00724807"/>
    <w:rsid w:val="00792B20"/>
    <w:rsid w:val="007B1C4B"/>
    <w:rsid w:val="007B29D2"/>
    <w:rsid w:val="007F023B"/>
    <w:rsid w:val="007F1320"/>
    <w:rsid w:val="0082536D"/>
    <w:rsid w:val="0085259B"/>
    <w:rsid w:val="00863F0B"/>
    <w:rsid w:val="00877E60"/>
    <w:rsid w:val="00883B8B"/>
    <w:rsid w:val="0089036E"/>
    <w:rsid w:val="00890EAC"/>
    <w:rsid w:val="008A36FB"/>
    <w:rsid w:val="008C55C2"/>
    <w:rsid w:val="008D0C55"/>
    <w:rsid w:val="008E09FD"/>
    <w:rsid w:val="00901181"/>
    <w:rsid w:val="009219B9"/>
    <w:rsid w:val="00950E28"/>
    <w:rsid w:val="00951169"/>
    <w:rsid w:val="009511C3"/>
    <w:rsid w:val="00956AEF"/>
    <w:rsid w:val="00974BA8"/>
    <w:rsid w:val="0098017E"/>
    <w:rsid w:val="009917A8"/>
    <w:rsid w:val="009B4387"/>
    <w:rsid w:val="009D5666"/>
    <w:rsid w:val="009E28B9"/>
    <w:rsid w:val="009E7B20"/>
    <w:rsid w:val="009F07DA"/>
    <w:rsid w:val="00A546F3"/>
    <w:rsid w:val="00A550FC"/>
    <w:rsid w:val="00A7301C"/>
    <w:rsid w:val="00A76363"/>
    <w:rsid w:val="00AA028B"/>
    <w:rsid w:val="00AA729F"/>
    <w:rsid w:val="00AE4A75"/>
    <w:rsid w:val="00AF009F"/>
    <w:rsid w:val="00B07C6C"/>
    <w:rsid w:val="00B13AE2"/>
    <w:rsid w:val="00B15FD9"/>
    <w:rsid w:val="00B1778E"/>
    <w:rsid w:val="00B27666"/>
    <w:rsid w:val="00B32D19"/>
    <w:rsid w:val="00B60D56"/>
    <w:rsid w:val="00B74894"/>
    <w:rsid w:val="00B77AE6"/>
    <w:rsid w:val="00BB4F53"/>
    <w:rsid w:val="00BB63DA"/>
    <w:rsid w:val="00BC36B9"/>
    <w:rsid w:val="00BE39BF"/>
    <w:rsid w:val="00C04915"/>
    <w:rsid w:val="00C1655C"/>
    <w:rsid w:val="00C37607"/>
    <w:rsid w:val="00C42CC1"/>
    <w:rsid w:val="00C46368"/>
    <w:rsid w:val="00C64760"/>
    <w:rsid w:val="00C93A83"/>
    <w:rsid w:val="00CB195C"/>
    <w:rsid w:val="00D06E4E"/>
    <w:rsid w:val="00D1235D"/>
    <w:rsid w:val="00E04B45"/>
    <w:rsid w:val="00E37686"/>
    <w:rsid w:val="00E41DB4"/>
    <w:rsid w:val="00E45EB6"/>
    <w:rsid w:val="00E96EAF"/>
    <w:rsid w:val="00EC446A"/>
    <w:rsid w:val="00EC5A53"/>
    <w:rsid w:val="00EF5E46"/>
    <w:rsid w:val="00F07E00"/>
    <w:rsid w:val="00F808D4"/>
    <w:rsid w:val="00FA3ACD"/>
    <w:rsid w:val="00FB2D7D"/>
    <w:rsid w:val="00FC2EB0"/>
    <w:rsid w:val="00FF5A50"/>
    <w:rsid w:val="3ECFF779"/>
    <w:rsid w:val="7D7F10CE"/>
    <w:rsid w:val="7DFD9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C589B"/>
  <w15:docId w15:val="{E56B346A-E21D-47DC-B49B-6FB59179F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SimSun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eastAsiaTheme="minorEastAsia" w:hAnsi="Times" w:cs="Times New Roman"/>
      <w:sz w:val="24"/>
      <w:u w:color="FF000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jc w:val="left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60" w:after="260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60" w:after="260"/>
      <w:jc w:val="left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40" w:after="240"/>
      <w:jc w:val="left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jc w:val="center"/>
    </w:pPr>
    <w:rPr>
      <w:b/>
      <w:sz w:val="40"/>
    </w:rPr>
  </w:style>
  <w:style w:type="paragraph" w:styleId="BalloonText">
    <w:name w:val="Balloon Text"/>
    <w:basedOn w:val="Normal"/>
    <w:link w:val="BalloonTextChar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 w:val="0"/>
      <w:tabs>
        <w:tab w:val="right" w:leader="dot" w:pos="8296"/>
      </w:tabs>
      <w:spacing w:after="0" w:line="360" w:lineRule="auto"/>
      <w:ind w:firstLineChars="200" w:firstLine="482"/>
    </w:pPr>
    <w:rPr>
      <w:rFonts w:ascii="Times New Roman" w:eastAsia="SimSun" w:hAnsi="Times New Roman" w:cs="SimSun"/>
      <w:b/>
      <w:szCs w:val="24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60"/>
      <w:jc w:val="left"/>
      <w:outlineLvl w:val="2"/>
    </w:pPr>
    <w:rPr>
      <w:rFonts w:asciiTheme="minorHAnsi" w:hAnsiTheme="minorHAnsi" w:cstheme="minorBidi"/>
      <w:b/>
      <w:bCs/>
      <w:kern w:val="28"/>
      <w:szCs w:val="32"/>
    </w:rPr>
  </w:style>
  <w:style w:type="paragraph" w:styleId="FootnoteText">
    <w:name w:val="footnote text"/>
    <w:basedOn w:val="Normal"/>
    <w:next w:val="TFReferencesSection"/>
    <w:link w:val="FootnoteTextChar"/>
    <w:semiHidden/>
    <w:qFormat/>
  </w:style>
  <w:style w:type="paragraph" w:customStyle="1" w:styleId="TFReferencesSection">
    <w:name w:val="TF_References_Section"/>
    <w:basedOn w:val="Normal"/>
    <w:qFormat/>
    <w:pPr>
      <w:spacing w:line="480" w:lineRule="auto"/>
      <w:ind w:firstLine="187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/>
      <w:jc w:val="center"/>
    </w:pPr>
    <w:rPr>
      <w:rFonts w:asciiTheme="majorHAnsi" w:hAnsiTheme="majorHAnsi" w:cstheme="majorBidi"/>
      <w:b/>
      <w:bCs/>
      <w:sz w:val="32"/>
      <w:szCs w:val="32"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30"/>
      <w:szCs w:val="44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hAnsiTheme="majorHAnsi" w:cstheme="majorBidi"/>
      <w:b/>
      <w:bCs/>
      <w:sz w:val="28"/>
      <w:szCs w:val="32"/>
      <w:u w:val="none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inorHAnsi" w:hAnsiTheme="minorHAnsi" w:cstheme="minorBidi"/>
      <w:b/>
      <w:bCs/>
      <w:kern w:val="28"/>
      <w:szCs w:val="32"/>
      <w:u w:val="none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hAnsiTheme="majorHAnsi" w:cstheme="majorBidi"/>
      <w:b/>
      <w:bCs/>
      <w:sz w:val="32"/>
      <w:szCs w:val="32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b/>
      <w:bCs/>
      <w:szCs w:val="32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hAnsiTheme="majorHAnsi" w:cstheme="majorBidi"/>
      <w:b/>
      <w:bCs/>
      <w:szCs w:val="28"/>
      <w:u w:val="none"/>
    </w:rPr>
  </w:style>
  <w:style w:type="paragraph" w:customStyle="1" w:styleId="AFTitleRunningHead">
    <w:name w:val="AF_Title_Running_Head"/>
    <w:basedOn w:val="Normal"/>
    <w:next w:val="Normal"/>
    <w:qFormat/>
    <w:pPr>
      <w:spacing w:line="480" w:lineRule="auto"/>
    </w:pPr>
  </w:style>
  <w:style w:type="paragraph" w:customStyle="1" w:styleId="AIReceivedDate">
    <w:name w:val="AI_Received_Date"/>
    <w:basedOn w:val="Normal"/>
    <w:next w:val="Normal"/>
    <w:qFormat/>
    <w:pPr>
      <w:spacing w:after="240" w:line="480" w:lineRule="auto"/>
    </w:pPr>
    <w:rPr>
      <w:b/>
    </w:rPr>
  </w:style>
  <w:style w:type="paragraph" w:customStyle="1" w:styleId="BATitle">
    <w:name w:val="BA_Title"/>
    <w:basedOn w:val="Normal"/>
    <w:next w:val="Normal"/>
    <w:qFormat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Normal"/>
    <w:qFormat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Normal"/>
    <w:qFormat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Normal"/>
    <w:qFormat/>
    <w:pPr>
      <w:spacing w:before="360" w:after="360" w:line="480" w:lineRule="auto"/>
    </w:pPr>
  </w:style>
  <w:style w:type="paragraph" w:customStyle="1" w:styleId="BEAuthorBiography">
    <w:name w:val="BE_Author_Biography"/>
    <w:basedOn w:val="Normal"/>
    <w:qFormat/>
    <w:pPr>
      <w:spacing w:line="480" w:lineRule="auto"/>
    </w:pPr>
  </w:style>
  <w:style w:type="paragraph" w:customStyle="1" w:styleId="BGKeywords">
    <w:name w:val="BG_Keywords"/>
    <w:basedOn w:val="Normal"/>
    <w:qFormat/>
    <w:pPr>
      <w:spacing w:line="480" w:lineRule="auto"/>
    </w:pPr>
  </w:style>
  <w:style w:type="paragraph" w:customStyle="1" w:styleId="BHBriefs">
    <w:name w:val="BH_Briefs"/>
    <w:basedOn w:val="Normal"/>
    <w:qFormat/>
    <w:pPr>
      <w:spacing w:line="480" w:lineRule="auto"/>
    </w:pPr>
  </w:style>
  <w:style w:type="paragraph" w:customStyle="1" w:styleId="BIEmailAddress">
    <w:name w:val="BI_Email_Address"/>
    <w:basedOn w:val="Normal"/>
    <w:next w:val="AIReceivedDate"/>
    <w:qFormat/>
    <w:pPr>
      <w:spacing w:line="480" w:lineRule="auto"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Symbol" w:eastAsiaTheme="minorEastAsia" w:hAnsi="Symbol" w:cs="Symbol"/>
      <w:color w:val="000000"/>
      <w:sz w:val="24"/>
      <w:szCs w:val="24"/>
      <w:u w:color="FF0000"/>
      <w:lang w:val="en-US" w:eastAsia="en-US"/>
    </w:rPr>
  </w:style>
  <w:style w:type="paragraph" w:customStyle="1" w:styleId="FAAuthorInfoSubtitle">
    <w:name w:val="FA_Author_Info_Subtitle"/>
    <w:basedOn w:val="Normal"/>
    <w:link w:val="FAAuthorInfoSubtitleChar"/>
    <w:qFormat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qFormat/>
    <w:rPr>
      <w:rFonts w:ascii="Times" w:eastAsiaTheme="minorEastAsia" w:hAnsi="Times" w:cs="Times New Roman"/>
      <w:b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qFormat/>
    <w:pPr>
      <w:spacing w:line="480" w:lineRule="auto"/>
    </w:pPr>
  </w:style>
  <w:style w:type="paragraph" w:customStyle="1" w:styleId="FCChartFootnote">
    <w:name w:val="FC_Chart_Footnote"/>
    <w:basedOn w:val="Normal"/>
    <w:next w:val="Normal"/>
    <w:qFormat/>
    <w:pPr>
      <w:ind w:firstLine="187"/>
    </w:pPr>
  </w:style>
  <w:style w:type="paragraph" w:customStyle="1" w:styleId="FDSchemeFootnote">
    <w:name w:val="FD_Scheme_Footnote"/>
    <w:basedOn w:val="Normal"/>
    <w:next w:val="Normal"/>
    <w:qFormat/>
    <w:pPr>
      <w:ind w:firstLine="187"/>
    </w:pPr>
  </w:style>
  <w:style w:type="paragraph" w:customStyle="1" w:styleId="FETableFootnote">
    <w:name w:val="FE_Table_Footnote"/>
    <w:basedOn w:val="Normal"/>
    <w:next w:val="Normal"/>
    <w:qFormat/>
    <w:pPr>
      <w:ind w:firstLine="187"/>
    </w:pPr>
  </w:style>
  <w:style w:type="paragraph" w:customStyle="1" w:styleId="SNSynopsisTOC">
    <w:name w:val="SN_Synopsis_TOC"/>
    <w:basedOn w:val="Normal"/>
    <w:qFormat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qFormat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qFormat/>
    <w:rPr>
      <w:rFonts w:ascii="Arno Pro" w:eastAsiaTheme="minorEastAsia" w:hAnsi="Arno Pro" w:cs="Times New Roman"/>
      <w:kern w:val="20"/>
      <w:sz w:val="18"/>
      <w:szCs w:val="20"/>
      <w:lang w:eastAsia="en-US"/>
    </w:rPr>
  </w:style>
  <w:style w:type="paragraph" w:customStyle="1" w:styleId="TAMainText">
    <w:name w:val="TA_Main_Text"/>
    <w:basedOn w:val="Normal"/>
    <w:qFormat/>
    <w:pPr>
      <w:spacing w:after="0" w:line="480" w:lineRule="auto"/>
      <w:ind w:firstLine="202"/>
    </w:pPr>
  </w:style>
  <w:style w:type="paragraph" w:customStyle="1" w:styleId="TCTableBody">
    <w:name w:val="TC_Table_Body"/>
    <w:basedOn w:val="Normal"/>
    <w:qFormat/>
  </w:style>
  <w:style w:type="paragraph" w:customStyle="1" w:styleId="TDAcknowledgments">
    <w:name w:val="TD_Acknowledgments"/>
    <w:basedOn w:val="Normal"/>
    <w:next w:val="Normal"/>
    <w:qFormat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qFormat/>
    <w:pPr>
      <w:spacing w:line="480" w:lineRule="auto"/>
      <w:ind w:firstLine="187"/>
    </w:pPr>
  </w:style>
  <w:style w:type="paragraph" w:customStyle="1" w:styleId="VAFigureCaption">
    <w:name w:val="VA_Figure_Caption"/>
    <w:basedOn w:val="Normal"/>
    <w:next w:val="Normal"/>
    <w:qFormat/>
    <w:pPr>
      <w:spacing w:line="480" w:lineRule="auto"/>
    </w:pPr>
  </w:style>
  <w:style w:type="paragraph" w:customStyle="1" w:styleId="VBChartTitle">
    <w:name w:val="VB_Chart_Title"/>
    <w:basedOn w:val="Normal"/>
    <w:next w:val="Normal"/>
    <w:qFormat/>
    <w:pPr>
      <w:spacing w:line="480" w:lineRule="auto"/>
    </w:pPr>
  </w:style>
  <w:style w:type="paragraph" w:customStyle="1" w:styleId="VCSchemeTitle">
    <w:name w:val="VC_Scheme_Title"/>
    <w:basedOn w:val="Normal"/>
    <w:next w:val="Normal"/>
    <w:qFormat/>
    <w:pPr>
      <w:spacing w:line="480" w:lineRule="auto"/>
    </w:pPr>
  </w:style>
  <w:style w:type="paragraph" w:customStyle="1" w:styleId="VDTableTitle">
    <w:name w:val="VD_Table_Title"/>
    <w:basedOn w:val="Normal"/>
    <w:next w:val="Normal"/>
    <w:qFormat/>
    <w:pPr>
      <w:spacing w:line="480" w:lineRule="auto"/>
    </w:pPr>
  </w:style>
  <w:style w:type="character" w:customStyle="1" w:styleId="FootnoteTextChar">
    <w:name w:val="Footnote Text Char"/>
    <w:basedOn w:val="DefaultParagraphFont"/>
    <w:link w:val="FootnoteText"/>
    <w:semiHidden/>
    <w:qFormat/>
    <w:rPr>
      <w:rFonts w:ascii="Times" w:eastAsiaTheme="minorEastAsia" w:hAnsi="Times" w:cs="Times New Roman"/>
      <w:szCs w:val="20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rFonts w:ascii="Tahoma" w:eastAsiaTheme="minorEastAsi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" w:eastAsiaTheme="minorEastAsia" w:hAnsi="Times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qFormat/>
    <w:rPr>
      <w:rFonts w:ascii="Times" w:eastAsiaTheme="minorEastAsia" w:hAnsi="Times" w:cs="Times New Roman"/>
      <w:b/>
      <w:sz w:val="4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" w:eastAsiaTheme="minorEastAsia" w:hAnsi="Times" w:cs="Times New Roman"/>
      <w:sz w:val="18"/>
      <w:szCs w:val="18"/>
      <w:lang w:eastAsia="en-US"/>
    </w:rPr>
  </w:style>
  <w:style w:type="paragraph" w:customStyle="1" w:styleId="AAAA">
    <w:name w:val="图说AAAA"/>
    <w:basedOn w:val="Normal"/>
    <w:link w:val="AAAAChar"/>
    <w:qFormat/>
    <w:pPr>
      <w:widowControl w:val="0"/>
      <w:topLinePunct/>
      <w:adjustRightInd w:val="0"/>
      <w:snapToGrid w:val="0"/>
      <w:spacing w:afterLines="80" w:after="249" w:line="200" w:lineRule="exact"/>
    </w:pPr>
    <w:rPr>
      <w:rFonts w:ascii="Minion Pro" w:eastAsia="SimSun" w:hAnsi="Minion Pro"/>
      <w:kern w:val="2"/>
      <w:sz w:val="16"/>
      <w:szCs w:val="16"/>
      <w:lang w:eastAsia="zh-CN"/>
    </w:rPr>
  </w:style>
  <w:style w:type="character" w:customStyle="1" w:styleId="AAAAChar">
    <w:name w:val="图说AAAA Char"/>
    <w:link w:val="AAAA"/>
    <w:qFormat/>
    <w:rPr>
      <w:rFonts w:ascii="Minion Pro" w:hAnsi="Minion Pro" w:cs="Times New Roman"/>
      <w:kern w:val="2"/>
      <w:sz w:val="16"/>
      <w:szCs w:val="16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麻辣烫 不辣</dc:creator>
  <cp:lastModifiedBy>Lee, Boon</cp:lastModifiedBy>
  <cp:revision>2</cp:revision>
  <dcterms:created xsi:type="dcterms:W3CDTF">2024-07-01T01:33:00Z</dcterms:created>
  <dcterms:modified xsi:type="dcterms:W3CDTF">2024-07-01T01:33:00Z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2023-02-19T21:30:41Z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27fdc32d-d873-4b9f-8f2e-ab37aebcc19f</vt:lpwstr>
  </property>
  <property fmtid="{D5CDD505-2E9C-101B-9397-08002B2CF9AE}" pid="8" name="MSIP_Label_2bbab825-a111-45e4-86a1-18cee0005896_ContentBits">
    <vt:lpwstr>2</vt:lpwstr>
  </property>
  <property fmtid="{D5CDD505-2E9C-101B-9397-08002B2CF9AE}" pid="9" name="KSOProductBuildVer">
    <vt:lpwstr>2052-6.4.0.8550</vt:lpwstr>
  </property>
  <property fmtid="{D5CDD505-2E9C-101B-9397-08002B2CF9AE}" pid="10" name="ICV">
    <vt:lpwstr>A39F3AE2C54078944C7AD0652BF7B37A_42</vt:lpwstr>
  </property>
</Properties>
</file>