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74CA9F" w14:textId="2CA62896" w:rsidR="00DD1B0F" w:rsidRDefault="00DD1B0F" w:rsidP="00DD1B0F">
      <w:pPr>
        <w:pStyle w:val="3"/>
        <w:spacing w:line="360" w:lineRule="auto"/>
        <w:ind w:firstLineChars="450" w:firstLine="949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Table </w:t>
      </w:r>
      <w:r>
        <w:rPr>
          <w:rFonts w:ascii="Times New Roman" w:hAnsi="Times New Roman"/>
          <w:b/>
        </w:rPr>
        <w:t>S</w:t>
      </w:r>
      <w:r>
        <w:rPr>
          <w:rFonts w:ascii="Times New Roman" w:hAnsi="Times New Roman"/>
          <w:b/>
        </w:rPr>
        <w:t>1. Liver hepatocellular carcinoma</w:t>
      </w:r>
      <w:r>
        <w:rPr>
          <w:b/>
        </w:rPr>
        <w:t>（</w:t>
      </w:r>
      <w:r>
        <w:rPr>
          <w:rFonts w:ascii="Times New Roman" w:hAnsi="Times New Roman"/>
          <w:b/>
          <w:color w:val="000000"/>
          <w:shd w:val="clear" w:color="auto" w:fill="FFFFFF"/>
        </w:rPr>
        <w:t>LIHC</w:t>
      </w:r>
      <w:r>
        <w:rPr>
          <w:b/>
        </w:rPr>
        <w:t>）</w:t>
      </w:r>
      <w:r>
        <w:rPr>
          <w:rFonts w:ascii="Times New Roman" w:hAnsi="Times New Roman"/>
          <w:b/>
        </w:rPr>
        <w:t>Dataset Information list.</w:t>
      </w:r>
    </w:p>
    <w:tbl>
      <w:tblPr>
        <w:tblW w:w="11238" w:type="dxa"/>
        <w:tblInd w:w="-1122" w:type="dxa"/>
        <w:tblLayout w:type="fixed"/>
        <w:tblLook w:val="04A0" w:firstRow="1" w:lastRow="0" w:firstColumn="1" w:lastColumn="0" w:noHBand="0" w:noVBand="1"/>
      </w:tblPr>
      <w:tblGrid>
        <w:gridCol w:w="2094"/>
        <w:gridCol w:w="2400"/>
        <w:gridCol w:w="2368"/>
        <w:gridCol w:w="2378"/>
        <w:gridCol w:w="1998"/>
      </w:tblGrid>
      <w:tr w:rsidR="00DD1B0F" w14:paraId="4AEBD381" w14:textId="77777777" w:rsidTr="00DD1B0F">
        <w:trPr>
          <w:trHeight w:val="320"/>
        </w:trPr>
        <w:tc>
          <w:tcPr>
            <w:tcW w:w="20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3B8DFFA4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kern w:val="0"/>
              </w:rPr>
            </w:pP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195142A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b/>
                <w:bCs/>
                <w:color w:val="000000"/>
                <w:kern w:val="0"/>
              </w:rPr>
            </w:pPr>
            <w:r>
              <w:rPr>
                <w:rFonts w:ascii="Times New Roman" w:hAnsi="Times New Roman"/>
              </w:rPr>
              <w:t>TCGA-LIHC</w:t>
            </w: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F336413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b/>
                <w:bCs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</w:rPr>
              <w:t>GSE25097</w:t>
            </w:r>
          </w:p>
        </w:tc>
        <w:tc>
          <w:tcPr>
            <w:tcW w:w="23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1931E6B" w14:textId="77777777" w:rsidR="00DD1B0F" w:rsidRDefault="00DD1B0F">
            <w:pPr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</w:rPr>
              <w:t>GSE46408</w:t>
            </w:r>
          </w:p>
        </w:tc>
        <w:tc>
          <w:tcPr>
            <w:tcW w:w="19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402CFD5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GSE84402</w:t>
            </w:r>
          </w:p>
        </w:tc>
      </w:tr>
      <w:tr w:rsidR="00DD1B0F" w14:paraId="35EBFA08" w14:textId="77777777" w:rsidTr="00DD1B0F">
        <w:trPr>
          <w:trHeight w:val="320"/>
        </w:trPr>
        <w:tc>
          <w:tcPr>
            <w:tcW w:w="209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541DCD62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Platform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</w:tcPr>
          <w:p w14:paraId="165D1A6C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</w:p>
        </w:tc>
        <w:tc>
          <w:tcPr>
            <w:tcW w:w="236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0CCB5157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</w:rPr>
              <w:t>GPL10687</w:t>
            </w:r>
          </w:p>
        </w:tc>
        <w:tc>
          <w:tcPr>
            <w:tcW w:w="237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6EFC419B" w14:textId="77777777" w:rsidR="00DD1B0F" w:rsidRDefault="00DD1B0F">
            <w:pPr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</w:rPr>
              <w:t>GPL4133</w:t>
            </w:r>
          </w:p>
        </w:tc>
        <w:tc>
          <w:tcPr>
            <w:tcW w:w="1998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5E6DD0B1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</w:rPr>
              <w:t>GPL570</w:t>
            </w:r>
          </w:p>
        </w:tc>
      </w:tr>
      <w:tr w:rsidR="00DD1B0F" w14:paraId="0C61D04E" w14:textId="77777777" w:rsidTr="00DD1B0F">
        <w:trPr>
          <w:trHeight w:val="313"/>
        </w:trPr>
        <w:tc>
          <w:tcPr>
            <w:tcW w:w="2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E3D5AE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Species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78946B6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Homo sapiens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6A6712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Homo sapiens</w:t>
            </w:r>
          </w:p>
        </w:tc>
        <w:tc>
          <w:tcPr>
            <w:tcW w:w="237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500E4CB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Homo sapiens</w:t>
            </w:r>
          </w:p>
        </w:tc>
        <w:tc>
          <w:tcPr>
            <w:tcW w:w="19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5635FC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Homo sapiens</w:t>
            </w:r>
          </w:p>
        </w:tc>
      </w:tr>
      <w:tr w:rsidR="00DD1B0F" w14:paraId="704412DF" w14:textId="77777777" w:rsidTr="00DD1B0F">
        <w:trPr>
          <w:trHeight w:val="313"/>
        </w:trPr>
        <w:tc>
          <w:tcPr>
            <w:tcW w:w="2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80E5F4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Samples in Normal group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027C29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50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D62056B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243</w:t>
            </w:r>
          </w:p>
        </w:tc>
        <w:tc>
          <w:tcPr>
            <w:tcW w:w="237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768928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6</w:t>
            </w:r>
          </w:p>
        </w:tc>
        <w:tc>
          <w:tcPr>
            <w:tcW w:w="19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78683F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14</w:t>
            </w:r>
          </w:p>
        </w:tc>
      </w:tr>
      <w:tr w:rsidR="00DD1B0F" w14:paraId="5DC7CCEB" w14:textId="77777777" w:rsidTr="00DD1B0F">
        <w:trPr>
          <w:trHeight w:val="313"/>
        </w:trPr>
        <w:tc>
          <w:tcPr>
            <w:tcW w:w="209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E94FAFB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Samples in LIHC group</w:t>
            </w:r>
          </w:p>
        </w:tc>
        <w:tc>
          <w:tcPr>
            <w:tcW w:w="240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46D66B2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374</w:t>
            </w:r>
          </w:p>
        </w:tc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40989B6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268</w:t>
            </w:r>
          </w:p>
        </w:tc>
        <w:tc>
          <w:tcPr>
            <w:tcW w:w="237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CF4FD28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6</w:t>
            </w:r>
          </w:p>
        </w:tc>
        <w:tc>
          <w:tcPr>
            <w:tcW w:w="1998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A0D2E7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14</w:t>
            </w:r>
          </w:p>
        </w:tc>
      </w:tr>
      <w:tr w:rsidR="00DD1B0F" w14:paraId="74E9B4F7" w14:textId="77777777" w:rsidTr="00DD1B0F">
        <w:trPr>
          <w:trHeight w:val="320"/>
        </w:trPr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50D4DE1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Reference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7A7189E6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</w:rPr>
            </w:pPr>
          </w:p>
        </w:tc>
        <w:tc>
          <w:tcPr>
            <w:tcW w:w="236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0C44299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</w:rPr>
              <w:t>[12]</w:t>
            </w:r>
          </w:p>
        </w:tc>
        <w:tc>
          <w:tcPr>
            <w:tcW w:w="237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43BE623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</w:rPr>
              <w:t>[7]</w:t>
            </w:r>
          </w:p>
        </w:tc>
        <w:tc>
          <w:tcPr>
            <w:tcW w:w="199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78F89E9C" w14:textId="77777777" w:rsidR="00DD1B0F" w:rsidRDefault="00DD1B0F">
            <w:pPr>
              <w:widowControl/>
              <w:spacing w:line="360" w:lineRule="auto"/>
              <w:rPr>
                <w:rFonts w:ascii="Times New Roman" w:hAnsi="Times New Roman"/>
                <w:vertAlign w:val="superscript"/>
              </w:rPr>
            </w:pPr>
            <w:r>
              <w:rPr>
                <w:rFonts w:ascii="Times New Roman" w:hAnsi="Times New Roman"/>
              </w:rPr>
              <w:t>[8]</w:t>
            </w:r>
          </w:p>
        </w:tc>
      </w:tr>
    </w:tbl>
    <w:p w14:paraId="44D04FF5" w14:textId="77777777" w:rsidR="00DD1B0F" w:rsidRDefault="00DD1B0F" w:rsidP="00DD1B0F">
      <w:pPr>
        <w:pStyle w:val="ListParagraph"/>
        <w:spacing w:line="360" w:lineRule="auto"/>
        <w:ind w:firstLineChars="0" w:firstLine="0"/>
        <w:rPr>
          <w:rFonts w:ascii="Times New Roman" w:eastAsia="宋体" w:hAnsi="Times New Roman"/>
        </w:rPr>
      </w:pPr>
      <w:r>
        <w:rPr>
          <w:rFonts w:ascii="Times New Roman" w:eastAsia="宋体" w:hAnsi="Times New Roman"/>
        </w:rPr>
        <w:t>LIHC: Liver hepatocellular carcinoma.</w:t>
      </w:r>
    </w:p>
    <w:p w14:paraId="069836F6" w14:textId="44230DBB" w:rsidR="00DD1B0F" w:rsidRDefault="00DD1B0F" w:rsidP="00DD1B0F">
      <w:pPr>
        <w:pStyle w:val="3"/>
        <w:spacing w:line="360" w:lineRule="auto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Table </w:t>
      </w:r>
      <w:r>
        <w:rPr>
          <w:rFonts w:ascii="Times New Roman" w:hAnsi="Times New Roman"/>
          <w:b/>
        </w:rPr>
        <w:t>S</w:t>
      </w:r>
      <w:r>
        <w:rPr>
          <w:rFonts w:ascii="Times New Roman" w:hAnsi="Times New Roman"/>
          <w:b/>
        </w:rPr>
        <w:t>2. GO enrichment analysis results of NMRDEGs.</w:t>
      </w:r>
    </w:p>
    <w:tbl>
      <w:tblPr>
        <w:tblW w:w="10897" w:type="dxa"/>
        <w:jc w:val="center"/>
        <w:tblLayout w:type="fixed"/>
        <w:tblLook w:val="04A0" w:firstRow="1" w:lastRow="0" w:firstColumn="1" w:lastColumn="0" w:noHBand="0" w:noVBand="1"/>
      </w:tblPr>
      <w:tblGrid>
        <w:gridCol w:w="2013"/>
        <w:gridCol w:w="1929"/>
        <w:gridCol w:w="1800"/>
        <w:gridCol w:w="1318"/>
        <w:gridCol w:w="1253"/>
        <w:gridCol w:w="1147"/>
        <w:gridCol w:w="1437"/>
      </w:tblGrid>
      <w:tr w:rsidR="00DD1B0F" w14:paraId="49461DD3" w14:textId="77777777" w:rsidTr="00DD1B0F">
        <w:trPr>
          <w:jc w:val="center"/>
        </w:trPr>
        <w:tc>
          <w:tcPr>
            <w:tcW w:w="2013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8811D63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Ontology</w:t>
            </w:r>
          </w:p>
        </w:tc>
        <w:tc>
          <w:tcPr>
            <w:tcW w:w="192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C51244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ID</w:t>
            </w:r>
          </w:p>
        </w:tc>
        <w:tc>
          <w:tcPr>
            <w:tcW w:w="1800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E96BF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Description</w:t>
            </w:r>
          </w:p>
        </w:tc>
        <w:tc>
          <w:tcPr>
            <w:tcW w:w="131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8DEE69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GeneRatio</w:t>
            </w:r>
            <w:proofErr w:type="spellEnd"/>
          </w:p>
        </w:tc>
        <w:tc>
          <w:tcPr>
            <w:tcW w:w="1253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A407011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BgRatio</w:t>
            </w:r>
            <w:proofErr w:type="spellEnd"/>
          </w:p>
        </w:tc>
        <w:tc>
          <w:tcPr>
            <w:tcW w:w="1147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5180DEC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pvalue</w:t>
            </w:r>
            <w:proofErr w:type="spellEnd"/>
          </w:p>
        </w:tc>
        <w:tc>
          <w:tcPr>
            <w:tcW w:w="1437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6DAF717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 xml:space="preserve">p. </w:t>
            </w:r>
            <w:proofErr w:type="gramStart"/>
            <w:r>
              <w:rPr>
                <w:rFonts w:ascii="Times New Roman" w:hAnsi="Times New Roman"/>
                <w:color w:val="000000"/>
              </w:rPr>
              <w:t>adjust</w:t>
            </w:r>
            <w:proofErr w:type="gramEnd"/>
          </w:p>
        </w:tc>
      </w:tr>
      <w:tr w:rsidR="00DD1B0F" w14:paraId="6A7255E6" w14:textId="77777777" w:rsidTr="00DD1B0F">
        <w:trPr>
          <w:jc w:val="center"/>
        </w:trPr>
        <w:tc>
          <w:tcPr>
            <w:tcW w:w="2013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F2F3DB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BP</w:t>
            </w:r>
          </w:p>
        </w:tc>
        <w:tc>
          <w:tcPr>
            <w:tcW w:w="1929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81E7FD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GO: 0072524</w:t>
            </w:r>
          </w:p>
        </w:tc>
        <w:tc>
          <w:tcPr>
            <w:tcW w:w="1800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2AD76B5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pyridine-containing compound metabolic process</w:t>
            </w:r>
          </w:p>
        </w:tc>
        <w:tc>
          <w:tcPr>
            <w:tcW w:w="1318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3AFAE29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15/33</w:t>
            </w:r>
          </w:p>
        </w:tc>
        <w:tc>
          <w:tcPr>
            <w:tcW w:w="1253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5B926E9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38/18800</w:t>
            </w:r>
          </w:p>
        </w:tc>
        <w:tc>
          <w:tcPr>
            <w:tcW w:w="1147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B1689D4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1.6e-33</w:t>
            </w:r>
          </w:p>
        </w:tc>
        <w:tc>
          <w:tcPr>
            <w:tcW w:w="1437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AB26FA8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1.9e-30</w:t>
            </w:r>
          </w:p>
        </w:tc>
      </w:tr>
      <w:tr w:rsidR="00DD1B0F" w14:paraId="1014DE64" w14:textId="77777777" w:rsidTr="00DD1B0F">
        <w:trPr>
          <w:jc w:val="center"/>
        </w:trPr>
        <w:tc>
          <w:tcPr>
            <w:tcW w:w="20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56388A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BP</w:t>
            </w:r>
          </w:p>
        </w:tc>
        <w:tc>
          <w:tcPr>
            <w:tcW w:w="192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9C3D3C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GO: 0019362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89F9A3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pyridine nucleotide metabolic process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DEBD033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14/33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A9F126A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32/18800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9236D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4.83e-32</w:t>
            </w:r>
          </w:p>
        </w:tc>
        <w:tc>
          <w:tcPr>
            <w:tcW w:w="143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B4E90C5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1.92e-29</w:t>
            </w:r>
          </w:p>
        </w:tc>
      </w:tr>
      <w:tr w:rsidR="00DD1B0F" w14:paraId="53E0C1A8" w14:textId="77777777" w:rsidTr="00DD1B0F">
        <w:trPr>
          <w:jc w:val="center"/>
        </w:trPr>
        <w:tc>
          <w:tcPr>
            <w:tcW w:w="20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BA44985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BP</w:t>
            </w:r>
          </w:p>
        </w:tc>
        <w:tc>
          <w:tcPr>
            <w:tcW w:w="192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8A526B8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GO: 0046496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2CB2B8C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nicotinamide nucleotide metabolic process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752775F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14/33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1BA455C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32/18800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203D010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4.83e-32</w:t>
            </w:r>
          </w:p>
        </w:tc>
        <w:tc>
          <w:tcPr>
            <w:tcW w:w="143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751B02F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1.92e-29</w:t>
            </w:r>
          </w:p>
        </w:tc>
      </w:tr>
      <w:tr w:rsidR="00DD1B0F" w14:paraId="3673D370" w14:textId="77777777" w:rsidTr="00DD1B0F">
        <w:trPr>
          <w:jc w:val="center"/>
        </w:trPr>
        <w:tc>
          <w:tcPr>
            <w:tcW w:w="20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07227EA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BP</w:t>
            </w:r>
          </w:p>
        </w:tc>
        <w:tc>
          <w:tcPr>
            <w:tcW w:w="192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6722CB3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GO: 0019359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529B00F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 xml:space="preserve">nicotinamide nucleotide biosynthetic </w:t>
            </w:r>
            <w:r>
              <w:rPr>
                <w:rFonts w:ascii="Times New Roman" w:hAnsi="Times New Roman"/>
                <w:color w:val="000000"/>
              </w:rPr>
              <w:lastRenderedPageBreak/>
              <w:t>process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B5411E7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13/33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33FBEAF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28/18800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F830B7B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3.61e-30</w:t>
            </w:r>
          </w:p>
        </w:tc>
        <w:tc>
          <w:tcPr>
            <w:tcW w:w="143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15C213C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8.61e-28</w:t>
            </w:r>
          </w:p>
        </w:tc>
      </w:tr>
      <w:tr w:rsidR="00DD1B0F" w14:paraId="68B67DF3" w14:textId="77777777" w:rsidTr="00DD1B0F">
        <w:trPr>
          <w:jc w:val="center"/>
        </w:trPr>
        <w:tc>
          <w:tcPr>
            <w:tcW w:w="20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48344F5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BP</w:t>
            </w:r>
          </w:p>
        </w:tc>
        <w:tc>
          <w:tcPr>
            <w:tcW w:w="192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AF9399B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GO: 0019363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623B78B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pyridine nucleotide biosynthetic process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34506DE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13/33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A255568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28/18800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54A39D8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3.61e-30</w:t>
            </w:r>
          </w:p>
        </w:tc>
        <w:tc>
          <w:tcPr>
            <w:tcW w:w="143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B99DCC0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8.61e-28</w:t>
            </w:r>
          </w:p>
        </w:tc>
      </w:tr>
      <w:tr w:rsidR="00DD1B0F" w14:paraId="4D13972F" w14:textId="77777777" w:rsidTr="00DD1B0F">
        <w:trPr>
          <w:jc w:val="center"/>
        </w:trPr>
        <w:tc>
          <w:tcPr>
            <w:tcW w:w="20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C0AC911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MF</w:t>
            </w:r>
          </w:p>
        </w:tc>
        <w:tc>
          <w:tcPr>
            <w:tcW w:w="192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D0595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GO: 0016763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7FFE8A5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pentosyltransferase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activity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8CE8D1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8/33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BCC82D4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49/18410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FC3BDE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1.82e-14</w:t>
            </w:r>
          </w:p>
        </w:tc>
        <w:tc>
          <w:tcPr>
            <w:tcW w:w="143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5849C9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2.21e-12</w:t>
            </w:r>
          </w:p>
        </w:tc>
      </w:tr>
      <w:tr w:rsidR="00DD1B0F" w14:paraId="5B34AD8B" w14:textId="77777777" w:rsidTr="00DD1B0F">
        <w:trPr>
          <w:jc w:val="center"/>
        </w:trPr>
        <w:tc>
          <w:tcPr>
            <w:tcW w:w="20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39BC6E3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MF</w:t>
            </w:r>
          </w:p>
        </w:tc>
        <w:tc>
          <w:tcPr>
            <w:tcW w:w="192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A2999A8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GO: 0008253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8F8756E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5'-nucleotidase activity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EBDEE0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5/33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761602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13/18410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DB1A6E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1.72e-11</w:t>
            </w:r>
          </w:p>
        </w:tc>
        <w:tc>
          <w:tcPr>
            <w:tcW w:w="143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5BFE39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1.04e-09</w:t>
            </w:r>
          </w:p>
        </w:tc>
      </w:tr>
      <w:tr w:rsidR="00DD1B0F" w14:paraId="47400E62" w14:textId="77777777" w:rsidTr="00DD1B0F">
        <w:trPr>
          <w:jc w:val="center"/>
        </w:trPr>
        <w:tc>
          <w:tcPr>
            <w:tcW w:w="20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EF2895D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MF</w:t>
            </w:r>
          </w:p>
        </w:tc>
        <w:tc>
          <w:tcPr>
            <w:tcW w:w="192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98C5C6D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GO: 0008252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8C27871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Nucleotidase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activity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79385C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5/33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17F1CDF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15/18410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4837619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4e-11</w:t>
            </w:r>
          </w:p>
        </w:tc>
        <w:tc>
          <w:tcPr>
            <w:tcW w:w="143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25663D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1.61e-09</w:t>
            </w:r>
          </w:p>
        </w:tc>
      </w:tr>
      <w:tr w:rsidR="00DD1B0F" w14:paraId="64084819" w14:textId="77777777" w:rsidTr="00DD1B0F">
        <w:trPr>
          <w:jc w:val="center"/>
        </w:trPr>
        <w:tc>
          <w:tcPr>
            <w:tcW w:w="201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F74AE0D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MF</w:t>
            </w:r>
          </w:p>
        </w:tc>
        <w:tc>
          <w:tcPr>
            <w:tcW w:w="192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A46218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GO: 1990404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F804A93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NAD+-protein ADP-</w:t>
            </w:r>
            <w:proofErr w:type="spellStart"/>
            <w:r>
              <w:rPr>
                <w:rFonts w:ascii="Times New Roman" w:hAnsi="Times New Roman"/>
                <w:color w:val="000000"/>
              </w:rPr>
              <w:t>ribosyltransferase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activity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7B9B4C7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5/33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A592C27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20/18410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9FFC9A8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2.05e-10</w:t>
            </w:r>
          </w:p>
        </w:tc>
        <w:tc>
          <w:tcPr>
            <w:tcW w:w="143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E804AD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6.2e-09</w:t>
            </w:r>
          </w:p>
        </w:tc>
      </w:tr>
      <w:tr w:rsidR="00DD1B0F" w14:paraId="772744D0" w14:textId="77777777" w:rsidTr="00DD1B0F">
        <w:trPr>
          <w:jc w:val="center"/>
        </w:trPr>
        <w:tc>
          <w:tcPr>
            <w:tcW w:w="201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CC2CC7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MF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82A9B7D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GO: 0003950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59BF55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NAD+ ADP-</w:t>
            </w:r>
            <w:proofErr w:type="spellStart"/>
            <w:r>
              <w:rPr>
                <w:rFonts w:ascii="Times New Roman" w:hAnsi="Times New Roman"/>
                <w:color w:val="000000"/>
              </w:rPr>
              <w:t>ribosyltransferase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activity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B1F9F6F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5/33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734523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23/18410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D421F27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4.43e-10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B216F4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1.07e-08</w:t>
            </w:r>
          </w:p>
        </w:tc>
      </w:tr>
    </w:tbl>
    <w:p w14:paraId="59C479B3" w14:textId="77777777" w:rsidR="00DD1B0F" w:rsidRDefault="00DD1B0F" w:rsidP="00DD1B0F">
      <w:pPr>
        <w:spacing w:line="360" w:lineRule="auto"/>
        <w:jc w:val="left"/>
        <w:rPr>
          <w:rFonts w:ascii="Times New Roman" w:hAnsi="Times New Roman"/>
          <w:bCs/>
        </w:rPr>
      </w:pPr>
      <w:r>
        <w:rPr>
          <w:rFonts w:ascii="Times New Roman" w:hAnsi="Times New Roman"/>
        </w:rPr>
        <w:t xml:space="preserve">NMRDEGs: Nicotinamide metabolism-related </w:t>
      </w:r>
      <w:r>
        <w:rPr>
          <w:rFonts w:ascii="Times New Roman" w:hAnsi="Times New Roman"/>
          <w:bCs/>
        </w:rPr>
        <w:t xml:space="preserve">differentially expressed genes. </w:t>
      </w:r>
    </w:p>
    <w:p w14:paraId="3887C5EA" w14:textId="3E8D9CC8" w:rsidR="00DD1B0F" w:rsidRDefault="00DD1B0F" w:rsidP="00DD1B0F">
      <w:pPr>
        <w:spacing w:line="360" w:lineRule="auto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>GO: Gene Ontology. BP: biological process. CC: cellular component. MF: molecular function.</w:t>
      </w:r>
    </w:p>
    <w:p w14:paraId="4BC080A4" w14:textId="632E95DB" w:rsidR="00DD1B0F" w:rsidRDefault="00DD1B0F" w:rsidP="00DD1B0F">
      <w:pPr>
        <w:pStyle w:val="3"/>
        <w:spacing w:line="360" w:lineRule="auto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Table </w:t>
      </w:r>
      <w:r>
        <w:rPr>
          <w:rFonts w:ascii="Times New Roman" w:hAnsi="Times New Roman"/>
          <w:b/>
        </w:rPr>
        <w:t>S</w:t>
      </w:r>
      <w:r>
        <w:rPr>
          <w:rFonts w:ascii="Times New Roman" w:hAnsi="Times New Roman"/>
          <w:b/>
        </w:rPr>
        <w:t>3. KEGG enrichment analysis results of NMR DEGs.</w:t>
      </w:r>
    </w:p>
    <w:tbl>
      <w:tblPr>
        <w:tblW w:w="10796" w:type="dxa"/>
        <w:jc w:val="center"/>
        <w:tblLayout w:type="fixed"/>
        <w:tblLook w:val="04A0" w:firstRow="1" w:lastRow="0" w:firstColumn="1" w:lastColumn="0" w:noHBand="0" w:noVBand="1"/>
      </w:tblPr>
      <w:tblGrid>
        <w:gridCol w:w="1959"/>
        <w:gridCol w:w="1918"/>
        <w:gridCol w:w="1821"/>
        <w:gridCol w:w="1318"/>
        <w:gridCol w:w="1253"/>
        <w:gridCol w:w="1125"/>
        <w:gridCol w:w="1402"/>
      </w:tblGrid>
      <w:tr w:rsidR="00DD1B0F" w14:paraId="674232F5" w14:textId="77777777" w:rsidTr="00DD1B0F">
        <w:trPr>
          <w:jc w:val="center"/>
        </w:trPr>
        <w:tc>
          <w:tcPr>
            <w:tcW w:w="1959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313FD3A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Ontology</w:t>
            </w:r>
          </w:p>
        </w:tc>
        <w:tc>
          <w:tcPr>
            <w:tcW w:w="191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0E6784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ID</w:t>
            </w:r>
          </w:p>
        </w:tc>
        <w:tc>
          <w:tcPr>
            <w:tcW w:w="182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4A03BD1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Description</w:t>
            </w:r>
          </w:p>
        </w:tc>
        <w:tc>
          <w:tcPr>
            <w:tcW w:w="131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2239179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GeneRatio</w:t>
            </w:r>
            <w:proofErr w:type="spellEnd"/>
          </w:p>
        </w:tc>
        <w:tc>
          <w:tcPr>
            <w:tcW w:w="1253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990B2E9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BgRatio</w:t>
            </w:r>
            <w:proofErr w:type="spellEnd"/>
          </w:p>
        </w:tc>
        <w:tc>
          <w:tcPr>
            <w:tcW w:w="1125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F2C7A5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pvalue</w:t>
            </w:r>
            <w:proofErr w:type="spellEnd"/>
          </w:p>
        </w:tc>
        <w:tc>
          <w:tcPr>
            <w:tcW w:w="140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85D8848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 xml:space="preserve">p. </w:t>
            </w:r>
            <w:proofErr w:type="gramStart"/>
            <w:r>
              <w:rPr>
                <w:rFonts w:ascii="Times New Roman" w:hAnsi="Times New Roman"/>
                <w:color w:val="000000"/>
              </w:rPr>
              <w:t>adjust</w:t>
            </w:r>
            <w:proofErr w:type="gramEnd"/>
          </w:p>
        </w:tc>
      </w:tr>
      <w:tr w:rsidR="00DD1B0F" w14:paraId="6A738192" w14:textId="77777777" w:rsidTr="00DD1B0F">
        <w:trPr>
          <w:jc w:val="center"/>
        </w:trPr>
        <w:tc>
          <w:tcPr>
            <w:tcW w:w="19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1A9C40E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KEGG</w:t>
            </w:r>
          </w:p>
        </w:tc>
        <w:tc>
          <w:tcPr>
            <w:tcW w:w="19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8D3523C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hsa00760</w:t>
            </w: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E069917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 xml:space="preserve">Nicotinate and nicotinamide </w:t>
            </w:r>
            <w:r>
              <w:rPr>
                <w:rFonts w:ascii="Times New Roman" w:hAnsi="Times New Roman"/>
                <w:color w:val="000000"/>
              </w:rPr>
              <w:lastRenderedPageBreak/>
              <w:t>metabolism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E2C0AA1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21/27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AA0A551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36/8164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FF304AB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6.05e-48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906F1B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3.21e-46</w:t>
            </w:r>
          </w:p>
        </w:tc>
      </w:tr>
      <w:tr w:rsidR="00DD1B0F" w14:paraId="3D970B60" w14:textId="77777777" w:rsidTr="00DD1B0F">
        <w:trPr>
          <w:jc w:val="center"/>
        </w:trPr>
        <w:tc>
          <w:tcPr>
            <w:tcW w:w="19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3EAF8E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KEGG</w:t>
            </w:r>
          </w:p>
        </w:tc>
        <w:tc>
          <w:tcPr>
            <w:tcW w:w="19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BE1BB8B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hsa01232</w:t>
            </w: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DE49F2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Nucleotide metabolism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6B9BAD0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8/27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E4080C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85/8164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B990325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1.87e-10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81A8CC4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4.95e-09</w:t>
            </w:r>
          </w:p>
        </w:tc>
      </w:tr>
      <w:tr w:rsidR="00DD1B0F" w14:paraId="02D37C6D" w14:textId="77777777" w:rsidTr="00DD1B0F">
        <w:trPr>
          <w:jc w:val="center"/>
        </w:trPr>
        <w:tc>
          <w:tcPr>
            <w:tcW w:w="19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69C4959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KEGG</w:t>
            </w:r>
          </w:p>
        </w:tc>
        <w:tc>
          <w:tcPr>
            <w:tcW w:w="19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4B6D59E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hsa00240</w:t>
            </w: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52DD2A8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Pyrimidine metabolism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9F76315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7/27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2A0CD41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58/8164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EF326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5e-10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C6D2939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8.84e-09</w:t>
            </w:r>
          </w:p>
        </w:tc>
      </w:tr>
      <w:tr w:rsidR="00DD1B0F" w14:paraId="7DF146A5" w14:textId="77777777" w:rsidTr="00DD1B0F">
        <w:trPr>
          <w:jc w:val="center"/>
        </w:trPr>
        <w:tc>
          <w:tcPr>
            <w:tcW w:w="19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5919DF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KEGG</w:t>
            </w:r>
          </w:p>
        </w:tc>
        <w:tc>
          <w:tcPr>
            <w:tcW w:w="19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342434D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hsa00230</w:t>
            </w: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01CAFCA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Purine metabolism</w:t>
            </w:r>
          </w:p>
        </w:tc>
        <w:tc>
          <w:tcPr>
            <w:tcW w:w="131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790A64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7/27</w:t>
            </w:r>
          </w:p>
        </w:tc>
        <w:tc>
          <w:tcPr>
            <w:tcW w:w="125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3478AF7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128/8164</w:t>
            </w:r>
          </w:p>
        </w:tc>
        <w:tc>
          <w:tcPr>
            <w:tcW w:w="112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AAB272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1.35e-07</w:t>
            </w:r>
          </w:p>
        </w:tc>
        <w:tc>
          <w:tcPr>
            <w:tcW w:w="140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3091181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1.79e-06</w:t>
            </w:r>
          </w:p>
        </w:tc>
      </w:tr>
      <w:tr w:rsidR="00DD1B0F" w14:paraId="32E5D398" w14:textId="77777777" w:rsidTr="00DD1B0F">
        <w:trPr>
          <w:jc w:val="center"/>
        </w:trPr>
        <w:tc>
          <w:tcPr>
            <w:tcW w:w="1959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C301E68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KEGG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D0B3600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hsa01240</w:t>
            </w:r>
          </w:p>
        </w:tc>
        <w:tc>
          <w:tcPr>
            <w:tcW w:w="1821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2237D0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Biosynthesis of cofactors</w:t>
            </w:r>
          </w:p>
        </w:tc>
        <w:tc>
          <w:tcPr>
            <w:tcW w:w="1318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67F9BDA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5/27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88AEA23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153/8164</w:t>
            </w:r>
          </w:p>
        </w:tc>
        <w:tc>
          <w:tcPr>
            <w:tcW w:w="1125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44528CB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0.0001</w:t>
            </w:r>
          </w:p>
        </w:tc>
        <w:tc>
          <w:tcPr>
            <w:tcW w:w="1402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C3AB2B0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0.0013</w:t>
            </w:r>
          </w:p>
        </w:tc>
      </w:tr>
    </w:tbl>
    <w:p w14:paraId="49B4F7A7" w14:textId="77777777" w:rsidR="00DD1B0F" w:rsidRDefault="00DD1B0F" w:rsidP="00DD1B0F">
      <w:pPr>
        <w:spacing w:line="360" w:lineRule="auto"/>
        <w:rPr>
          <w:rFonts w:ascii="Times New Roman" w:hAnsi="Times New Roman"/>
          <w:bCs/>
        </w:rPr>
      </w:pPr>
      <w:r>
        <w:rPr>
          <w:rFonts w:ascii="Times New Roman" w:hAnsi="Times New Roman"/>
        </w:rPr>
        <w:t xml:space="preserve">NMRDEGs: Nicotinamide metabolism-related </w:t>
      </w:r>
      <w:r>
        <w:rPr>
          <w:rFonts w:ascii="Times New Roman" w:hAnsi="Times New Roman"/>
          <w:bCs/>
        </w:rPr>
        <w:t xml:space="preserve">differentially expressed genes. </w:t>
      </w:r>
    </w:p>
    <w:p w14:paraId="35F336E6" w14:textId="3B15ADAF" w:rsidR="00DD1B0F" w:rsidRDefault="00DD1B0F" w:rsidP="00DD1B0F">
      <w:pPr>
        <w:spacing w:line="360" w:lineRule="auto"/>
        <w:rPr>
          <w:rFonts w:ascii="Times New Roman" w:hAnsi="Times New Roman"/>
          <w:bCs/>
        </w:rPr>
      </w:pPr>
      <w:r>
        <w:rPr>
          <w:rFonts w:ascii="Times New Roman" w:hAnsi="Times New Roman"/>
        </w:rPr>
        <w:t xml:space="preserve">KEGG: Kyoto Encyclopedia of Genes and </w:t>
      </w:r>
      <w:proofErr w:type="gramStart"/>
      <w:r>
        <w:rPr>
          <w:rFonts w:ascii="Times New Roman" w:hAnsi="Times New Roman"/>
        </w:rPr>
        <w:t xml:space="preserve">Genomes </w:t>
      </w:r>
      <w:r>
        <w:rPr>
          <w:rFonts w:ascii="Times New Roman" w:hAnsi="Times New Roman"/>
          <w:bCs/>
        </w:rPr>
        <w:t>.</w:t>
      </w:r>
      <w:proofErr w:type="gramEnd"/>
    </w:p>
    <w:p w14:paraId="4E8DF6BC" w14:textId="0FD2A570" w:rsidR="00DD1B0F" w:rsidRDefault="00DD1B0F" w:rsidP="00DD1B0F">
      <w:pPr>
        <w:pStyle w:val="3"/>
        <w:spacing w:line="360" w:lineRule="auto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Table </w:t>
      </w:r>
      <w:r>
        <w:rPr>
          <w:rFonts w:ascii="Times New Roman" w:hAnsi="Times New Roman"/>
          <w:b/>
        </w:rPr>
        <w:t>S</w:t>
      </w:r>
      <w:r>
        <w:rPr>
          <w:rFonts w:ascii="Times New Roman" w:hAnsi="Times New Roman"/>
          <w:b/>
        </w:rPr>
        <w:t>4. GSEA analysis of TCGA-LIHC.</w:t>
      </w:r>
    </w:p>
    <w:tbl>
      <w:tblPr>
        <w:tblW w:w="10554" w:type="dxa"/>
        <w:jc w:val="center"/>
        <w:tblLayout w:type="fixed"/>
        <w:tblLook w:val="04A0" w:firstRow="1" w:lastRow="0" w:firstColumn="1" w:lastColumn="0" w:noHBand="0" w:noVBand="1"/>
      </w:tblPr>
      <w:tblGrid>
        <w:gridCol w:w="2945"/>
        <w:gridCol w:w="1434"/>
        <w:gridCol w:w="1771"/>
        <w:gridCol w:w="1221"/>
        <w:gridCol w:w="941"/>
        <w:gridCol w:w="1121"/>
        <w:gridCol w:w="1121"/>
      </w:tblGrid>
      <w:tr w:rsidR="00DD1B0F" w14:paraId="5FF88321" w14:textId="77777777" w:rsidTr="00DD1B0F">
        <w:trPr>
          <w:jc w:val="center"/>
        </w:trPr>
        <w:tc>
          <w:tcPr>
            <w:tcW w:w="2945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73F7AB1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ID</w:t>
            </w:r>
          </w:p>
        </w:tc>
        <w:tc>
          <w:tcPr>
            <w:tcW w:w="1434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9529D7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setSize</w:t>
            </w:r>
            <w:proofErr w:type="spellEnd"/>
          </w:p>
        </w:tc>
        <w:tc>
          <w:tcPr>
            <w:tcW w:w="177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16F847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enrichmentScore</w:t>
            </w:r>
            <w:proofErr w:type="spellEnd"/>
          </w:p>
        </w:tc>
        <w:tc>
          <w:tcPr>
            <w:tcW w:w="122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E38D550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NES</w:t>
            </w:r>
          </w:p>
        </w:tc>
        <w:tc>
          <w:tcPr>
            <w:tcW w:w="94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55C5E5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pvalue</w:t>
            </w:r>
            <w:proofErr w:type="spellEnd"/>
          </w:p>
        </w:tc>
        <w:tc>
          <w:tcPr>
            <w:tcW w:w="112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39C083F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 xml:space="preserve">p. </w:t>
            </w:r>
            <w:proofErr w:type="gramStart"/>
            <w:r>
              <w:rPr>
                <w:rFonts w:ascii="Times New Roman" w:hAnsi="Times New Roman"/>
                <w:color w:val="000000"/>
              </w:rPr>
              <w:t>adjust</w:t>
            </w:r>
            <w:proofErr w:type="gramEnd"/>
          </w:p>
        </w:tc>
        <w:tc>
          <w:tcPr>
            <w:tcW w:w="112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3F52E28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qvalue</w:t>
            </w:r>
            <w:proofErr w:type="spellEnd"/>
          </w:p>
        </w:tc>
      </w:tr>
      <w:tr w:rsidR="00DD1B0F" w14:paraId="3B14D07F" w14:textId="77777777" w:rsidTr="00DD1B0F">
        <w:trPr>
          <w:jc w:val="center"/>
        </w:trPr>
        <w:tc>
          <w:tcPr>
            <w:tcW w:w="2945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BCB7795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REACTOME_COMPLEMENT_CASCADE</w:t>
            </w:r>
          </w:p>
        </w:tc>
        <w:tc>
          <w:tcPr>
            <w:tcW w:w="1434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7B76CDE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57</w:t>
            </w:r>
          </w:p>
        </w:tc>
        <w:tc>
          <w:tcPr>
            <w:tcW w:w="1771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2D83D0A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-0.8375431</w:t>
            </w:r>
          </w:p>
        </w:tc>
        <w:tc>
          <w:tcPr>
            <w:tcW w:w="1221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CAA91E7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-3.255242</w:t>
            </w:r>
          </w:p>
        </w:tc>
        <w:tc>
          <w:tcPr>
            <w:tcW w:w="941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AC52FD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1e-10</w:t>
            </w:r>
          </w:p>
        </w:tc>
        <w:tc>
          <w:tcPr>
            <w:tcW w:w="1121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BF8885C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5.99e-09</w:t>
            </w:r>
          </w:p>
        </w:tc>
        <w:tc>
          <w:tcPr>
            <w:tcW w:w="1121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893D9BB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4.48e-09</w:t>
            </w:r>
          </w:p>
        </w:tc>
      </w:tr>
      <w:tr w:rsidR="00DD1B0F" w14:paraId="17B1A626" w14:textId="77777777" w:rsidTr="00DD1B0F">
        <w:trPr>
          <w:jc w:val="center"/>
        </w:trPr>
        <w:tc>
          <w:tcPr>
            <w:tcW w:w="29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88F71C1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KEGG_RETINOL_METABOLISM</w:t>
            </w:r>
          </w:p>
        </w:tc>
        <w:tc>
          <w:tcPr>
            <w:tcW w:w="14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20BB5E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62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4D5E7E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-0.8132315</w:t>
            </w: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12ED4E0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-3.197013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CA96BB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1e-10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A9548BB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5.99e-09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C140933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4.48e-09</w:t>
            </w:r>
          </w:p>
        </w:tc>
      </w:tr>
      <w:tr w:rsidR="00DD1B0F" w14:paraId="01D5DD64" w14:textId="77777777" w:rsidTr="00DD1B0F">
        <w:trPr>
          <w:jc w:val="center"/>
        </w:trPr>
        <w:tc>
          <w:tcPr>
            <w:tcW w:w="29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53FB143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KEGG_DRUG_METABOLISM_CYTOCHROME_P450</w:t>
            </w:r>
          </w:p>
        </w:tc>
        <w:tc>
          <w:tcPr>
            <w:tcW w:w="14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780065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69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57F4D5C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-0.7682903</w:t>
            </w: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FC78688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-3.041438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480ED84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1e-10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124C030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5.99e-09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9EDC61C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4.48e-09</w:t>
            </w:r>
          </w:p>
        </w:tc>
      </w:tr>
      <w:tr w:rsidR="00DD1B0F" w14:paraId="1514C4B2" w14:textId="77777777" w:rsidTr="00DD1B0F">
        <w:trPr>
          <w:jc w:val="center"/>
        </w:trPr>
        <w:tc>
          <w:tcPr>
            <w:tcW w:w="29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9B082B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REACTOME_BIOLOGICAL_OXIDATIONS</w:t>
            </w:r>
          </w:p>
        </w:tc>
        <w:tc>
          <w:tcPr>
            <w:tcW w:w="14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950DFF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217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346DF3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-0.6284499</w:t>
            </w: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0ED5D79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-3.004459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D27E2C5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1e-10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E33640D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5.99e-09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4922150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4.48e-09</w:t>
            </w:r>
          </w:p>
        </w:tc>
      </w:tr>
      <w:tr w:rsidR="00DD1B0F" w14:paraId="1C376EFC" w14:textId="77777777" w:rsidTr="00DD1B0F">
        <w:trPr>
          <w:jc w:val="center"/>
        </w:trPr>
        <w:tc>
          <w:tcPr>
            <w:tcW w:w="29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8CA90D7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REACTOME_DRUG_ADME</w:t>
            </w:r>
          </w:p>
        </w:tc>
        <w:tc>
          <w:tcPr>
            <w:tcW w:w="14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E238070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95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033DF3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-0.7079259</w:t>
            </w: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E6C777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-2.973698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22F97B8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1e-10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6DC7458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5.99e-09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268093D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4.48e-09</w:t>
            </w:r>
          </w:p>
        </w:tc>
      </w:tr>
      <w:tr w:rsidR="00DD1B0F" w14:paraId="79BC96A2" w14:textId="77777777" w:rsidTr="00DD1B0F">
        <w:trPr>
          <w:jc w:val="center"/>
        </w:trPr>
        <w:tc>
          <w:tcPr>
            <w:tcW w:w="29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5A97CE9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KEGG_COMPLEMENT_AND_COAGULATION_CASCADE</w:t>
            </w:r>
            <w:r>
              <w:rPr>
                <w:rFonts w:ascii="Times New Roman" w:hAnsi="Times New Roman"/>
                <w:color w:val="000000"/>
              </w:rPr>
              <w:lastRenderedPageBreak/>
              <w:t>S</w:t>
            </w:r>
          </w:p>
        </w:tc>
        <w:tc>
          <w:tcPr>
            <w:tcW w:w="14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229B570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69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5224568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-0.7448710</w:t>
            </w: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ECD77B3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-2.948727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B7614D3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1e-10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09B3CC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5.99e-09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B438E7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4.48e-09</w:t>
            </w:r>
          </w:p>
        </w:tc>
      </w:tr>
      <w:tr w:rsidR="00DD1B0F" w14:paraId="4AFC2BB5" w14:textId="77777777" w:rsidTr="00DD1B0F">
        <w:trPr>
          <w:jc w:val="center"/>
        </w:trPr>
        <w:tc>
          <w:tcPr>
            <w:tcW w:w="29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2EBC248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REACTOME_ASPIRIN_ADME</w:t>
            </w:r>
          </w:p>
        </w:tc>
        <w:tc>
          <w:tcPr>
            <w:tcW w:w="14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98920B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42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CB80CA7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-0.7907808</w:t>
            </w: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BCA4128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-2.886034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93250E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1e-10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A55AE2A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5.99e-09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40766B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4.48e-09</w:t>
            </w:r>
          </w:p>
        </w:tc>
      </w:tr>
      <w:tr w:rsidR="00DD1B0F" w14:paraId="27B75572" w14:textId="77777777" w:rsidTr="00DD1B0F">
        <w:trPr>
          <w:jc w:val="center"/>
        </w:trPr>
        <w:tc>
          <w:tcPr>
            <w:tcW w:w="29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725A58E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WP_COMPLEMENT_AND_COAGULATION_CASCADES</w:t>
            </w:r>
          </w:p>
        </w:tc>
        <w:tc>
          <w:tcPr>
            <w:tcW w:w="14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A4D1A85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58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FF234D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-0.7388804</w:t>
            </w: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8FA29A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-2.876955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01C95A0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1e-10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3A5108A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5.99e-09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E7849E3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4.48e-09</w:t>
            </w:r>
          </w:p>
        </w:tc>
      </w:tr>
      <w:tr w:rsidR="00DD1B0F" w14:paraId="45C814EF" w14:textId="77777777" w:rsidTr="00DD1B0F">
        <w:trPr>
          <w:jc w:val="center"/>
        </w:trPr>
        <w:tc>
          <w:tcPr>
            <w:tcW w:w="29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55B0EF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KEGG_METABOLISM_OF_XENOBIOTICS_BY_CYTOCHROME_P450</w:t>
            </w:r>
          </w:p>
        </w:tc>
        <w:tc>
          <w:tcPr>
            <w:tcW w:w="1434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5719558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67</w:t>
            </w:r>
          </w:p>
        </w:tc>
        <w:tc>
          <w:tcPr>
            <w:tcW w:w="17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17B269E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-0.7263567</w:t>
            </w:r>
          </w:p>
        </w:tc>
        <w:tc>
          <w:tcPr>
            <w:tcW w:w="12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85201C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-2.861686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2DD28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1e-10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AF249E7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5.99e-09</w:t>
            </w:r>
          </w:p>
        </w:tc>
        <w:tc>
          <w:tcPr>
            <w:tcW w:w="112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09F9FD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4.48e-09</w:t>
            </w:r>
          </w:p>
        </w:tc>
      </w:tr>
      <w:tr w:rsidR="00DD1B0F" w14:paraId="3E2361D0" w14:textId="77777777" w:rsidTr="00DD1B0F">
        <w:trPr>
          <w:jc w:val="center"/>
        </w:trPr>
        <w:tc>
          <w:tcPr>
            <w:tcW w:w="2945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7D7ED3E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REACTOME_PHASE_I_FUNCTIONALIZATION_OF_COMPOUNDS</w:t>
            </w:r>
          </w:p>
        </w:tc>
        <w:tc>
          <w:tcPr>
            <w:tcW w:w="1434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B523E4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104</w:t>
            </w:r>
          </w:p>
        </w:tc>
        <w:tc>
          <w:tcPr>
            <w:tcW w:w="1771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D2E966E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-0.6638046</w:t>
            </w:r>
          </w:p>
        </w:tc>
        <w:tc>
          <w:tcPr>
            <w:tcW w:w="1221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4DC111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-2.838928</w:t>
            </w:r>
          </w:p>
        </w:tc>
        <w:tc>
          <w:tcPr>
            <w:tcW w:w="941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4F4917A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1e-10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57DC92A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5.99e-09</w:t>
            </w:r>
          </w:p>
        </w:tc>
        <w:tc>
          <w:tcPr>
            <w:tcW w:w="1121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59B33E9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4.48e-09</w:t>
            </w:r>
          </w:p>
        </w:tc>
      </w:tr>
    </w:tbl>
    <w:p w14:paraId="6E6C3F2D" w14:textId="77777777" w:rsidR="00DD1B0F" w:rsidRDefault="00DD1B0F" w:rsidP="00DD1B0F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</w:rPr>
        <w:t>GSEA: Gene Set Enrichment Analysis.</w:t>
      </w:r>
    </w:p>
    <w:p w14:paraId="49C0A0A7" w14:textId="1F217FBF" w:rsidR="00DD1B0F" w:rsidRDefault="00DD1B0F" w:rsidP="00DD1B0F">
      <w:pPr>
        <w:pStyle w:val="3"/>
        <w:spacing w:line="360" w:lineRule="auto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Table </w:t>
      </w:r>
      <w:r>
        <w:rPr>
          <w:rFonts w:ascii="Times New Roman" w:hAnsi="Times New Roman"/>
          <w:b/>
        </w:rPr>
        <w:t>S</w:t>
      </w:r>
      <w:r>
        <w:rPr>
          <w:rFonts w:ascii="Times New Roman" w:hAnsi="Times New Roman"/>
          <w:b/>
        </w:rPr>
        <w:t>5. GSVA analysis results of TCGA-LIHC.</w:t>
      </w:r>
    </w:p>
    <w:tbl>
      <w:tblPr>
        <w:tblW w:w="6049" w:type="pct"/>
        <w:tblInd w:w="-972" w:type="dxa"/>
        <w:tblLayout w:type="fixed"/>
        <w:tblLook w:val="04A0" w:firstRow="1" w:lastRow="0" w:firstColumn="1" w:lastColumn="0" w:noHBand="0" w:noVBand="1"/>
      </w:tblPr>
      <w:tblGrid>
        <w:gridCol w:w="2430"/>
        <w:gridCol w:w="2020"/>
        <w:gridCol w:w="1409"/>
        <w:gridCol w:w="1465"/>
        <w:gridCol w:w="1266"/>
        <w:gridCol w:w="1459"/>
      </w:tblGrid>
      <w:tr w:rsidR="00DD1B0F" w14:paraId="37B244CA" w14:textId="77777777" w:rsidTr="00DD1B0F">
        <w:trPr>
          <w:trHeight w:val="270"/>
        </w:trPr>
        <w:tc>
          <w:tcPr>
            <w:tcW w:w="249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7DDFF185" w14:textId="77777777" w:rsidR="00DD1B0F" w:rsidRDefault="00DD1B0F">
            <w:pPr>
              <w:spacing w:line="36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0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34166C4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  <w:kern w:val="0"/>
              </w:rPr>
              <w:t>logFC</w:t>
            </w:r>
            <w:proofErr w:type="spellEnd"/>
          </w:p>
        </w:tc>
        <w:tc>
          <w:tcPr>
            <w:tcW w:w="144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F1032F6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  <w:kern w:val="0"/>
              </w:rPr>
              <w:t>AveExpr</w:t>
            </w:r>
            <w:proofErr w:type="spellEnd"/>
          </w:p>
        </w:tc>
        <w:tc>
          <w:tcPr>
            <w:tcW w:w="150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B7FE554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t</w:t>
            </w:r>
          </w:p>
        </w:tc>
        <w:tc>
          <w:tcPr>
            <w:tcW w:w="129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48D98D0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proofErr w:type="spellStart"/>
            <w:proofErr w:type="gramStart"/>
            <w:r>
              <w:rPr>
                <w:rFonts w:ascii="Times New Roman" w:hAnsi="Times New Roman"/>
                <w:color w:val="000000"/>
                <w:kern w:val="0"/>
              </w:rPr>
              <w:t>P.Value</w:t>
            </w:r>
            <w:proofErr w:type="spellEnd"/>
            <w:proofErr w:type="gramEnd"/>
          </w:p>
        </w:tc>
        <w:tc>
          <w:tcPr>
            <w:tcW w:w="14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372C4079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  <w:kern w:val="0"/>
              </w:rPr>
              <w:t>adj.</w:t>
            </w:r>
            <w:proofErr w:type="gramStart"/>
            <w:r>
              <w:rPr>
                <w:rFonts w:ascii="Times New Roman" w:hAnsi="Times New Roman"/>
                <w:color w:val="000000"/>
                <w:kern w:val="0"/>
              </w:rPr>
              <w:t>P.Val</w:t>
            </w:r>
            <w:proofErr w:type="spellEnd"/>
            <w:proofErr w:type="gramEnd"/>
          </w:p>
        </w:tc>
      </w:tr>
      <w:tr w:rsidR="00DD1B0F" w14:paraId="2D5C17EA" w14:textId="77777777" w:rsidTr="00DD1B0F">
        <w:trPr>
          <w:trHeight w:val="270"/>
        </w:trPr>
        <w:tc>
          <w:tcPr>
            <w:tcW w:w="2497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05C343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HALLMARK_DNA_REPAIR</w:t>
            </w:r>
          </w:p>
        </w:tc>
        <w:tc>
          <w:tcPr>
            <w:tcW w:w="2074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7120BEEC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-0.521132148</w:t>
            </w:r>
          </w:p>
        </w:tc>
        <w:tc>
          <w:tcPr>
            <w:tcW w:w="144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495EEB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-0.029307063</w:t>
            </w:r>
          </w:p>
        </w:tc>
        <w:tc>
          <w:tcPr>
            <w:tcW w:w="1502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CB2886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-12.47955862</w:t>
            </w:r>
          </w:p>
        </w:tc>
        <w:tc>
          <w:tcPr>
            <w:tcW w:w="1297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31DE7DA3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8.43E-31</w:t>
            </w:r>
          </w:p>
        </w:tc>
        <w:tc>
          <w:tcPr>
            <w:tcW w:w="149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86B1B4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4.21E-29</w:t>
            </w:r>
          </w:p>
        </w:tc>
      </w:tr>
      <w:tr w:rsidR="00DD1B0F" w14:paraId="05250CCA" w14:textId="77777777" w:rsidTr="00DD1B0F">
        <w:trPr>
          <w:trHeight w:val="270"/>
        </w:trPr>
        <w:tc>
          <w:tcPr>
            <w:tcW w:w="24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0E3776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HALLMARK_TNFA_SIGNALING_VIA_NFKB</w:t>
            </w:r>
          </w:p>
        </w:tc>
        <w:tc>
          <w:tcPr>
            <w:tcW w:w="20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9728055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0.560586271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8B22E40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-0.021469335</w:t>
            </w:r>
          </w:p>
        </w:tc>
        <w:tc>
          <w:tcPr>
            <w:tcW w:w="15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6A4F9E9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12.38289642</w:t>
            </w:r>
          </w:p>
        </w:tc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141D04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2.06E-30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A9CCDD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5.15E-29</w:t>
            </w:r>
          </w:p>
        </w:tc>
      </w:tr>
      <w:tr w:rsidR="00DD1B0F" w14:paraId="2EE17381" w14:textId="77777777" w:rsidTr="00DD1B0F">
        <w:trPr>
          <w:trHeight w:val="270"/>
        </w:trPr>
        <w:tc>
          <w:tcPr>
            <w:tcW w:w="24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6844F8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HALLMARK_XENOBIOTIC_METABOLISM</w:t>
            </w:r>
          </w:p>
        </w:tc>
        <w:tc>
          <w:tcPr>
            <w:tcW w:w="20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02AE903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0.578191415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939E8EF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0.01167253</w:t>
            </w:r>
          </w:p>
        </w:tc>
        <w:tc>
          <w:tcPr>
            <w:tcW w:w="15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DAA18A7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11.52092775</w:t>
            </w:r>
          </w:p>
        </w:tc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1809403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5.15E-27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CBB0CA8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8.59E-26</w:t>
            </w:r>
          </w:p>
        </w:tc>
      </w:tr>
      <w:tr w:rsidR="00DD1B0F" w14:paraId="791CCFC7" w14:textId="77777777" w:rsidTr="00DD1B0F">
        <w:trPr>
          <w:trHeight w:val="270"/>
        </w:trPr>
        <w:tc>
          <w:tcPr>
            <w:tcW w:w="24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18FA0D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HALLMARK_INFLAMMATORY_RESPONSE</w:t>
            </w:r>
          </w:p>
        </w:tc>
        <w:tc>
          <w:tcPr>
            <w:tcW w:w="20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B3D8490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0.511789761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1358DD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-0.00557134</w:t>
            </w:r>
          </w:p>
        </w:tc>
        <w:tc>
          <w:tcPr>
            <w:tcW w:w="15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44D3E1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11.45304306</w:t>
            </w:r>
          </w:p>
        </w:tc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A811E0D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9.43E-27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6AC537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1.13E-25</w:t>
            </w:r>
          </w:p>
        </w:tc>
      </w:tr>
      <w:tr w:rsidR="00DD1B0F" w14:paraId="67B517B4" w14:textId="77777777" w:rsidTr="00DD1B0F">
        <w:trPr>
          <w:trHeight w:val="270"/>
        </w:trPr>
        <w:tc>
          <w:tcPr>
            <w:tcW w:w="24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15C0EC9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HALLMARK_MYC_TARGETS_V1</w:t>
            </w:r>
          </w:p>
        </w:tc>
        <w:tc>
          <w:tcPr>
            <w:tcW w:w="20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3B01AD9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-0.580054582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02CAE7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-0.028502056</w:t>
            </w:r>
          </w:p>
        </w:tc>
        <w:tc>
          <w:tcPr>
            <w:tcW w:w="15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2ED21E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-11.41892891</w:t>
            </w:r>
          </w:p>
        </w:tc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33F8657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1.28E-26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118F59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1.13E-25</w:t>
            </w:r>
          </w:p>
        </w:tc>
      </w:tr>
      <w:tr w:rsidR="00DD1B0F" w14:paraId="63D51E8F" w14:textId="77777777" w:rsidTr="00DD1B0F">
        <w:trPr>
          <w:trHeight w:val="270"/>
        </w:trPr>
        <w:tc>
          <w:tcPr>
            <w:tcW w:w="24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95B5472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HALLMARK_KRAS_SIGNALING_UP</w:t>
            </w:r>
          </w:p>
        </w:tc>
        <w:tc>
          <w:tcPr>
            <w:tcW w:w="20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C35D27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0.426874623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D95C6F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0.002908456</w:t>
            </w:r>
          </w:p>
        </w:tc>
        <w:tc>
          <w:tcPr>
            <w:tcW w:w="15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1BC022A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11.41184043</w:t>
            </w:r>
          </w:p>
        </w:tc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4ABD834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1.36E-26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F921FA7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1.13E-25</w:t>
            </w:r>
          </w:p>
        </w:tc>
      </w:tr>
      <w:tr w:rsidR="00DD1B0F" w14:paraId="7DDACE64" w14:textId="77777777" w:rsidTr="00DD1B0F">
        <w:trPr>
          <w:trHeight w:val="270"/>
        </w:trPr>
        <w:tc>
          <w:tcPr>
            <w:tcW w:w="24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2024C70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lastRenderedPageBreak/>
              <w:t>HALLMARK_HYPOXIA</w:t>
            </w:r>
          </w:p>
        </w:tc>
        <w:tc>
          <w:tcPr>
            <w:tcW w:w="20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D3B1B29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0.399263859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F8DCFC2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-0.009095682</w:t>
            </w:r>
          </w:p>
        </w:tc>
        <w:tc>
          <w:tcPr>
            <w:tcW w:w="15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E682A7C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11.23571756</w:t>
            </w:r>
          </w:p>
        </w:tc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D3284D4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6.44E-26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61E922F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4.18E-25</w:t>
            </w:r>
          </w:p>
        </w:tc>
      </w:tr>
      <w:tr w:rsidR="00DD1B0F" w14:paraId="6B0CD3F9" w14:textId="77777777" w:rsidTr="00DD1B0F">
        <w:trPr>
          <w:trHeight w:val="270"/>
        </w:trPr>
        <w:tc>
          <w:tcPr>
            <w:tcW w:w="24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E2CD0CE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HALLMARK_COAGULATION</w:t>
            </w:r>
          </w:p>
        </w:tc>
        <w:tc>
          <w:tcPr>
            <w:tcW w:w="20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53600E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0.529372843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198BE2C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0.010473853</w:t>
            </w:r>
          </w:p>
        </w:tc>
        <w:tc>
          <w:tcPr>
            <w:tcW w:w="15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C46397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11.23149489</w:t>
            </w:r>
          </w:p>
        </w:tc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82D8E3E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6.68E-26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6B6BA10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4.18E-25</w:t>
            </w:r>
          </w:p>
        </w:tc>
      </w:tr>
      <w:tr w:rsidR="00DD1B0F" w14:paraId="76C28684" w14:textId="77777777" w:rsidTr="00DD1B0F">
        <w:trPr>
          <w:trHeight w:val="270"/>
        </w:trPr>
        <w:tc>
          <w:tcPr>
            <w:tcW w:w="24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62CE154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HALLMARK_ESTROGEN_RESPONSE_EARLY</w:t>
            </w:r>
          </w:p>
        </w:tc>
        <w:tc>
          <w:tcPr>
            <w:tcW w:w="20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2CD46AE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0.355090111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1D6204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0.007273318</w:t>
            </w:r>
          </w:p>
        </w:tc>
        <w:tc>
          <w:tcPr>
            <w:tcW w:w="15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A46275F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10.76224947</w:t>
            </w:r>
          </w:p>
        </w:tc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0611AFE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3.94E-24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8552D94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1.97E-23</w:t>
            </w:r>
          </w:p>
        </w:tc>
      </w:tr>
      <w:tr w:rsidR="00DD1B0F" w14:paraId="54A8BD45" w14:textId="77777777" w:rsidTr="00DD1B0F">
        <w:trPr>
          <w:trHeight w:val="270"/>
        </w:trPr>
        <w:tc>
          <w:tcPr>
            <w:tcW w:w="24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FAF6A9E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HALLMARK_E2F_TARGETS</w:t>
            </w:r>
          </w:p>
        </w:tc>
        <w:tc>
          <w:tcPr>
            <w:tcW w:w="20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79A0232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-0.605429905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A5306FD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-0.039246457</w:t>
            </w:r>
          </w:p>
        </w:tc>
        <w:tc>
          <w:tcPr>
            <w:tcW w:w="15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E3FF50C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-10.76212488</w:t>
            </w:r>
          </w:p>
        </w:tc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6A89EBB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3.95E-24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DDE4FCF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1.97E-23</w:t>
            </w:r>
          </w:p>
        </w:tc>
      </w:tr>
      <w:tr w:rsidR="00DD1B0F" w14:paraId="0FBCB8F4" w14:textId="77777777" w:rsidTr="00DD1B0F">
        <w:trPr>
          <w:trHeight w:val="270"/>
        </w:trPr>
        <w:tc>
          <w:tcPr>
            <w:tcW w:w="24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871F0AE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HALLMARK_ESTROGEN_RESPONSE_LATE</w:t>
            </w:r>
          </w:p>
        </w:tc>
        <w:tc>
          <w:tcPr>
            <w:tcW w:w="20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62B43A3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0.324406581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4CEAACA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0.01096607</w:t>
            </w:r>
          </w:p>
        </w:tc>
        <w:tc>
          <w:tcPr>
            <w:tcW w:w="15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77AFAD9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10.63836869</w:t>
            </w:r>
          </w:p>
        </w:tc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3F62D3A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1.14E-23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631CE1C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5.18E-23</w:t>
            </w:r>
          </w:p>
        </w:tc>
      </w:tr>
      <w:tr w:rsidR="00DD1B0F" w14:paraId="3D1F7ACB" w14:textId="77777777" w:rsidTr="00DD1B0F">
        <w:trPr>
          <w:trHeight w:val="270"/>
        </w:trPr>
        <w:tc>
          <w:tcPr>
            <w:tcW w:w="24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61025A2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HALLMARK_IL2_STAT5_SIGNALING</w:t>
            </w:r>
          </w:p>
        </w:tc>
        <w:tc>
          <w:tcPr>
            <w:tcW w:w="20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4808C25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0.398405687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128D4E8C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-0.00827816</w:t>
            </w:r>
          </w:p>
        </w:tc>
        <w:tc>
          <w:tcPr>
            <w:tcW w:w="15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20B01F0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10.57845472</w:t>
            </w:r>
          </w:p>
        </w:tc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B562D0E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1.90E-23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40B35E6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7.90E-23</w:t>
            </w:r>
          </w:p>
        </w:tc>
      </w:tr>
      <w:tr w:rsidR="00DD1B0F" w14:paraId="2C2C42A7" w14:textId="77777777" w:rsidTr="00DD1B0F">
        <w:trPr>
          <w:trHeight w:val="270"/>
        </w:trPr>
        <w:tc>
          <w:tcPr>
            <w:tcW w:w="24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7BB68719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HALLMARK_UNFOLDED_PROTEIN_RESPONSE</w:t>
            </w:r>
          </w:p>
        </w:tc>
        <w:tc>
          <w:tcPr>
            <w:tcW w:w="20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469C39E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-0.42088559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8824FDB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-0.039898681</w:t>
            </w:r>
          </w:p>
        </w:tc>
        <w:tc>
          <w:tcPr>
            <w:tcW w:w="15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A3E34AB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-10.56201614</w:t>
            </w:r>
          </w:p>
        </w:tc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0F7728C4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2.18E-23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696393DC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8.39E-23</w:t>
            </w:r>
          </w:p>
        </w:tc>
      </w:tr>
      <w:tr w:rsidR="00DD1B0F" w14:paraId="6FAA2C40" w14:textId="77777777" w:rsidTr="00DD1B0F">
        <w:trPr>
          <w:trHeight w:val="270"/>
        </w:trPr>
        <w:tc>
          <w:tcPr>
            <w:tcW w:w="24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3905D171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HALLMARK_KRAS_SIGNALING_DN</w:t>
            </w:r>
          </w:p>
        </w:tc>
        <w:tc>
          <w:tcPr>
            <w:tcW w:w="2074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F40AE8C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0.312921984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5F750A2C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0.046053609</w:t>
            </w:r>
          </w:p>
        </w:tc>
        <w:tc>
          <w:tcPr>
            <w:tcW w:w="150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14279B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10.53960576</w:t>
            </w:r>
          </w:p>
        </w:tc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2840352F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2.64E-23</w:t>
            </w:r>
          </w:p>
        </w:tc>
        <w:tc>
          <w:tcPr>
            <w:tcW w:w="1496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  <w:hideMark/>
          </w:tcPr>
          <w:p w14:paraId="424517AD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9.42E-23</w:t>
            </w:r>
          </w:p>
        </w:tc>
      </w:tr>
      <w:tr w:rsidR="00DD1B0F" w14:paraId="353FE97B" w14:textId="77777777" w:rsidTr="00DD1B0F">
        <w:trPr>
          <w:trHeight w:val="270"/>
        </w:trPr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E707C5F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HALLMARK_COMPLEMENT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C6042B8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0.387402295</w:t>
            </w:r>
          </w:p>
        </w:tc>
        <w:tc>
          <w:tcPr>
            <w:tcW w:w="144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3EC7093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-0.001795298</w:t>
            </w:r>
          </w:p>
        </w:tc>
        <w:tc>
          <w:tcPr>
            <w:tcW w:w="150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0A78840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10.06699233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622D8B8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1.38E-21</w:t>
            </w:r>
          </w:p>
        </w:tc>
        <w:tc>
          <w:tcPr>
            <w:tcW w:w="149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51E0B9AC" w14:textId="77777777" w:rsidR="00DD1B0F" w:rsidRDefault="00DD1B0F">
            <w:pPr>
              <w:widowControl/>
              <w:spacing w:line="360" w:lineRule="auto"/>
              <w:textAlignment w:val="center"/>
              <w:rPr>
                <w:rFonts w:ascii="Times New Roman" w:hAnsi="Times New Roman"/>
                <w:color w:val="000000"/>
                <w:kern w:val="0"/>
              </w:rPr>
            </w:pPr>
            <w:r>
              <w:rPr>
                <w:rFonts w:ascii="Times New Roman" w:hAnsi="Times New Roman"/>
                <w:color w:val="000000"/>
                <w:kern w:val="0"/>
              </w:rPr>
              <w:t>4.60E-21</w:t>
            </w:r>
          </w:p>
        </w:tc>
      </w:tr>
    </w:tbl>
    <w:p w14:paraId="6FECE008" w14:textId="77777777" w:rsidR="00DD1B0F" w:rsidRDefault="00DD1B0F" w:rsidP="00DD1B0F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</w:rPr>
        <w:t>GSVA: Gene Set Variation Analysis.</w:t>
      </w:r>
    </w:p>
    <w:p w14:paraId="6D5B96A1" w14:textId="139AF780" w:rsidR="00DD1B0F" w:rsidRDefault="00DD1B0F" w:rsidP="00DD1B0F">
      <w:pPr>
        <w:pStyle w:val="3"/>
        <w:spacing w:line="360" w:lineRule="auto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Table </w:t>
      </w:r>
      <w:r>
        <w:rPr>
          <w:rFonts w:ascii="Times New Roman" w:hAnsi="Times New Roman"/>
          <w:b/>
        </w:rPr>
        <w:t>S</w:t>
      </w:r>
      <w:r>
        <w:rPr>
          <w:rFonts w:ascii="Times New Roman" w:hAnsi="Times New Roman"/>
          <w:b/>
        </w:rPr>
        <w:t>6. Univariate and Multivariate Cox regression.</w:t>
      </w:r>
    </w:p>
    <w:tbl>
      <w:tblPr>
        <w:tblW w:w="10403" w:type="dxa"/>
        <w:jc w:val="center"/>
        <w:tblLayout w:type="fixed"/>
        <w:tblLook w:val="04A0" w:firstRow="1" w:lastRow="0" w:firstColumn="1" w:lastColumn="0" w:noHBand="0" w:noVBand="1"/>
      </w:tblPr>
      <w:tblGrid>
        <w:gridCol w:w="2459"/>
        <w:gridCol w:w="1239"/>
        <w:gridCol w:w="2151"/>
        <w:gridCol w:w="1016"/>
        <w:gridCol w:w="461"/>
        <w:gridCol w:w="2151"/>
        <w:gridCol w:w="926"/>
      </w:tblGrid>
      <w:tr w:rsidR="00DD1B0F" w14:paraId="32601AB3" w14:textId="77777777" w:rsidTr="00DD1B0F">
        <w:trPr>
          <w:jc w:val="center"/>
        </w:trPr>
        <w:tc>
          <w:tcPr>
            <w:tcW w:w="2459" w:type="dxa"/>
            <w:vMerge w:val="restart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DAE84EA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Characteristics</w:t>
            </w:r>
          </w:p>
        </w:tc>
        <w:tc>
          <w:tcPr>
            <w:tcW w:w="1239" w:type="dxa"/>
            <w:vMerge w:val="restart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B2DEA89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Total (N)</w:t>
            </w:r>
          </w:p>
        </w:tc>
        <w:tc>
          <w:tcPr>
            <w:tcW w:w="3167" w:type="dxa"/>
            <w:gridSpan w:val="2"/>
            <w:tcBorders>
              <w:top w:val="single" w:sz="6" w:space="0" w:color="000000"/>
              <w:left w:val="nil"/>
              <w:bottom w:val="single" w:sz="8" w:space="0" w:color="666666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B8B6868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Univariate analysis</w:t>
            </w:r>
          </w:p>
        </w:tc>
        <w:tc>
          <w:tcPr>
            <w:tcW w:w="461" w:type="dxa"/>
            <w:vMerge w:val="restart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E312110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 xml:space="preserve"> </w:t>
            </w:r>
          </w:p>
        </w:tc>
        <w:tc>
          <w:tcPr>
            <w:tcW w:w="3077" w:type="dxa"/>
            <w:gridSpan w:val="2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DCE675C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Multivariate analysis</w:t>
            </w:r>
          </w:p>
        </w:tc>
      </w:tr>
      <w:tr w:rsidR="00DD1B0F" w14:paraId="07044701" w14:textId="77777777" w:rsidTr="00DD1B0F">
        <w:trPr>
          <w:jc w:val="center"/>
        </w:trPr>
        <w:tc>
          <w:tcPr>
            <w:tcW w:w="2459" w:type="dxa"/>
            <w:vMerge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vAlign w:val="center"/>
            <w:hideMark/>
          </w:tcPr>
          <w:p w14:paraId="2BED1C8C" w14:textId="77777777" w:rsidR="00DD1B0F" w:rsidRDefault="00DD1B0F">
            <w:pPr>
              <w:widowControl/>
              <w:jc w:val="left"/>
              <w:rPr>
                <w:rFonts w:ascii="Times New Roman" w:hAnsi="Times New Roman"/>
              </w:rPr>
            </w:pPr>
          </w:p>
        </w:tc>
        <w:tc>
          <w:tcPr>
            <w:tcW w:w="1239" w:type="dxa"/>
            <w:vMerge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vAlign w:val="center"/>
            <w:hideMark/>
          </w:tcPr>
          <w:p w14:paraId="426CE054" w14:textId="77777777" w:rsidR="00DD1B0F" w:rsidRDefault="00DD1B0F">
            <w:pPr>
              <w:widowControl/>
              <w:jc w:val="left"/>
              <w:rPr>
                <w:rFonts w:ascii="Times New Roman" w:hAnsi="Times New Roman"/>
              </w:rPr>
            </w:pPr>
          </w:p>
        </w:tc>
        <w:tc>
          <w:tcPr>
            <w:tcW w:w="2151" w:type="dxa"/>
            <w:tcBorders>
              <w:top w:val="single" w:sz="8" w:space="0" w:color="666666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5E6DC91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Hazard ratio (95% CI)</w:t>
            </w:r>
          </w:p>
        </w:tc>
        <w:tc>
          <w:tcPr>
            <w:tcW w:w="1016" w:type="dxa"/>
            <w:tcBorders>
              <w:top w:val="single" w:sz="8" w:space="0" w:color="666666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4A88FA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P value</w:t>
            </w:r>
          </w:p>
        </w:tc>
        <w:tc>
          <w:tcPr>
            <w:tcW w:w="461" w:type="dxa"/>
            <w:vMerge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vAlign w:val="center"/>
            <w:hideMark/>
          </w:tcPr>
          <w:p w14:paraId="319BBF81" w14:textId="77777777" w:rsidR="00DD1B0F" w:rsidRDefault="00DD1B0F">
            <w:pPr>
              <w:widowControl/>
              <w:jc w:val="left"/>
              <w:rPr>
                <w:rFonts w:ascii="Times New Roman" w:hAnsi="Times New Roman"/>
              </w:rPr>
            </w:pPr>
          </w:p>
        </w:tc>
        <w:tc>
          <w:tcPr>
            <w:tcW w:w="2151" w:type="dxa"/>
            <w:tcBorders>
              <w:top w:val="single" w:sz="8" w:space="0" w:color="666666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0E766E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Hazard ratio (95% CI)</w:t>
            </w:r>
          </w:p>
        </w:tc>
        <w:tc>
          <w:tcPr>
            <w:tcW w:w="926" w:type="dxa"/>
            <w:tcBorders>
              <w:top w:val="single" w:sz="8" w:space="0" w:color="666666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8E22724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P value</w:t>
            </w:r>
          </w:p>
        </w:tc>
      </w:tr>
      <w:tr w:rsidR="00DD1B0F" w14:paraId="0D0CEA0B" w14:textId="77777777" w:rsidTr="00DD1B0F">
        <w:trPr>
          <w:jc w:val="center"/>
        </w:trPr>
        <w:tc>
          <w:tcPr>
            <w:tcW w:w="2459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24AA4F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NAXE</w:t>
            </w:r>
          </w:p>
        </w:tc>
        <w:tc>
          <w:tcPr>
            <w:tcW w:w="1239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BA67455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373</w:t>
            </w:r>
          </w:p>
        </w:tc>
        <w:tc>
          <w:tcPr>
            <w:tcW w:w="2151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BC9E6B4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1.416 (1.120 - 1.789)</w:t>
            </w:r>
          </w:p>
        </w:tc>
        <w:tc>
          <w:tcPr>
            <w:tcW w:w="1016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BA44AC0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color w:val="000000"/>
              </w:rPr>
              <w:t>0.004</w:t>
            </w:r>
          </w:p>
        </w:tc>
        <w:tc>
          <w:tcPr>
            <w:tcW w:w="461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D48CE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</w:p>
        </w:tc>
        <w:tc>
          <w:tcPr>
            <w:tcW w:w="2151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D2E5C01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1.389 (1.044 - 1.846)</w:t>
            </w:r>
          </w:p>
        </w:tc>
        <w:tc>
          <w:tcPr>
            <w:tcW w:w="926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68C3CFF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color w:val="000000"/>
              </w:rPr>
              <w:t>0.024</w:t>
            </w:r>
          </w:p>
        </w:tc>
      </w:tr>
      <w:tr w:rsidR="00DD1B0F" w14:paraId="29E1ADEE" w14:textId="77777777" w:rsidTr="00DD1B0F">
        <w:trPr>
          <w:jc w:val="center"/>
        </w:trPr>
        <w:tc>
          <w:tcPr>
            <w:tcW w:w="24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37B4E9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NADSYN1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8298DF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373</w:t>
            </w:r>
          </w:p>
        </w:tc>
        <w:tc>
          <w:tcPr>
            <w:tcW w:w="21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92F8EAE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1.615 (1.112 - 2.344)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081AA29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color w:val="000000"/>
              </w:rPr>
              <w:t>0.012</w:t>
            </w: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69D7E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</w:p>
        </w:tc>
        <w:tc>
          <w:tcPr>
            <w:tcW w:w="21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8BF602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1.270 (0.850 - 1.896)</w:t>
            </w:r>
          </w:p>
        </w:tc>
        <w:tc>
          <w:tcPr>
            <w:tcW w:w="9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0697CB3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0.243</w:t>
            </w:r>
          </w:p>
        </w:tc>
      </w:tr>
      <w:tr w:rsidR="00DD1B0F" w14:paraId="7B2E498E" w14:textId="77777777" w:rsidTr="00DD1B0F">
        <w:trPr>
          <w:jc w:val="center"/>
        </w:trPr>
        <w:tc>
          <w:tcPr>
            <w:tcW w:w="24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1DA4133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NT5C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D043524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373</w:t>
            </w:r>
          </w:p>
        </w:tc>
        <w:tc>
          <w:tcPr>
            <w:tcW w:w="21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5778A55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1.302 (1.066 - 1.591)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02BA11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color w:val="000000"/>
              </w:rPr>
              <w:t>0.010</w:t>
            </w: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A8FA31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</w:p>
        </w:tc>
        <w:tc>
          <w:tcPr>
            <w:tcW w:w="21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A92DF5F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1.048 (0.827 - 1.327)</w:t>
            </w:r>
          </w:p>
        </w:tc>
        <w:tc>
          <w:tcPr>
            <w:tcW w:w="9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F903AD9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0.700</w:t>
            </w:r>
          </w:p>
        </w:tc>
      </w:tr>
      <w:tr w:rsidR="00DD1B0F" w14:paraId="67B02E21" w14:textId="77777777" w:rsidTr="00DD1B0F">
        <w:trPr>
          <w:jc w:val="center"/>
        </w:trPr>
        <w:tc>
          <w:tcPr>
            <w:tcW w:w="24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9C8CBAA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PNP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73A14FE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373</w:t>
            </w:r>
          </w:p>
        </w:tc>
        <w:tc>
          <w:tcPr>
            <w:tcW w:w="21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A44451E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1.389 (1.095 - 1.762)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81C5880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color w:val="000000"/>
              </w:rPr>
              <w:t>0.007</w:t>
            </w: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27C2714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</w:p>
        </w:tc>
        <w:tc>
          <w:tcPr>
            <w:tcW w:w="21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FF3F86B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1.285 (0.987 - 1.674)</w:t>
            </w:r>
          </w:p>
        </w:tc>
        <w:tc>
          <w:tcPr>
            <w:tcW w:w="9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8DE5A8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0.063</w:t>
            </w:r>
          </w:p>
        </w:tc>
      </w:tr>
      <w:tr w:rsidR="00DD1B0F" w14:paraId="29C2A0DC" w14:textId="77777777" w:rsidTr="00DD1B0F">
        <w:trPr>
          <w:jc w:val="center"/>
        </w:trPr>
        <w:tc>
          <w:tcPr>
            <w:tcW w:w="245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E6887E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NT5E</w:t>
            </w:r>
          </w:p>
        </w:tc>
        <w:tc>
          <w:tcPr>
            <w:tcW w:w="123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0F482D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373</w:t>
            </w:r>
          </w:p>
        </w:tc>
        <w:tc>
          <w:tcPr>
            <w:tcW w:w="21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C50D0AB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1.142 (0.976 - 1.335)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36226A9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0.097</w:t>
            </w:r>
          </w:p>
        </w:tc>
        <w:tc>
          <w:tcPr>
            <w:tcW w:w="46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771E283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</w:p>
        </w:tc>
        <w:tc>
          <w:tcPr>
            <w:tcW w:w="215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70B692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1.187 (1.010 - 1.396)</w:t>
            </w:r>
          </w:p>
        </w:tc>
        <w:tc>
          <w:tcPr>
            <w:tcW w:w="92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BCD9B10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color w:val="000000"/>
              </w:rPr>
              <w:t>0.037</w:t>
            </w:r>
          </w:p>
        </w:tc>
      </w:tr>
      <w:tr w:rsidR="00DD1B0F" w14:paraId="4B008453" w14:textId="77777777" w:rsidTr="00DD1B0F">
        <w:trPr>
          <w:jc w:val="center"/>
        </w:trPr>
        <w:tc>
          <w:tcPr>
            <w:tcW w:w="2459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AA1EEEA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NT5C3A</w:t>
            </w:r>
          </w:p>
        </w:tc>
        <w:tc>
          <w:tcPr>
            <w:tcW w:w="1239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1575C6E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373</w:t>
            </w:r>
          </w:p>
        </w:tc>
        <w:tc>
          <w:tcPr>
            <w:tcW w:w="2151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F819E23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1.582 (1.222 - 2.048)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A9C64B5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color w:val="000000"/>
              </w:rPr>
              <w:t>&lt; 0.001</w:t>
            </w:r>
          </w:p>
        </w:tc>
        <w:tc>
          <w:tcPr>
            <w:tcW w:w="461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CD02BDF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</w:p>
        </w:tc>
        <w:tc>
          <w:tcPr>
            <w:tcW w:w="2151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9300C16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1.317 (0.985 - 1.763)</w:t>
            </w:r>
          </w:p>
        </w:tc>
        <w:tc>
          <w:tcPr>
            <w:tcW w:w="926" w:type="dxa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34C8E6C" w14:textId="77777777" w:rsidR="00DD1B0F" w:rsidRDefault="00DD1B0F">
            <w:pPr>
              <w:spacing w:before="100" w:after="100" w:line="360" w:lineRule="auto"/>
              <w:ind w:left="100" w:right="10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0.064</w:t>
            </w:r>
          </w:p>
        </w:tc>
      </w:tr>
    </w:tbl>
    <w:p w14:paraId="1B539F89" w14:textId="77777777" w:rsidR="00DD1B0F" w:rsidRDefault="00DD1B0F" w:rsidP="00DD1B0F">
      <w:p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</w:rPr>
        <w:t>CI, confidence interval.</w:t>
      </w:r>
    </w:p>
    <w:p w14:paraId="17D74F39" w14:textId="7CE293F9" w:rsidR="00DD1B0F" w:rsidRPr="00DD1B0F" w:rsidRDefault="00DD1B0F" w:rsidP="00DD1B0F">
      <w:pPr>
        <w:spacing w:line="360" w:lineRule="auto"/>
        <w:rPr>
          <w:rFonts w:ascii="Times New Roman" w:hAnsi="Times New Roman"/>
          <w:color w:val="FF0000"/>
        </w:rPr>
      </w:pPr>
      <w:r w:rsidRPr="00DD1B0F">
        <w:rPr>
          <w:rFonts w:hint="eastAsia"/>
          <w:color w:val="FF0000"/>
        </w:rPr>
        <w:t>S</w:t>
      </w:r>
      <w:r w:rsidRPr="00DD1B0F">
        <w:rPr>
          <w:color w:val="FF0000"/>
        </w:rPr>
        <w:t>upplement F</w:t>
      </w:r>
      <w:r w:rsidRPr="00DD1B0F">
        <w:rPr>
          <w:rFonts w:hint="eastAsia"/>
          <w:color w:val="FF0000"/>
        </w:rPr>
        <w:t>i</w:t>
      </w:r>
      <w:r w:rsidRPr="00DD1B0F">
        <w:rPr>
          <w:color w:val="FF0000"/>
        </w:rPr>
        <w:t>gures:</w:t>
      </w:r>
    </w:p>
    <w:p w14:paraId="3A06F54E" w14:textId="4A7B6E6D" w:rsidR="00DD1B0F" w:rsidRDefault="00DD1B0F" w:rsidP="00DD1B0F">
      <w:pPr>
        <w:pStyle w:val="a3"/>
        <w:widowControl/>
      </w:pPr>
      <w:r>
        <w:rPr>
          <w:noProof/>
        </w:rPr>
        <w:drawing>
          <wp:inline distT="0" distB="0" distL="0" distR="0" wp14:anchorId="59366BED" wp14:editId="7E6D845A">
            <wp:extent cx="5274310" cy="2761615"/>
            <wp:effectExtent l="0" t="0" r="2540" b="635"/>
            <wp:docPr id="17213927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6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37FD82A2" w14:textId="77777777" w:rsidR="00DD1B0F" w:rsidRDefault="00DD1B0F" w:rsidP="00DD1B0F">
      <w:pPr>
        <w:ind w:firstLineChars="200" w:firstLine="422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</w:rPr>
        <w:t xml:space="preserve">Figure </w:t>
      </w:r>
      <w:r>
        <w:rPr>
          <w:rFonts w:ascii="Times New Roman" w:hAnsi="Times New Roman" w:hint="eastAsia"/>
          <w:b/>
          <w:bCs/>
        </w:rPr>
        <w:t>S</w:t>
      </w:r>
      <w:r>
        <w:rPr>
          <w:rFonts w:ascii="Times New Roman" w:hAnsi="Times New Roman"/>
          <w:b/>
          <w:bCs/>
        </w:rPr>
        <w:t xml:space="preserve">1 Flowchart of the overall research. </w:t>
      </w:r>
    </w:p>
    <w:p w14:paraId="13895DC4" w14:textId="77777777" w:rsidR="00DD1B0F" w:rsidRDefault="00DD1B0F" w:rsidP="00DD1B0F">
      <w:pPr>
        <w:rPr>
          <w:rFonts w:ascii="等线" w:eastAsia="等线" w:hAnsi="等线"/>
        </w:rPr>
      </w:pPr>
      <w:r>
        <w:rPr>
          <w:rFonts w:ascii="Times New Roman" w:hAnsi="Times New Roman"/>
        </w:rPr>
        <w:t xml:space="preserve">TCGA: The cancer genome atlas. LIHC: Liver hepatocellular carcinoma. </w:t>
      </w:r>
      <w:proofErr w:type="gramStart"/>
      <w:r>
        <w:rPr>
          <w:rFonts w:ascii="Times New Roman" w:hAnsi="Times New Roman"/>
        </w:rPr>
        <w:t>DEGs :</w:t>
      </w:r>
      <w:proofErr w:type="gramEnd"/>
      <w:r>
        <w:rPr>
          <w:rFonts w:ascii="Times New Roman" w:hAnsi="Times New Roman"/>
        </w:rPr>
        <w:t xml:space="preserve"> differentially expressed genes. NMRDEGs: Nicotinamide metabolism-related differentially expressed genes. NMRGs: Nicotinamide metabolism-related genes. GO: Gene Ontology. KEGG: Kyoto Encyclopedia of Genes and Genomes. GSEA: Gene Set Enrichment Analysis. GSVA: Gene Set Variation Analysis. LASSO: Least absolute shrinkage and selection operator. DCA: Decision curve analysis. </w:t>
      </w:r>
      <w:proofErr w:type="spellStart"/>
      <w:r>
        <w:rPr>
          <w:rFonts w:ascii="Times New Roman" w:hAnsi="Times New Roman"/>
        </w:rPr>
        <w:t>ssGSEA</w:t>
      </w:r>
      <w:proofErr w:type="spellEnd"/>
      <w:r>
        <w:rPr>
          <w:rFonts w:ascii="Times New Roman" w:hAnsi="Times New Roman"/>
        </w:rPr>
        <w:t>: single-sample gene-set enrichment analysis. SNP: single nucleotide polymorphism. CNV: Copy number variation.</w:t>
      </w:r>
    </w:p>
    <w:p w14:paraId="17DEE4AC" w14:textId="77777777" w:rsidR="00DD1B0F" w:rsidRDefault="00DD1B0F" w:rsidP="00DD1B0F">
      <w:pPr>
        <w:rPr>
          <w:rFonts w:hint="eastAsia"/>
        </w:rPr>
      </w:pPr>
      <w:r>
        <w:t xml:space="preserve"> </w:t>
      </w:r>
    </w:p>
    <w:p w14:paraId="67809E70" w14:textId="475364E6" w:rsidR="00DD1B0F" w:rsidRDefault="00DD1B0F" w:rsidP="00DD1B0F">
      <w:pPr>
        <w:pStyle w:val="a3"/>
        <w:widowControl/>
      </w:pPr>
      <w:r>
        <w:rPr>
          <w:noProof/>
        </w:rPr>
        <w:lastRenderedPageBreak/>
        <w:drawing>
          <wp:inline distT="0" distB="0" distL="0" distR="0" wp14:anchorId="44540CEC" wp14:editId="1DFE7ECE">
            <wp:extent cx="5274310" cy="3546475"/>
            <wp:effectExtent l="0" t="0" r="2540" b="0"/>
            <wp:docPr id="158163563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4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B0D52" w14:textId="77777777" w:rsidR="00DD1B0F" w:rsidRDefault="00DD1B0F" w:rsidP="00DD1B0F">
      <w:pPr>
        <w:spacing w:line="360" w:lineRule="auto"/>
        <w:ind w:firstLineChars="200" w:firstLine="422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Figure </w:t>
      </w:r>
      <w:r>
        <w:rPr>
          <w:rFonts w:ascii="Times New Roman" w:hAnsi="Times New Roman" w:hint="eastAsia"/>
          <w:b/>
        </w:rPr>
        <w:t>S</w:t>
      </w:r>
      <w:r>
        <w:rPr>
          <w:rFonts w:ascii="Times New Roman" w:hAnsi="Times New Roman"/>
          <w:b/>
        </w:rPr>
        <w:t>2 The sample distribution boxplot and PCA diagram of the merged dataset before and after merging</w:t>
      </w:r>
    </w:p>
    <w:p w14:paraId="764AEC6F" w14:textId="77777777" w:rsidR="00DD1B0F" w:rsidRDefault="00DD1B0F" w:rsidP="00DD1B0F">
      <w:pPr>
        <w:numPr>
          <w:ilvl w:val="0"/>
          <w:numId w:val="2"/>
        </w:num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>-B.</w:t>
      </w:r>
      <w:r>
        <w:rPr>
          <w:rFonts w:ascii="Times New Roman" w:hAnsi="Times New Roman"/>
        </w:rPr>
        <w:t xml:space="preserve"> The sample distribution of the merged dataset's boxplot. </w:t>
      </w:r>
      <w:r>
        <w:rPr>
          <w:rFonts w:ascii="Times New Roman" w:hAnsi="Times New Roman"/>
          <w:b/>
          <w:bCs/>
        </w:rPr>
        <w:t xml:space="preserve">C-D. </w:t>
      </w:r>
      <w:r>
        <w:rPr>
          <w:rFonts w:ascii="Times New Roman" w:hAnsi="Times New Roman"/>
        </w:rPr>
        <w:t>The PCA graph of merged dataset. PCA: principal component analysis.</w:t>
      </w:r>
    </w:p>
    <w:p w14:paraId="335D62E0" w14:textId="77777777" w:rsidR="00DD1B0F" w:rsidRDefault="00DD1B0F" w:rsidP="00DD1B0F">
      <w:r>
        <w:t xml:space="preserve"> </w:t>
      </w:r>
    </w:p>
    <w:p w14:paraId="24FE39B1" w14:textId="05D484D6" w:rsidR="00DD1B0F" w:rsidRDefault="00DD1B0F" w:rsidP="00DD1B0F">
      <w:pPr>
        <w:pStyle w:val="a3"/>
        <w:widowControl/>
      </w:pPr>
      <w:r>
        <w:rPr>
          <w:noProof/>
        </w:rPr>
        <w:lastRenderedPageBreak/>
        <w:drawing>
          <wp:inline distT="0" distB="0" distL="0" distR="0" wp14:anchorId="65811B39" wp14:editId="7A721675">
            <wp:extent cx="5274310" cy="5283200"/>
            <wp:effectExtent l="0" t="0" r="2540" b="0"/>
            <wp:docPr id="189236319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808ED" w14:textId="77777777" w:rsidR="00DD1B0F" w:rsidRDefault="00DD1B0F" w:rsidP="00DD1B0F">
      <w:pPr>
        <w:spacing w:line="360" w:lineRule="auto"/>
        <w:ind w:firstLineChars="200" w:firstLine="422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Figure </w:t>
      </w:r>
      <w:r>
        <w:rPr>
          <w:rFonts w:ascii="Times New Roman" w:hAnsi="Times New Roman" w:hint="eastAsia"/>
          <w:b/>
        </w:rPr>
        <w:t>S3</w:t>
      </w:r>
      <w:r>
        <w:rPr>
          <w:rFonts w:ascii="Times New Roman" w:hAnsi="Times New Roman"/>
          <w:b/>
        </w:rPr>
        <w:t xml:space="preserve"> Construction of LASSO regression model</w:t>
      </w:r>
    </w:p>
    <w:p w14:paraId="117B4CD5" w14:textId="77777777" w:rsidR="00DD1B0F" w:rsidRDefault="00DD1B0F" w:rsidP="00DD1B0F">
      <w:pPr>
        <w:numPr>
          <w:ilvl w:val="0"/>
          <w:numId w:val="3"/>
        </w:num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LASSO regression model diagram of NMRDEGs. </w:t>
      </w:r>
      <w:r>
        <w:rPr>
          <w:rFonts w:ascii="Times New Roman" w:hAnsi="Times New Roman"/>
          <w:b/>
          <w:bCs/>
        </w:rPr>
        <w:t xml:space="preserve">B. </w:t>
      </w:r>
      <w:r>
        <w:rPr>
          <w:rFonts w:ascii="Times New Roman" w:hAnsi="Times New Roman"/>
        </w:rPr>
        <w:t xml:space="preserve">Variable trajectory plot of the LASSO regression model. </w:t>
      </w:r>
      <w:r>
        <w:rPr>
          <w:rFonts w:ascii="Times New Roman" w:hAnsi="Times New Roman"/>
          <w:b/>
          <w:bCs/>
        </w:rPr>
        <w:t xml:space="preserve">C. </w:t>
      </w:r>
      <w:r>
        <w:rPr>
          <w:rFonts w:ascii="Times New Roman" w:hAnsi="Times New Roman"/>
        </w:rPr>
        <w:t xml:space="preserve">Display of the risk factor diagram results for NMRDEGs in the LASSO regression model. </w:t>
      </w:r>
      <w:r>
        <w:rPr>
          <w:rFonts w:ascii="Times New Roman" w:hAnsi="Times New Roman"/>
          <w:b/>
        </w:rPr>
        <w:t>D.</w:t>
      </w:r>
      <w:r>
        <w:rPr>
          <w:rFonts w:ascii="Times New Roman" w:hAnsi="Times New Roman"/>
          <w:bCs/>
        </w:rPr>
        <w:t xml:space="preserve"> </w:t>
      </w:r>
      <w:r>
        <w:rPr>
          <w:rFonts w:ascii="Times New Roman" w:hAnsi="Times New Roman"/>
        </w:rPr>
        <w:t xml:space="preserve">ROC curve of the LASSO regression model. </w:t>
      </w:r>
      <w:r>
        <w:rPr>
          <w:rFonts w:ascii="Times New Roman" w:hAnsi="Times New Roman"/>
          <w:b/>
          <w:bCs/>
        </w:rPr>
        <w:t>E.</w:t>
      </w:r>
      <w:r>
        <w:rPr>
          <w:rFonts w:ascii="Times New Roman" w:hAnsi="Times New Roman"/>
        </w:rPr>
        <w:t xml:space="preserve"> Lollipop plots of correlations between NMRDEGs and LASSO regression models. LASSO: Least absolute shrinkage and selection operator</w:t>
      </w:r>
      <w:r>
        <w:rPr>
          <w:rFonts w:ascii="Times New Roman" w:hAnsi="Times New Roman"/>
          <w:color w:val="000000"/>
          <w:shd w:val="clear" w:color="auto" w:fill="FFFFFF"/>
        </w:rPr>
        <w:t xml:space="preserve">.  </w:t>
      </w:r>
      <w:r>
        <w:rPr>
          <w:rFonts w:ascii="Times New Roman" w:hAnsi="Times New Roman"/>
        </w:rPr>
        <w:t xml:space="preserve">NMRDEGs: Nicotinamide metabolism-related </w:t>
      </w:r>
      <w:r>
        <w:rPr>
          <w:rFonts w:ascii="Times New Roman" w:hAnsi="Times New Roman"/>
          <w:bCs/>
        </w:rPr>
        <w:t xml:space="preserve">differentially expressed genes. </w:t>
      </w:r>
      <w:r>
        <w:rPr>
          <w:rFonts w:ascii="Times New Roman" w:hAnsi="Times New Roman"/>
        </w:rPr>
        <w:t xml:space="preserve">The risk factor map consists of two parts: 1. Risk grouping: the </w:t>
      </w:r>
      <w:proofErr w:type="spellStart"/>
      <w:r>
        <w:rPr>
          <w:rFonts w:ascii="Times New Roman" w:hAnsi="Times New Roman"/>
        </w:rPr>
        <w:t>RiskScore</w:t>
      </w:r>
      <w:proofErr w:type="spellEnd"/>
      <w:r>
        <w:rPr>
          <w:rFonts w:ascii="Times New Roman" w:hAnsi="Times New Roman"/>
        </w:rPr>
        <w:t xml:space="preserve"> obtained by predicting the Cox regression prognostic model is grouped by median. 2. Survival outcome: Use dot plots to display the survival time and status of the TCGA-LIHC clinical samples in the data set.</w:t>
      </w:r>
    </w:p>
    <w:p w14:paraId="423F4DF6" w14:textId="77777777" w:rsidR="00DD1B0F" w:rsidRDefault="00DD1B0F" w:rsidP="00DD1B0F">
      <w:r>
        <w:t xml:space="preserve"> </w:t>
      </w:r>
    </w:p>
    <w:p w14:paraId="0BEC9BC6" w14:textId="1A09DDD5" w:rsidR="00DD1B0F" w:rsidRDefault="00DD1B0F" w:rsidP="00DD1B0F">
      <w:pPr>
        <w:pStyle w:val="a3"/>
        <w:widowControl/>
      </w:pPr>
      <w:r>
        <w:rPr>
          <w:noProof/>
        </w:rPr>
        <w:lastRenderedPageBreak/>
        <w:drawing>
          <wp:inline distT="0" distB="0" distL="0" distR="0" wp14:anchorId="0D302AF4" wp14:editId="055B48F0">
            <wp:extent cx="5274310" cy="4086225"/>
            <wp:effectExtent l="0" t="0" r="2540" b="9525"/>
            <wp:docPr id="100290189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0B933" w14:textId="77777777" w:rsidR="00DD1B0F" w:rsidRDefault="00DD1B0F" w:rsidP="00DD1B0F">
      <w:pPr>
        <w:spacing w:line="360" w:lineRule="auto"/>
        <w:ind w:firstLineChars="200" w:firstLine="422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 xml:space="preserve">Fig. </w:t>
      </w:r>
      <w:r>
        <w:rPr>
          <w:rFonts w:ascii="Times New Roman" w:hAnsi="Times New Roman" w:hint="eastAsia"/>
          <w:b/>
          <w:bCs/>
        </w:rPr>
        <w:t xml:space="preserve">S4 </w:t>
      </w:r>
      <w:r>
        <w:rPr>
          <w:rFonts w:ascii="Times New Roman" w:hAnsi="Times New Roman"/>
          <w:b/>
          <w:bCs/>
        </w:rPr>
        <w:t>The expression of key genes in GEO dataset</w:t>
      </w:r>
    </w:p>
    <w:p w14:paraId="756D8AD4" w14:textId="77777777" w:rsidR="00DD1B0F" w:rsidRDefault="00DD1B0F" w:rsidP="00DD1B0F">
      <w:pPr>
        <w:numPr>
          <w:ilvl w:val="0"/>
          <w:numId w:val="4"/>
        </w:numPr>
        <w:spacing w:line="36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The grouping comparison chart results of key genes in different groups (Normal/LIHC) of </w:t>
      </w:r>
      <w:r>
        <w:rPr>
          <w:rFonts w:ascii="Times New Roman" w:hAnsi="Times New Roman"/>
          <w:color w:val="000000"/>
        </w:rPr>
        <w:t xml:space="preserve">the merge datasets. </w:t>
      </w:r>
      <w:r>
        <w:rPr>
          <w:rFonts w:ascii="Times New Roman" w:hAnsi="Times New Roman"/>
          <w:b/>
          <w:bCs/>
        </w:rPr>
        <w:t xml:space="preserve">B. </w:t>
      </w:r>
      <w:r>
        <w:rPr>
          <w:rFonts w:ascii="Times New Roman" w:hAnsi="Times New Roman"/>
        </w:rPr>
        <w:t xml:space="preserve">Display of the correlation heat map results of key genes in </w:t>
      </w:r>
      <w:r>
        <w:rPr>
          <w:rFonts w:ascii="Times New Roman" w:hAnsi="Times New Roman"/>
          <w:color w:val="000000"/>
        </w:rPr>
        <w:t>the merge datasets.</w:t>
      </w:r>
      <w:r>
        <w:rPr>
          <w:rFonts w:ascii="Times New Roman" w:hAnsi="Times New Roman"/>
          <w:b/>
          <w:bCs/>
          <w:color w:val="000000"/>
        </w:rPr>
        <w:t xml:space="preserve"> </w:t>
      </w:r>
      <w:r>
        <w:rPr>
          <w:rFonts w:ascii="Times New Roman" w:hAnsi="Times New Roman"/>
          <w:b/>
          <w:bCs/>
        </w:rPr>
        <w:t xml:space="preserve">C. </w:t>
      </w:r>
      <w:r>
        <w:rPr>
          <w:rFonts w:ascii="Times New Roman" w:hAnsi="Times New Roman"/>
        </w:rPr>
        <w:t xml:space="preserve">The grouping comparison chart results of key genes in different groups (Normal/LIHC) of GSE25097. </w:t>
      </w:r>
      <w:r>
        <w:rPr>
          <w:rFonts w:ascii="Times New Roman" w:hAnsi="Times New Roman"/>
          <w:b/>
          <w:bCs/>
        </w:rPr>
        <w:t>D.</w:t>
      </w:r>
      <w:r>
        <w:rPr>
          <w:rFonts w:ascii="Times New Roman" w:hAnsi="Times New Roman"/>
        </w:rPr>
        <w:t xml:space="preserve"> The grouping comparison chart results of key genes between different groups (Normal/LIHC) of </w:t>
      </w:r>
      <w:r>
        <w:rPr>
          <w:rFonts w:ascii="Times New Roman" w:hAnsi="Times New Roman"/>
          <w:color w:val="000000"/>
        </w:rPr>
        <w:t>GSE84402</w:t>
      </w:r>
      <w:r>
        <w:rPr>
          <w:rFonts w:ascii="Times New Roman" w:hAnsi="Times New Roman"/>
        </w:rPr>
        <w:t xml:space="preserve">. * P &lt; 0.05, ** P &lt; 0.01, *** P &lt; 0.001. </w:t>
      </w:r>
    </w:p>
    <w:p w14:paraId="0673D4CA" w14:textId="77777777" w:rsidR="00DD1B0F" w:rsidRDefault="00DD1B0F" w:rsidP="00DD1B0F">
      <w:r>
        <w:t xml:space="preserve"> </w:t>
      </w:r>
    </w:p>
    <w:p w14:paraId="32D90FC4" w14:textId="09343EC5" w:rsidR="00DD1B0F" w:rsidRDefault="00DD1B0F" w:rsidP="00DD1B0F">
      <w:pPr>
        <w:pStyle w:val="a3"/>
        <w:widowControl/>
      </w:pPr>
      <w:r>
        <w:rPr>
          <w:noProof/>
        </w:rPr>
        <w:lastRenderedPageBreak/>
        <w:drawing>
          <wp:inline distT="0" distB="0" distL="0" distR="0" wp14:anchorId="073C641B" wp14:editId="070C981D">
            <wp:extent cx="5274310" cy="5055235"/>
            <wp:effectExtent l="0" t="0" r="2540" b="0"/>
            <wp:docPr id="16376065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05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E8F45" w14:textId="77777777" w:rsidR="00DD1B0F" w:rsidRDefault="00DD1B0F" w:rsidP="00DD1B0F">
      <w:r>
        <w:t xml:space="preserve"> </w:t>
      </w:r>
    </w:p>
    <w:p w14:paraId="170B2555" w14:textId="77777777" w:rsidR="00DD1B0F" w:rsidRDefault="00DD1B0F" w:rsidP="00DD1B0F">
      <w:pPr>
        <w:spacing w:line="360" w:lineRule="auto"/>
        <w:ind w:firstLineChars="200" w:firstLine="422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Fig</w:t>
      </w:r>
      <w:r>
        <w:rPr>
          <w:rFonts w:ascii="Times New Roman" w:hAnsi="Times New Roman" w:hint="eastAsia"/>
          <w:b/>
        </w:rPr>
        <w:t>.</w:t>
      </w:r>
      <w:r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 w:hint="eastAsia"/>
          <w:b/>
        </w:rPr>
        <w:t>S5</w:t>
      </w:r>
      <w:r>
        <w:rPr>
          <w:rFonts w:ascii="Times New Roman" w:hAnsi="Times New Roman"/>
          <w:b/>
        </w:rPr>
        <w:t xml:space="preserve"> K-M curve analysis of the prognosis performance of key genes</w:t>
      </w:r>
    </w:p>
    <w:p w14:paraId="21A3EA80" w14:textId="77777777" w:rsidR="00DD1B0F" w:rsidRDefault="00DD1B0F" w:rsidP="00DD1B0F">
      <w:pPr>
        <w:numPr>
          <w:ilvl w:val="0"/>
          <w:numId w:val="5"/>
        </w:numPr>
        <w:spacing w:line="360" w:lineRule="auto"/>
        <w:rPr>
          <w:rFonts w:ascii="Arial" w:hAnsi="Arial" w:cs="Arial"/>
        </w:rPr>
      </w:pPr>
      <w:r>
        <w:rPr>
          <w:rFonts w:ascii="Times New Roman" w:hAnsi="Times New Roman"/>
          <w:b/>
          <w:bCs/>
        </w:rPr>
        <w:t>-D.</w:t>
      </w:r>
      <w:r>
        <w:rPr>
          <w:rFonts w:ascii="Times New Roman" w:hAnsi="Times New Roman"/>
        </w:rPr>
        <w:t xml:space="preserve"> Prognostic analysis of key genes KM curve. KM curve: </w:t>
      </w:r>
      <w:r>
        <w:rPr>
          <w:rFonts w:ascii="Times New Roman" w:hAnsi="Times New Roman"/>
          <w:bCs/>
        </w:rPr>
        <w:t xml:space="preserve">Kaplan-Meier curve. </w:t>
      </w:r>
      <w:r>
        <w:rPr>
          <w:rFonts w:ascii="Times New Roman" w:hAnsi="Times New Roman"/>
        </w:rPr>
        <w:t>P &lt; 0.05 means statistically significant</w:t>
      </w:r>
    </w:p>
    <w:p w14:paraId="2867E1F4" w14:textId="77777777" w:rsidR="00DD1B0F" w:rsidRDefault="00DD1B0F" w:rsidP="00DD1B0F">
      <w:pPr>
        <w:spacing w:line="36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4050CA9A" w14:textId="2A18A99B" w:rsidR="00DD1B0F" w:rsidRDefault="00DD1B0F" w:rsidP="00DD1B0F">
      <w:pPr>
        <w:pStyle w:val="a3"/>
        <w:widowControl/>
      </w:pPr>
      <w:r>
        <w:rPr>
          <w:noProof/>
        </w:rPr>
        <w:lastRenderedPageBreak/>
        <w:drawing>
          <wp:inline distT="0" distB="0" distL="0" distR="0" wp14:anchorId="7968B0BA" wp14:editId="6E360988">
            <wp:extent cx="5274310" cy="6508115"/>
            <wp:effectExtent l="0" t="0" r="2540" b="6985"/>
            <wp:docPr id="14032707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50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959AC" w14:textId="77777777" w:rsidR="00DD1B0F" w:rsidRDefault="00DD1B0F" w:rsidP="00DD1B0F">
      <w:pPr>
        <w:spacing w:line="360" w:lineRule="auto"/>
        <w:ind w:firstLineChars="200" w:firstLine="422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 xml:space="preserve">Fig. </w:t>
      </w:r>
      <w:r>
        <w:rPr>
          <w:rFonts w:ascii="Times New Roman" w:hAnsi="Times New Roman" w:hint="eastAsia"/>
          <w:b/>
          <w:bCs/>
        </w:rPr>
        <w:t>S6</w:t>
      </w:r>
      <w:r>
        <w:rPr>
          <w:rFonts w:ascii="Times New Roman" w:hAnsi="Times New Roman"/>
          <w:b/>
          <w:bCs/>
        </w:rPr>
        <w:t xml:space="preserve"> The expression of key genes in the high and low nicotinamide metabolism score (High/Low) group</w:t>
      </w:r>
    </w:p>
    <w:p w14:paraId="2872129F" w14:textId="77777777" w:rsidR="00DD1B0F" w:rsidRDefault="00DD1B0F" w:rsidP="00DD1B0F">
      <w:pPr>
        <w:numPr>
          <w:ilvl w:val="0"/>
          <w:numId w:val="6"/>
        </w:numPr>
        <w:spacing w:line="360" w:lineRule="auto"/>
        <w:rPr>
          <w:rFonts w:ascii="Arial" w:hAnsi="Arial" w:cs="Arial"/>
          <w:b/>
          <w:bCs/>
        </w:rPr>
      </w:pPr>
      <w:r>
        <w:rPr>
          <w:rFonts w:ascii="Times New Roman" w:hAnsi="Times New Roman"/>
        </w:rPr>
        <w:t xml:space="preserve">The group comparison chart between High/Low groups of the nicotinamide metabolism score of the key genes. </w:t>
      </w:r>
      <w:r>
        <w:rPr>
          <w:rFonts w:ascii="Times New Roman" w:hAnsi="Times New Roman"/>
          <w:b/>
          <w:bCs/>
        </w:rPr>
        <w:t>B.</w:t>
      </w:r>
      <w:r>
        <w:rPr>
          <w:rFonts w:ascii="Times New Roman" w:hAnsi="Times New Roman"/>
        </w:rPr>
        <w:t xml:space="preserve"> The co-expression heatmap results of key genes. </w:t>
      </w:r>
      <w:r>
        <w:rPr>
          <w:rFonts w:ascii="Times New Roman" w:hAnsi="Times New Roman"/>
          <w:b/>
          <w:bCs/>
        </w:rPr>
        <w:t>C-H</w:t>
      </w:r>
      <w:r>
        <w:rPr>
          <w:rFonts w:ascii="Times New Roman" w:hAnsi="Times New Roman"/>
        </w:rPr>
        <w:t>.</w:t>
      </w:r>
      <w:r>
        <w:rPr>
          <w:rFonts w:ascii="等线" w:eastAsia="等线" w:hAnsi="等线" w:hint="eastAsia"/>
        </w:rPr>
        <w:t xml:space="preserve"> </w:t>
      </w:r>
      <w:r>
        <w:rPr>
          <w:rFonts w:ascii="Times New Roman" w:hAnsi="Times New Roman"/>
        </w:rPr>
        <w:t>ROC curves for prediction models based on key genes NT5E (</w:t>
      </w:r>
      <w:r>
        <w:rPr>
          <w:rFonts w:ascii="Times New Roman" w:hAnsi="Times New Roman"/>
          <w:b/>
          <w:bCs/>
        </w:rPr>
        <w:t>C</w:t>
      </w:r>
      <w:r>
        <w:rPr>
          <w:rFonts w:ascii="Times New Roman" w:hAnsi="Times New Roman"/>
        </w:rPr>
        <w:t>), NT5C (</w:t>
      </w:r>
      <w:r>
        <w:rPr>
          <w:rFonts w:ascii="Times New Roman" w:hAnsi="Times New Roman"/>
          <w:b/>
          <w:bCs/>
        </w:rPr>
        <w:t>D</w:t>
      </w:r>
      <w:r>
        <w:rPr>
          <w:rFonts w:ascii="Times New Roman" w:hAnsi="Times New Roman"/>
        </w:rPr>
        <w:t>), NT5C3A (</w:t>
      </w:r>
      <w:r>
        <w:rPr>
          <w:rFonts w:ascii="Times New Roman" w:hAnsi="Times New Roman"/>
          <w:b/>
          <w:bCs/>
        </w:rPr>
        <w:t>E</w:t>
      </w:r>
      <w:r>
        <w:rPr>
          <w:rFonts w:ascii="Times New Roman" w:hAnsi="Times New Roman"/>
        </w:rPr>
        <w:t>), PNP (</w:t>
      </w:r>
      <w:r>
        <w:rPr>
          <w:rFonts w:ascii="Times New Roman" w:hAnsi="Times New Roman"/>
          <w:b/>
          <w:bCs/>
        </w:rPr>
        <w:t>F</w:t>
      </w:r>
      <w:r>
        <w:rPr>
          <w:rFonts w:ascii="Times New Roman" w:hAnsi="Times New Roman"/>
        </w:rPr>
        <w:t>), NADSYN1 (</w:t>
      </w:r>
      <w:r>
        <w:rPr>
          <w:rFonts w:ascii="Times New Roman" w:hAnsi="Times New Roman"/>
          <w:b/>
          <w:bCs/>
        </w:rPr>
        <w:t>G</w:t>
      </w:r>
      <w:r>
        <w:rPr>
          <w:rFonts w:ascii="Times New Roman" w:hAnsi="Times New Roman"/>
        </w:rPr>
        <w:t>), NAXE (</w:t>
      </w:r>
      <w:r>
        <w:rPr>
          <w:rFonts w:ascii="Times New Roman" w:hAnsi="Times New Roman"/>
          <w:b/>
          <w:bCs/>
        </w:rPr>
        <w:t>H</w:t>
      </w:r>
      <w:r>
        <w:rPr>
          <w:rFonts w:ascii="Times New Roman" w:hAnsi="Times New Roman"/>
        </w:rPr>
        <w:t>). *** P &lt; 0.001. R</w:t>
      </w:r>
      <w:r>
        <w:rPr>
          <w:rFonts w:ascii="Times New Roman" w:hAnsi="Times New Roman"/>
          <w:bCs/>
        </w:rPr>
        <w:t>OC: Receiver operating characteristic curve. AUC values closer to 1.0 signify better predictive performance of the model.</w:t>
      </w:r>
    </w:p>
    <w:p w14:paraId="3B413069" w14:textId="77777777" w:rsidR="00DD1B0F" w:rsidRDefault="00DD1B0F" w:rsidP="00DD1B0F">
      <w:r>
        <w:lastRenderedPageBreak/>
        <w:t xml:space="preserve"> </w:t>
      </w:r>
    </w:p>
    <w:p w14:paraId="270213C8" w14:textId="18C54754" w:rsidR="004B3281" w:rsidRPr="00DD1B0F" w:rsidRDefault="00000000">
      <w:pPr>
        <w:rPr>
          <w:rFonts w:hint="eastAsia"/>
        </w:rPr>
      </w:pPr>
    </w:p>
    <w:sectPr w:rsidR="004B3281" w:rsidRPr="00DD1B0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4422909"/>
    <w:multiLevelType w:val="multilevel"/>
    <w:tmpl w:val="DFAA1040"/>
    <w:lvl w:ilvl="0">
      <w:start w:val="1"/>
      <w:numFmt w:val="upperLetter"/>
      <w:suff w:val="space"/>
      <w:lvlText w:val="%1."/>
      <w:lvlJc w:val="left"/>
      <w:pPr>
        <w:ind w:left="0" w:firstLine="0"/>
      </w:pPr>
      <w:rPr>
        <w:rFonts w:ascii="Times New Roman" w:hAnsi="Times New Roman" w:cs="Times New Roman" w:hint="default"/>
        <w:b/>
        <w:bCs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1" w15:restartNumberingAfterBreak="0">
    <w:nsid w:val="29374A62"/>
    <w:multiLevelType w:val="multilevel"/>
    <w:tmpl w:val="9A180868"/>
    <w:lvl w:ilvl="0">
      <w:start w:val="1"/>
      <w:numFmt w:val="upperLetter"/>
      <w:suff w:val="nothing"/>
      <w:lvlText w:val="%1"/>
      <w:lvlJc w:val="left"/>
      <w:pPr>
        <w:ind w:left="0" w:firstLine="0"/>
      </w:pPr>
      <w:rPr>
        <w:rFonts w:ascii="Times New Roman" w:hAnsi="Times New Roman" w:cs="Times New Roman" w:hint="default"/>
        <w:b/>
        <w:bCs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2" w15:restartNumberingAfterBreak="0">
    <w:nsid w:val="3655222E"/>
    <w:multiLevelType w:val="multilevel"/>
    <w:tmpl w:val="E2E035B0"/>
    <w:lvl w:ilvl="0">
      <w:start w:val="1"/>
      <w:numFmt w:val="upperLetter"/>
      <w:suff w:val="space"/>
      <w:lvlText w:val="%1."/>
      <w:lvlJc w:val="left"/>
      <w:pPr>
        <w:ind w:left="0" w:firstLine="0"/>
      </w:pPr>
      <w:rPr>
        <w:rFonts w:ascii="Times New Roman" w:hAnsi="Times New Roman" w:cs="Times New Roman" w:hint="default"/>
        <w:b/>
        <w:bCs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3" w15:restartNumberingAfterBreak="0">
    <w:nsid w:val="39A10705"/>
    <w:multiLevelType w:val="multilevel"/>
    <w:tmpl w:val="0F58E1CE"/>
    <w:lvl w:ilvl="0">
      <w:start w:val="1"/>
      <w:numFmt w:val="upperLetter"/>
      <w:suff w:val="space"/>
      <w:lvlText w:val="%1."/>
      <w:lvlJc w:val="left"/>
      <w:pPr>
        <w:ind w:left="0" w:firstLine="0"/>
      </w:pPr>
      <w:rPr>
        <w:rFonts w:ascii="Times New Roman" w:hAnsi="Times New Roman" w:cs="Times New Roman" w:hint="default"/>
        <w:b/>
        <w:bCs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4" w15:restartNumberingAfterBreak="0">
    <w:nsid w:val="44326904"/>
    <w:multiLevelType w:val="multilevel"/>
    <w:tmpl w:val="26A282CE"/>
    <w:lvl w:ilvl="0">
      <w:start w:val="1"/>
      <w:numFmt w:val="upperLetter"/>
      <w:suff w:val="space"/>
      <w:lvlText w:val="%1.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ADF6D2E"/>
    <w:multiLevelType w:val="multilevel"/>
    <w:tmpl w:val="B136D6A4"/>
    <w:lvl w:ilvl="0">
      <w:start w:val="1"/>
      <w:numFmt w:val="upperLetter"/>
      <w:suff w:val="nothing"/>
      <w:lvlText w:val="%1"/>
      <w:lvlJc w:val="left"/>
      <w:pPr>
        <w:ind w:left="0" w:firstLine="0"/>
      </w:pPr>
      <w:rPr>
        <w:rFonts w:ascii="Times New Roman" w:hAnsi="Times New Roman" w:cs="Times New Roman" w:hint="default"/>
        <w:b/>
        <w:bCs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num w:numId="1" w16cid:durableId="75729462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421082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5343194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11054641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92861010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7190218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1B0F"/>
    <w:rsid w:val="00412B93"/>
    <w:rsid w:val="00CC6699"/>
    <w:rsid w:val="00DD1B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70CF96"/>
  <w15:chartTrackingRefBased/>
  <w15:docId w15:val="{33AECDE5-8DDE-4392-A5BA-238C9E317D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D1B0F"/>
    <w:pPr>
      <w:widowControl w:val="0"/>
      <w:jc w:val="both"/>
    </w:pPr>
    <w:rPr>
      <w:rFonts w:ascii="Calibri" w:eastAsia="宋体" w:hAnsi="Calibri" w:cs="Times New Roman"/>
      <w:szCs w:val="21"/>
    </w:rPr>
  </w:style>
  <w:style w:type="paragraph" w:styleId="3">
    <w:name w:val="heading 3"/>
    <w:basedOn w:val="a"/>
    <w:next w:val="a"/>
    <w:link w:val="30"/>
    <w:uiPriority w:val="99"/>
    <w:qFormat/>
    <w:rsid w:val="00DD1B0F"/>
    <w:pPr>
      <w:spacing w:before="100" w:beforeAutospacing="1" w:after="100" w:afterAutospacing="1"/>
      <w:jc w:val="left"/>
      <w:outlineLvl w:val="2"/>
    </w:pPr>
    <w:rPr>
      <w:rFonts w:ascii="宋体" w:hAnsi="宋体"/>
      <w:bCs/>
      <w:kern w:val="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标题 3 字符"/>
    <w:basedOn w:val="a0"/>
    <w:link w:val="3"/>
    <w:uiPriority w:val="99"/>
    <w:rsid w:val="00DD1B0F"/>
    <w:rPr>
      <w:rFonts w:ascii="宋体" w:eastAsia="宋体" w:hAnsi="宋体" w:cs="Times New Roman"/>
      <w:bCs/>
      <w:kern w:val="0"/>
      <w:szCs w:val="21"/>
    </w:rPr>
  </w:style>
  <w:style w:type="paragraph" w:customStyle="1" w:styleId="ListParagraph">
    <w:name w:val="List Paragraph"/>
    <w:basedOn w:val="a"/>
    <w:rsid w:val="00DD1B0F"/>
    <w:pPr>
      <w:ind w:firstLineChars="200" w:firstLine="420"/>
    </w:pPr>
    <w:rPr>
      <w:rFonts w:eastAsia="Times New Roman"/>
    </w:rPr>
  </w:style>
  <w:style w:type="paragraph" w:styleId="a3">
    <w:name w:val="Normal (Web)"/>
    <w:basedOn w:val="a"/>
    <w:uiPriority w:val="99"/>
    <w:unhideWhenUsed/>
    <w:rsid w:val="00DD1B0F"/>
    <w:pPr>
      <w:spacing w:before="100" w:beforeAutospacing="1" w:after="100" w:afterAutospacing="1"/>
      <w:jc w:val="left"/>
    </w:pPr>
    <w:rPr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797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76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08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1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07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8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1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12</Pages>
  <Words>1174</Words>
  <Characters>6697</Characters>
  <Application>Microsoft Office Word</Application>
  <DocSecurity>0</DocSecurity>
  <Lines>55</Lines>
  <Paragraphs>15</Paragraphs>
  <ScaleCrop>false</ScaleCrop>
  <Company/>
  <LinksUpToDate>false</LinksUpToDate>
  <CharactersWithSpaces>7856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1514431201@qq.com</dc:creator>
  <cp:keywords/>
  <dc:description/>
  <cp:lastModifiedBy>1514431201@qq.com</cp:lastModifiedBy>
  <cp:revision>1</cp:revision>
  <dcterms:created xsi:type="dcterms:W3CDTF">2024-05-08T04:56:00Z</dcterms:created>
  <dcterms:modified xsi:type="dcterms:W3CDTF">2024-05-08T05:07:00Z</dcterms:modified>
</cp:coreProperties>
</file>