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adjustRightInd w:val="0"/>
        <w:snapToGrid w:val="0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b/>
          <w:bCs/>
          <w:kern w:val="2"/>
        </w:rPr>
      </w:pPr>
      <w:r>
        <w:rPr>
          <w:rFonts w:ascii="Times New Roman" w:hAnsi="Times New Roman" w:cs="Times New Roman"/>
          <w:b/>
          <w:bCs/>
          <w:kern w:val="2"/>
        </w:rPr>
        <w:drawing>
          <wp:inline distT="0" distB="0" distL="0" distR="0">
            <wp:extent cx="5274310" cy="4232275"/>
            <wp:effectExtent l="0" t="0" r="2540" b="0"/>
            <wp:docPr id="1" name="图片 1" descr="G:\0梅斯\杨剑MED-PUB-210907409-PUB20\11 Therapeutic Advances in Medical Oncology\Supplement figur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0梅斯\杨剑MED-PUB-210907409-PUB20\11 Therapeutic Advances in Medical Oncology\Supplement figure 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 w:val="0"/>
        <w:snapToGrid w:val="0"/>
        <w:spacing w:before="0" w:beforeAutospacing="0" w:after="0" w:afterAutospacing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kern w:val="2"/>
        </w:rPr>
        <w:t xml:space="preserve">Figure S1: </w:t>
      </w:r>
      <w:r>
        <w:rPr>
          <w:rFonts w:ascii="Times New Roman" w:hAnsi="Times New Roman" w:cs="Times New Roman"/>
          <w:bCs/>
          <w:kern w:val="2"/>
        </w:rPr>
        <w:t>(</w:t>
      </w:r>
      <w:r>
        <w:rPr>
          <w:rFonts w:ascii="Times New Roman" w:hAnsi="Times New Roman" w:cs="Times New Roman"/>
          <w:kern w:val="2"/>
        </w:rPr>
        <w:t>A) The postoperative follow-up (May 2018) showed tumor recurrence in the lungs, A1-4 showed another four metastatic lesions; (B) At the end of the last chemotherapy of arsenic trioxide and before the treatment of tislelizumab (October 2018). B1-4 showed another four metastatic lesions, the la</w:t>
      </w:r>
      <w:bookmarkStart w:id="0" w:name="_GoBack"/>
      <w:bookmarkEnd w:id="0"/>
      <w:r>
        <w:rPr>
          <w:rFonts w:ascii="Times New Roman" w:hAnsi="Times New Roman" w:cs="Times New Roman"/>
          <w:kern w:val="2"/>
        </w:rPr>
        <w:t>rgest measuring 5.4x3.2 cm located in anterior segment of left upper lobe; (C): C1-4 showed another four lesions were obviously diminished after 2 cycles of treatment with tislelizumab (January 2019). The efficacy was first evaluated as a partial response; (D) D1-4 showed that the other four lesions nearly disappeared. The efficacy was first evaluated as a complete response after 12 cycles of treatment with tislelizumab (July 2019)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9744147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fr-FR"/>
          </w:rPr>
          <w:t>1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FhZDIxNDRmZjBhNDdiZWNkZDlhYzZmMmZkYTVlMjQifQ=="/>
  </w:docVars>
  <w:rsids>
    <w:rsidRoot w:val="0044572E"/>
    <w:rsid w:val="00286DD6"/>
    <w:rsid w:val="0038574E"/>
    <w:rsid w:val="0044572E"/>
    <w:rsid w:val="006173FF"/>
    <w:rsid w:val="006A3530"/>
    <w:rsid w:val="00812695"/>
    <w:rsid w:val="00B31410"/>
    <w:rsid w:val="00E13FDF"/>
    <w:rsid w:val="320F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117</Words>
  <Characters>639</Characters>
  <Lines>5</Lines>
  <Paragraphs>1</Paragraphs>
  <TotalTime>9</TotalTime>
  <ScaleCrop>false</ScaleCrop>
  <LinksUpToDate>false</LinksUpToDate>
  <CharactersWithSpaces>755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2023-12-26T01:37:00Z</dcterms:created>
  <dc:creator>xxx</dc:creator>
  <cp:lastModifiedBy>admin</cp:lastModifiedBy>
  <dcterms:modified xsi:type="dcterms:W3CDTF">2024-05-07T08:42:56Z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419C7B2C64224652BE1FCB49D1951969_12</vt:lpwstr>
  </property>
</Properties>
</file>