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FBD8BB" w14:textId="77777777" w:rsidR="003C282E" w:rsidRPr="00EC4296" w:rsidRDefault="00576838">
      <w:pPr>
        <w:rPr>
          <w:rFonts w:ascii="Arial" w:hAnsi="Arial" w:cs="Arial"/>
          <w:b/>
          <w:sz w:val="32"/>
          <w:szCs w:val="32"/>
          <w:lang w:val="en-GB"/>
        </w:rPr>
      </w:pPr>
      <w:bookmarkStart w:id="0" w:name="_Hlk155178952"/>
      <w:bookmarkEnd w:id="0"/>
      <w:r w:rsidRPr="00EC4296">
        <w:rPr>
          <w:rFonts w:ascii="Arial" w:hAnsi="Arial" w:cs="Arial"/>
          <w:b/>
          <w:sz w:val="32"/>
          <w:szCs w:val="32"/>
          <w:lang w:val="en-GB"/>
        </w:rPr>
        <w:t>Supplementary Figures</w:t>
      </w:r>
    </w:p>
    <w:p w14:paraId="3DB98205" w14:textId="7F07BD2A" w:rsidR="00542F65" w:rsidRPr="00EC4296" w:rsidRDefault="00542F65" w:rsidP="00CE7218">
      <w:pPr>
        <w:spacing w:after="0" w:line="480" w:lineRule="auto"/>
        <w:jc w:val="both"/>
        <w:rPr>
          <w:rFonts w:ascii="Arial" w:hAnsi="Arial" w:cs="Arial"/>
          <w:bCs/>
          <w:sz w:val="20"/>
          <w:szCs w:val="20"/>
          <w:lang w:val="en-GB"/>
        </w:rPr>
      </w:pPr>
      <w:r w:rsidRPr="00EC4296">
        <w:rPr>
          <w:rFonts w:ascii="Arial" w:hAnsi="Arial" w:cs="Arial"/>
          <w:b/>
          <w:sz w:val="20"/>
          <w:szCs w:val="20"/>
          <w:lang w:val="en-GB"/>
        </w:rPr>
        <w:t xml:space="preserve">Supplementary Figure 1: </w:t>
      </w:r>
      <w:r w:rsidRPr="00EC4296">
        <w:rPr>
          <w:rFonts w:ascii="Arial" w:hAnsi="Arial" w:cs="Arial"/>
          <w:bCs/>
          <w:sz w:val="20"/>
          <w:szCs w:val="20"/>
          <w:lang w:val="en-GB"/>
        </w:rPr>
        <w:t>Tet-on Jurkat T cells</w:t>
      </w:r>
      <w:r w:rsidR="00826F72" w:rsidRPr="00EC4296">
        <w:rPr>
          <w:rFonts w:ascii="Arial" w:hAnsi="Arial" w:cs="Arial"/>
          <w:bCs/>
          <w:sz w:val="20"/>
          <w:szCs w:val="20"/>
          <w:lang w:val="en-GB"/>
        </w:rPr>
        <w:t xml:space="preserve"> with</w:t>
      </w:r>
      <w:r w:rsidRPr="00EC4296">
        <w:rPr>
          <w:rFonts w:ascii="Arial" w:hAnsi="Arial" w:cs="Arial"/>
          <w:bCs/>
          <w:sz w:val="20"/>
          <w:szCs w:val="20"/>
          <w:lang w:val="en-GB"/>
        </w:rPr>
        <w:t xml:space="preserve"> inducibl</w:t>
      </w:r>
      <w:r w:rsidR="00826F72" w:rsidRPr="00EC4296">
        <w:rPr>
          <w:rFonts w:ascii="Arial" w:hAnsi="Arial" w:cs="Arial"/>
          <w:bCs/>
          <w:sz w:val="20"/>
          <w:szCs w:val="20"/>
          <w:lang w:val="en-GB"/>
        </w:rPr>
        <w:t>e</w:t>
      </w:r>
      <w:r w:rsidRPr="00EC4296">
        <w:rPr>
          <w:rFonts w:ascii="Arial" w:hAnsi="Arial" w:cs="Arial"/>
          <w:bCs/>
          <w:sz w:val="20"/>
          <w:szCs w:val="20"/>
          <w:lang w:val="en-GB"/>
        </w:rPr>
        <w:t xml:space="preserve"> express</w:t>
      </w:r>
      <w:r w:rsidR="00826F72" w:rsidRPr="00EC4296">
        <w:rPr>
          <w:rFonts w:ascii="Arial" w:hAnsi="Arial" w:cs="Arial"/>
          <w:bCs/>
          <w:sz w:val="20"/>
          <w:szCs w:val="20"/>
          <w:lang w:val="en-GB"/>
        </w:rPr>
        <w:t>ion of</w:t>
      </w:r>
      <w:r w:rsidRPr="00EC4296">
        <w:rPr>
          <w:rFonts w:ascii="Arial" w:hAnsi="Arial" w:cs="Arial"/>
          <w:bCs/>
          <w:sz w:val="20"/>
          <w:szCs w:val="20"/>
          <w:lang w:val="en-GB"/>
        </w:rPr>
        <w:t xml:space="preserve"> PPAR</w:t>
      </w:r>
      <w:r w:rsidR="00A00C68">
        <w:rPr>
          <w:rFonts w:ascii="Arial" w:hAnsi="Arial" w:cs="Arial"/>
          <w:sz w:val="20"/>
          <w:szCs w:val="20"/>
        </w:rPr>
        <w:t>γ</w:t>
      </w:r>
      <w:r w:rsidRPr="00EC4296">
        <w:rPr>
          <w:rFonts w:ascii="Arial" w:hAnsi="Arial" w:cs="Arial"/>
          <w:bCs/>
          <w:sz w:val="20"/>
          <w:szCs w:val="20"/>
          <w:lang w:val="en-GB"/>
        </w:rPr>
        <w:t xml:space="preserve">. </w:t>
      </w:r>
      <w:r w:rsidR="009C4A9F" w:rsidRPr="00EC4296">
        <w:rPr>
          <w:rFonts w:ascii="Arial" w:hAnsi="Arial" w:cs="Arial"/>
          <w:bCs/>
          <w:sz w:val="20"/>
          <w:szCs w:val="20"/>
          <w:lang w:val="en-GB"/>
        </w:rPr>
        <w:t xml:space="preserve">Tet-on Jurkat T cells stably transduced with the </w:t>
      </w:r>
      <w:r w:rsidR="00D04397" w:rsidRPr="00EC4296">
        <w:rPr>
          <w:rFonts w:ascii="Arial" w:hAnsi="Arial" w:cs="Arial"/>
          <w:bCs/>
          <w:sz w:val="20"/>
          <w:szCs w:val="20"/>
          <w:lang w:val="en-GB"/>
        </w:rPr>
        <w:t>pLVX-TRE3G-mCherry-IRES-hPPAR</w:t>
      </w:r>
      <w:r w:rsidR="00A00C68">
        <w:rPr>
          <w:rFonts w:ascii="Arial" w:hAnsi="Arial" w:cs="Arial"/>
          <w:sz w:val="20"/>
          <w:szCs w:val="20"/>
        </w:rPr>
        <w:t>γ</w:t>
      </w:r>
      <w:r w:rsidR="00D04397" w:rsidRPr="00EC4296">
        <w:rPr>
          <w:rFonts w:ascii="Arial" w:hAnsi="Arial" w:cs="Arial"/>
          <w:bCs/>
          <w:sz w:val="20"/>
          <w:szCs w:val="20"/>
          <w:lang w:val="en-GB"/>
        </w:rPr>
        <w:t>1 vector (Tet-on Jurkat T cells PPAR</w:t>
      </w:r>
      <w:r w:rsidR="00A00C68">
        <w:rPr>
          <w:rFonts w:ascii="Arial" w:hAnsi="Arial" w:cs="Arial"/>
          <w:sz w:val="20"/>
          <w:szCs w:val="20"/>
        </w:rPr>
        <w:t>γ</w:t>
      </w:r>
      <w:r w:rsidR="00D04397" w:rsidRPr="00EC4296">
        <w:rPr>
          <w:rFonts w:ascii="Arial" w:hAnsi="Arial" w:cs="Arial"/>
          <w:bCs/>
          <w:sz w:val="20"/>
          <w:szCs w:val="20"/>
          <w:lang w:val="en-GB"/>
        </w:rPr>
        <w:t>1 OE) were stimulated for 24 h with 0.001, 0.01, 0.1, 0.5 or 1 µg/ml doxycycline. Where indicated the proteasome inhibitor MG132 [10 µM] is added for the last 4 h. HEK293T cells with a similar Tet-on system (HEK293T PPAR</w:t>
      </w:r>
      <w:r w:rsidR="00653417" w:rsidRPr="00EC4296">
        <w:rPr>
          <w:rFonts w:ascii="Symbol" w:hAnsi="Symbol" w:cs="Arial"/>
          <w:sz w:val="20"/>
          <w:szCs w:val="20"/>
        </w:rPr>
        <w:t>g</w:t>
      </w:r>
      <w:r w:rsidR="00D04397" w:rsidRPr="00EC4296">
        <w:rPr>
          <w:rFonts w:ascii="Arial" w:hAnsi="Arial" w:cs="Arial"/>
          <w:bCs/>
          <w:sz w:val="20"/>
          <w:szCs w:val="20"/>
          <w:lang w:val="en-GB"/>
        </w:rPr>
        <w:t>1 OE) were included as a positive control.</w:t>
      </w:r>
    </w:p>
    <w:p w14:paraId="73B320E9" w14:textId="667EF1A8" w:rsidR="00EC4296" w:rsidRPr="00EC4296" w:rsidRDefault="00EC4296" w:rsidP="00CE7218">
      <w:pPr>
        <w:spacing w:after="0" w:line="48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D3029F">
        <w:rPr>
          <w:rFonts w:ascii="Arial" w:hAnsi="Arial" w:cs="Arial"/>
          <w:b/>
          <w:sz w:val="20"/>
          <w:szCs w:val="20"/>
          <w:lang w:val="en-GB"/>
        </w:rPr>
        <w:t>Abbreviations</w:t>
      </w:r>
      <w:r w:rsidRPr="00D3029F">
        <w:rPr>
          <w:rFonts w:ascii="Arial" w:hAnsi="Arial" w:cs="Arial"/>
          <w:bCs/>
          <w:sz w:val="20"/>
          <w:szCs w:val="20"/>
          <w:lang w:val="en-GB"/>
        </w:rPr>
        <w:t xml:space="preserve">: </w:t>
      </w:r>
      <w:r w:rsidR="00813EDA" w:rsidRPr="00D3029F">
        <w:rPr>
          <w:rFonts w:ascii="Arial" w:hAnsi="Arial" w:cs="Arial"/>
          <w:bCs/>
          <w:sz w:val="20"/>
          <w:szCs w:val="20"/>
          <w:lang w:val="en-GB"/>
        </w:rPr>
        <w:t>3G, third generation of the promoter;</w:t>
      </w:r>
      <w:r w:rsidRPr="00D3029F"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="00B167BA" w:rsidRPr="00D3029F">
        <w:rPr>
          <w:rFonts w:ascii="Arial" w:hAnsi="Arial" w:cs="Arial"/>
          <w:bCs/>
          <w:sz w:val="20"/>
          <w:szCs w:val="20"/>
          <w:lang w:val="en-GB"/>
        </w:rPr>
        <w:t xml:space="preserve">HEK293T, human embryonal kidney cell line expressing the large T-antigen of the simian virus 40; </w:t>
      </w:r>
      <w:r w:rsidRPr="00D3029F">
        <w:rPr>
          <w:rFonts w:ascii="Arial" w:hAnsi="Arial" w:cs="Arial"/>
          <w:bCs/>
          <w:sz w:val="20"/>
          <w:szCs w:val="20"/>
          <w:lang w:val="en-GB"/>
        </w:rPr>
        <w:t xml:space="preserve">IRES, internal ribosomal entry site; MG132, carbobenzoxyl-L-leucyl-L-leucyl-L-leucine; OE, overexpressing; </w:t>
      </w:r>
      <w:r w:rsidR="00813EDA" w:rsidRPr="00D3029F">
        <w:rPr>
          <w:rFonts w:ascii="Arial" w:hAnsi="Arial" w:cs="Arial"/>
          <w:bCs/>
          <w:sz w:val="20"/>
          <w:szCs w:val="20"/>
          <w:lang w:val="en-GB"/>
        </w:rPr>
        <w:t xml:space="preserve">p, plasmid; LV, lentiviral vector; </w:t>
      </w:r>
      <w:r w:rsidR="00A00C68">
        <w:rPr>
          <w:rFonts w:ascii="Arial" w:hAnsi="Arial" w:cs="Arial"/>
          <w:bCs/>
          <w:sz w:val="20"/>
          <w:szCs w:val="20"/>
          <w:lang w:val="en-GB"/>
        </w:rPr>
        <w:t>h</w:t>
      </w:r>
      <w:r w:rsidRPr="00D3029F">
        <w:rPr>
          <w:rFonts w:ascii="Arial" w:hAnsi="Arial" w:cs="Arial"/>
          <w:bCs/>
          <w:sz w:val="20"/>
          <w:szCs w:val="20"/>
          <w:lang w:val="en-GB"/>
        </w:rPr>
        <w:t>PPAR</w:t>
      </w:r>
      <w:r w:rsidR="00A00C68">
        <w:rPr>
          <w:rFonts w:ascii="Arial" w:hAnsi="Arial" w:cs="Arial"/>
          <w:sz w:val="20"/>
          <w:szCs w:val="20"/>
        </w:rPr>
        <w:t>γ</w:t>
      </w:r>
      <w:r w:rsidRPr="00D3029F">
        <w:rPr>
          <w:rFonts w:ascii="Arial" w:hAnsi="Arial" w:cs="Arial"/>
          <w:bCs/>
          <w:sz w:val="20"/>
          <w:szCs w:val="20"/>
          <w:lang w:val="en-GB"/>
        </w:rPr>
        <w:t xml:space="preserve">, </w:t>
      </w:r>
      <w:r w:rsidR="00A00C68">
        <w:rPr>
          <w:rFonts w:ascii="Arial" w:hAnsi="Arial" w:cs="Arial"/>
          <w:bCs/>
          <w:sz w:val="20"/>
          <w:szCs w:val="20"/>
          <w:lang w:val="en-GB"/>
        </w:rPr>
        <w:t xml:space="preserve">human </w:t>
      </w:r>
      <w:r w:rsidRPr="00D3029F">
        <w:rPr>
          <w:rFonts w:ascii="Arial" w:hAnsi="Arial" w:cs="Arial"/>
          <w:bCs/>
          <w:sz w:val="20"/>
          <w:szCs w:val="20"/>
          <w:lang w:val="en-GB"/>
        </w:rPr>
        <w:t xml:space="preserve">peroxisome proliferator-activated receptor </w:t>
      </w:r>
      <w:r w:rsidR="00A00C68">
        <w:rPr>
          <w:rFonts w:ascii="Arial" w:hAnsi="Arial" w:cs="Arial"/>
          <w:sz w:val="20"/>
          <w:szCs w:val="20"/>
        </w:rPr>
        <w:t>γ</w:t>
      </w:r>
      <w:r w:rsidRPr="00D3029F">
        <w:rPr>
          <w:rFonts w:ascii="Arial" w:hAnsi="Arial" w:cs="Arial"/>
          <w:bCs/>
          <w:sz w:val="20"/>
          <w:szCs w:val="20"/>
          <w:lang w:val="en-GB"/>
        </w:rPr>
        <w:t>; Tet, tetracycline; TRE</w:t>
      </w:r>
      <w:r w:rsidR="00813EDA" w:rsidRPr="00D3029F">
        <w:rPr>
          <w:rFonts w:ascii="Arial" w:hAnsi="Arial" w:cs="Arial"/>
          <w:bCs/>
          <w:sz w:val="20"/>
          <w:szCs w:val="20"/>
          <w:lang w:val="en-GB"/>
        </w:rPr>
        <w:t>, t</w:t>
      </w:r>
      <w:r w:rsidRPr="00D3029F">
        <w:rPr>
          <w:rFonts w:ascii="Arial" w:hAnsi="Arial" w:cs="Arial"/>
          <w:bCs/>
          <w:sz w:val="20"/>
          <w:szCs w:val="20"/>
          <w:lang w:val="en-GB"/>
        </w:rPr>
        <w:t>et</w:t>
      </w:r>
      <w:r w:rsidR="00813EDA" w:rsidRPr="00D3029F">
        <w:rPr>
          <w:rFonts w:ascii="Arial" w:hAnsi="Arial" w:cs="Arial"/>
          <w:bCs/>
          <w:sz w:val="20"/>
          <w:szCs w:val="20"/>
          <w:lang w:val="en-GB"/>
        </w:rPr>
        <w:t xml:space="preserve">racycline </w:t>
      </w:r>
      <w:r w:rsidRPr="00D3029F">
        <w:rPr>
          <w:rFonts w:ascii="Arial" w:hAnsi="Arial" w:cs="Arial"/>
          <w:bCs/>
          <w:sz w:val="20"/>
          <w:szCs w:val="20"/>
          <w:lang w:val="en-GB"/>
        </w:rPr>
        <w:t xml:space="preserve">responsive </w:t>
      </w:r>
      <w:r w:rsidR="00813EDA" w:rsidRPr="00D3029F">
        <w:rPr>
          <w:rFonts w:ascii="Arial" w:hAnsi="Arial" w:cs="Arial"/>
          <w:bCs/>
          <w:sz w:val="20"/>
          <w:szCs w:val="20"/>
          <w:lang w:val="en-GB"/>
        </w:rPr>
        <w:t>element.</w:t>
      </w:r>
    </w:p>
    <w:p w14:paraId="1806373D" w14:textId="75611FB4" w:rsidR="00542F65" w:rsidRPr="00653417" w:rsidRDefault="00592F87" w:rsidP="001C748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en-GB"/>
        </w:rPr>
        <w:drawing>
          <wp:inline distT="0" distB="0" distL="0" distR="0" wp14:anchorId="2A0A43F0" wp14:editId="468FE448">
            <wp:extent cx="4544970" cy="1559560"/>
            <wp:effectExtent l="0" t="0" r="8255" b="2540"/>
            <wp:docPr id="295161186" name="Grafik 2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61186" name="Grafik 2" descr="Ein Bild, das Text, Screenshot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3" t="50903"/>
                    <a:stretch/>
                  </pic:blipFill>
                  <pic:spPr bwMode="auto">
                    <a:xfrm>
                      <a:off x="0" y="0"/>
                      <a:ext cx="4545588" cy="155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BA885" w14:textId="77777777" w:rsidR="000850DB" w:rsidRPr="00653417" w:rsidRDefault="000850DB">
      <w:pPr>
        <w:rPr>
          <w:rFonts w:ascii="Arial" w:hAnsi="Arial" w:cs="Arial"/>
          <w:b/>
          <w:sz w:val="24"/>
          <w:szCs w:val="24"/>
          <w:lang w:val="en-GB"/>
        </w:rPr>
      </w:pPr>
      <w:r w:rsidRPr="00653417">
        <w:rPr>
          <w:rFonts w:ascii="Arial" w:hAnsi="Arial" w:cs="Arial"/>
          <w:b/>
          <w:sz w:val="24"/>
          <w:szCs w:val="24"/>
          <w:lang w:val="en-GB"/>
        </w:rPr>
        <w:br w:type="page"/>
      </w:r>
    </w:p>
    <w:p w14:paraId="42FACBB8" w14:textId="17C83B0A" w:rsidR="00B37A15" w:rsidRDefault="00B37A15" w:rsidP="00CE7218">
      <w:pPr>
        <w:spacing w:after="0" w:line="480" w:lineRule="auto"/>
        <w:jc w:val="both"/>
        <w:rPr>
          <w:rFonts w:ascii="Arial" w:hAnsi="Arial" w:cs="Arial"/>
          <w:noProof/>
          <w:sz w:val="20"/>
          <w:szCs w:val="20"/>
          <w:lang w:val="en-GB" w:eastAsia="de-DE"/>
        </w:rPr>
      </w:pPr>
      <w:r w:rsidRPr="00B167BA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Supplementary Figure 2: </w:t>
      </w:r>
      <w:r w:rsidRPr="00B167BA">
        <w:rPr>
          <w:rFonts w:ascii="Arial" w:hAnsi="Arial" w:cs="Arial"/>
          <w:bCs/>
          <w:sz w:val="20"/>
          <w:szCs w:val="20"/>
          <w:lang w:val="en-GB"/>
        </w:rPr>
        <w:t xml:space="preserve">Treatment </w:t>
      </w:r>
      <w:r w:rsidRPr="00B167BA">
        <w:rPr>
          <w:rFonts w:ascii="Arial" w:hAnsi="Arial" w:cs="Arial"/>
          <w:noProof/>
          <w:sz w:val="20"/>
          <w:szCs w:val="20"/>
          <w:lang w:val="en-GB" w:eastAsia="de-DE"/>
        </w:rPr>
        <w:t>of Jurkat T cells stably transduced with a Tet-on vector to express PPAR</w:t>
      </w:r>
      <w:r w:rsidR="00592F87">
        <w:rPr>
          <w:rFonts w:ascii="Arial" w:hAnsi="Arial" w:cs="Arial"/>
          <w:sz w:val="20"/>
          <w:szCs w:val="20"/>
        </w:rPr>
        <w:t>γ</w:t>
      </w:r>
      <w:r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 following doxycycline stimulation. Jurkat PPAR</w:t>
      </w:r>
      <w:r w:rsidR="00592F87">
        <w:rPr>
          <w:rFonts w:ascii="Arial" w:hAnsi="Arial" w:cs="Arial"/>
          <w:sz w:val="20"/>
          <w:szCs w:val="20"/>
        </w:rPr>
        <w:t>γ</w:t>
      </w:r>
      <w:r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 Tet-on T cells were seeded into a petridish and stimulate for 24 h with doxycycline to induce PPAR</w:t>
      </w:r>
      <w:r w:rsidR="00592F87">
        <w:rPr>
          <w:rFonts w:ascii="Arial" w:hAnsi="Arial" w:cs="Arial"/>
          <w:sz w:val="20"/>
          <w:szCs w:val="20"/>
        </w:rPr>
        <w:t>γ</w:t>
      </w:r>
      <w:r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 expression. Afterwards cells were treated </w:t>
      </w:r>
      <w:r w:rsidR="009C0908"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for 24 h </w:t>
      </w:r>
      <w:r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either with 1 µM </w:t>
      </w:r>
      <w:r w:rsidR="009C0908" w:rsidRPr="00B167BA">
        <w:rPr>
          <w:rFonts w:ascii="Arial" w:hAnsi="Arial" w:cs="Arial"/>
          <w:noProof/>
          <w:sz w:val="20"/>
          <w:szCs w:val="20"/>
          <w:lang w:val="en-GB" w:eastAsia="de-DE"/>
        </w:rPr>
        <w:t>of the PPAR</w:t>
      </w:r>
      <w:r w:rsidR="00592F87">
        <w:rPr>
          <w:rFonts w:ascii="Arial" w:hAnsi="Arial" w:cs="Arial"/>
          <w:sz w:val="20"/>
          <w:szCs w:val="20"/>
        </w:rPr>
        <w:t>γ</w:t>
      </w:r>
      <w:r w:rsidR="009C0908"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 agonist </w:t>
      </w:r>
      <w:r w:rsidRPr="00B167BA">
        <w:rPr>
          <w:rFonts w:ascii="Arial" w:hAnsi="Arial" w:cs="Arial"/>
          <w:noProof/>
          <w:sz w:val="20"/>
          <w:szCs w:val="20"/>
          <w:lang w:val="en-GB" w:eastAsia="de-DE"/>
        </w:rPr>
        <w:t>rosiglitazone or with a combination of rosiglitazone [1 µM] and GW9662 [10 µM], an irreversible PPAR</w:t>
      </w:r>
      <w:r w:rsidR="00592F87">
        <w:rPr>
          <w:rFonts w:ascii="Arial" w:hAnsi="Arial" w:cs="Arial"/>
          <w:sz w:val="20"/>
          <w:szCs w:val="20"/>
        </w:rPr>
        <w:t>γ</w:t>
      </w:r>
      <w:r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 antagonist. </w:t>
      </w:r>
      <w:r w:rsidR="009C0908" w:rsidRPr="00B167BA">
        <w:rPr>
          <w:rFonts w:ascii="Arial" w:hAnsi="Arial" w:cs="Arial"/>
          <w:noProof/>
          <w:sz w:val="20"/>
          <w:szCs w:val="20"/>
          <w:lang w:val="en-GB" w:eastAsia="de-DE"/>
        </w:rPr>
        <w:t>Then, cells were harvested and mRNA was isolated. Following a library preparation, a next generation sequencing (NGS) appr</w:t>
      </w:r>
      <w:r w:rsidR="00161633" w:rsidRPr="00B167BA">
        <w:rPr>
          <w:rFonts w:ascii="Arial" w:hAnsi="Arial" w:cs="Arial"/>
          <w:noProof/>
          <w:sz w:val="20"/>
          <w:szCs w:val="20"/>
          <w:lang w:val="en-GB" w:eastAsia="de-DE"/>
        </w:rPr>
        <w:t>o</w:t>
      </w:r>
      <w:r w:rsidR="009C0908" w:rsidRPr="00B167BA">
        <w:rPr>
          <w:rFonts w:ascii="Arial" w:hAnsi="Arial" w:cs="Arial"/>
          <w:noProof/>
          <w:sz w:val="20"/>
          <w:szCs w:val="20"/>
          <w:lang w:val="en-GB" w:eastAsia="de-DE"/>
        </w:rPr>
        <w:t>ach was performed to identify PPAR</w:t>
      </w:r>
      <w:r w:rsidR="00592F87">
        <w:rPr>
          <w:rFonts w:ascii="Arial" w:hAnsi="Arial" w:cs="Arial"/>
          <w:sz w:val="20"/>
          <w:szCs w:val="20"/>
        </w:rPr>
        <w:t>γ</w:t>
      </w:r>
      <w:r w:rsidR="009C0908"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 target genes. Genes regulated in response to PPAR</w:t>
      </w:r>
      <w:r w:rsidR="00653417" w:rsidRPr="00B167BA">
        <w:rPr>
          <w:rFonts w:ascii="Symbol" w:hAnsi="Symbol" w:cs="Arial"/>
          <w:sz w:val="20"/>
          <w:szCs w:val="20"/>
        </w:rPr>
        <w:t>g</w:t>
      </w:r>
      <w:r w:rsidR="009C0908"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 activation are shown in </w:t>
      </w:r>
      <w:r w:rsidR="009C0908" w:rsidRPr="00B167BA">
        <w:rPr>
          <w:rFonts w:ascii="Arial" w:hAnsi="Arial" w:cs="Arial"/>
          <w:b/>
          <w:bCs/>
          <w:noProof/>
          <w:sz w:val="20"/>
          <w:szCs w:val="20"/>
          <w:lang w:val="en-GB" w:eastAsia="de-DE"/>
        </w:rPr>
        <w:t>Table 1</w:t>
      </w:r>
      <w:r w:rsidR="009C0908" w:rsidRPr="00B167BA">
        <w:rPr>
          <w:rFonts w:ascii="Arial" w:hAnsi="Arial" w:cs="Arial"/>
          <w:noProof/>
          <w:sz w:val="20"/>
          <w:szCs w:val="20"/>
          <w:lang w:val="en-GB" w:eastAsia="de-DE"/>
        </w:rPr>
        <w:t>, genes regulated following PPAR</w:t>
      </w:r>
      <w:r w:rsidR="00592F87">
        <w:rPr>
          <w:rFonts w:ascii="Arial" w:hAnsi="Arial" w:cs="Arial"/>
          <w:sz w:val="20"/>
          <w:szCs w:val="20"/>
        </w:rPr>
        <w:t>γ</w:t>
      </w:r>
      <w:r w:rsidR="009C0908"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 inhibition are presented in </w:t>
      </w:r>
      <w:r w:rsidR="009C0908" w:rsidRPr="00B167BA">
        <w:rPr>
          <w:rFonts w:ascii="Arial" w:hAnsi="Arial" w:cs="Arial"/>
          <w:b/>
          <w:bCs/>
          <w:noProof/>
          <w:sz w:val="20"/>
          <w:szCs w:val="20"/>
          <w:lang w:val="en-GB" w:eastAsia="de-DE"/>
        </w:rPr>
        <w:t xml:space="preserve">Table </w:t>
      </w:r>
      <w:r w:rsidR="001D66F2">
        <w:rPr>
          <w:rFonts w:ascii="Arial" w:hAnsi="Arial" w:cs="Arial"/>
          <w:b/>
          <w:bCs/>
          <w:noProof/>
          <w:sz w:val="20"/>
          <w:szCs w:val="20"/>
          <w:lang w:val="en-GB" w:eastAsia="de-DE"/>
        </w:rPr>
        <w:t>2</w:t>
      </w:r>
      <w:r w:rsidR="009C0908" w:rsidRPr="00B167BA">
        <w:rPr>
          <w:rFonts w:ascii="Arial" w:hAnsi="Arial" w:cs="Arial"/>
          <w:noProof/>
          <w:sz w:val="20"/>
          <w:szCs w:val="20"/>
          <w:lang w:val="en-GB" w:eastAsia="de-DE"/>
        </w:rPr>
        <w:t>.</w:t>
      </w:r>
    </w:p>
    <w:p w14:paraId="5E32DA7C" w14:textId="6FA5BC73" w:rsidR="00B167BA" w:rsidRPr="00B167BA" w:rsidRDefault="00B167BA" w:rsidP="00CE7218">
      <w:pPr>
        <w:spacing w:after="0" w:line="480" w:lineRule="auto"/>
        <w:jc w:val="both"/>
        <w:rPr>
          <w:rFonts w:ascii="Arial" w:hAnsi="Arial" w:cs="Arial"/>
          <w:noProof/>
          <w:sz w:val="20"/>
          <w:szCs w:val="20"/>
          <w:lang w:val="en-GB" w:eastAsia="de-DE"/>
        </w:rPr>
      </w:pPr>
      <w:r w:rsidRPr="00B167BA">
        <w:rPr>
          <w:rFonts w:ascii="Arial" w:hAnsi="Arial" w:cs="Arial"/>
          <w:b/>
          <w:bCs/>
          <w:noProof/>
          <w:sz w:val="20"/>
          <w:szCs w:val="20"/>
          <w:lang w:val="en-GB" w:eastAsia="de-DE"/>
        </w:rPr>
        <w:t>Abbrev</w:t>
      </w:r>
      <w:r>
        <w:rPr>
          <w:rFonts w:ascii="Arial" w:hAnsi="Arial" w:cs="Arial"/>
          <w:b/>
          <w:bCs/>
          <w:noProof/>
          <w:sz w:val="20"/>
          <w:szCs w:val="20"/>
          <w:lang w:val="en-GB" w:eastAsia="de-DE"/>
        </w:rPr>
        <w:t>ia</w:t>
      </w:r>
      <w:r w:rsidRPr="00B167BA">
        <w:rPr>
          <w:rFonts w:ascii="Arial" w:hAnsi="Arial" w:cs="Arial"/>
          <w:b/>
          <w:bCs/>
          <w:noProof/>
          <w:sz w:val="20"/>
          <w:szCs w:val="20"/>
          <w:lang w:val="en-GB" w:eastAsia="de-DE"/>
        </w:rPr>
        <w:t>tions</w:t>
      </w:r>
      <w:r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: </w:t>
      </w:r>
      <w:r w:rsidRPr="004558F9">
        <w:rPr>
          <w:rFonts w:ascii="Arial" w:hAnsi="Arial" w:cs="Arial"/>
          <w:noProof/>
          <w:sz w:val="20"/>
          <w:szCs w:val="20"/>
          <w:lang w:val="en-GB" w:eastAsia="de-DE"/>
        </w:rPr>
        <w:t xml:space="preserve">GW9662, </w:t>
      </w:r>
      <w:r w:rsidRPr="004558F9">
        <w:rPr>
          <w:rFonts w:ascii="Arial" w:hAnsi="Arial" w:cs="Arial"/>
          <w:sz w:val="20"/>
          <w:szCs w:val="20"/>
          <w:lang w:val="en-US"/>
        </w:rPr>
        <w:t>2-chloro-5-nitro-N-phenylbenzamide;</w:t>
      </w:r>
      <w:r>
        <w:rPr>
          <w:rFonts w:ascii="Arial" w:hAnsi="Arial" w:cs="Arial"/>
          <w:noProof/>
          <w:sz w:val="20"/>
          <w:szCs w:val="20"/>
          <w:lang w:val="en-GB" w:eastAsia="de-DE"/>
        </w:rPr>
        <w:t xml:space="preserve"> NGS, next generation sequencing; PPAR</w:t>
      </w:r>
      <w:r w:rsidR="00592F87">
        <w:rPr>
          <w:rFonts w:ascii="Arial" w:hAnsi="Arial" w:cs="Arial"/>
          <w:sz w:val="20"/>
          <w:szCs w:val="20"/>
        </w:rPr>
        <w:t>γ</w:t>
      </w:r>
      <w:r>
        <w:rPr>
          <w:rFonts w:ascii="Arial" w:hAnsi="Arial" w:cs="Arial"/>
          <w:noProof/>
          <w:sz w:val="20"/>
          <w:szCs w:val="20"/>
          <w:lang w:val="en-GB" w:eastAsia="de-DE"/>
        </w:rPr>
        <w:t xml:space="preserve">, peroxisome proliferator-activated receptor </w:t>
      </w:r>
      <w:r w:rsidR="00592F87">
        <w:rPr>
          <w:rFonts w:ascii="Arial" w:hAnsi="Arial" w:cs="Arial"/>
          <w:sz w:val="20"/>
          <w:szCs w:val="20"/>
        </w:rPr>
        <w:t>γ</w:t>
      </w:r>
      <w:r>
        <w:rPr>
          <w:rFonts w:ascii="Arial" w:hAnsi="Arial" w:cs="Arial"/>
          <w:noProof/>
          <w:sz w:val="20"/>
          <w:szCs w:val="20"/>
          <w:lang w:val="en-GB" w:eastAsia="de-DE"/>
        </w:rPr>
        <w:t>; Tet, tetracycline</w:t>
      </w:r>
      <w:r w:rsidR="00421C8F">
        <w:rPr>
          <w:rFonts w:ascii="Arial" w:hAnsi="Arial" w:cs="Arial"/>
          <w:noProof/>
          <w:sz w:val="20"/>
          <w:szCs w:val="20"/>
          <w:lang w:val="en-GB" w:eastAsia="de-DE"/>
        </w:rPr>
        <w:t>.</w:t>
      </w:r>
    </w:p>
    <w:p w14:paraId="3D120F72" w14:textId="77777777" w:rsidR="00B167BA" w:rsidRPr="00653417" w:rsidRDefault="00B167BA" w:rsidP="00CE7218">
      <w:pPr>
        <w:spacing w:after="0" w:line="480" w:lineRule="auto"/>
        <w:jc w:val="both"/>
        <w:rPr>
          <w:rFonts w:ascii="Arial" w:hAnsi="Arial" w:cs="Arial"/>
          <w:noProof/>
          <w:sz w:val="24"/>
          <w:szCs w:val="24"/>
          <w:lang w:val="en-GB" w:eastAsia="de-DE"/>
        </w:rPr>
      </w:pPr>
    </w:p>
    <w:p w14:paraId="361D2A5C" w14:textId="035D267C" w:rsidR="00B37A15" w:rsidRPr="00653417" w:rsidRDefault="003020F5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en-GB"/>
        </w:rPr>
        <w:drawing>
          <wp:inline distT="0" distB="0" distL="0" distR="0" wp14:anchorId="279A17E0" wp14:editId="5845EB26">
            <wp:extent cx="6371016" cy="1520172"/>
            <wp:effectExtent l="0" t="0" r="0" b="4445"/>
            <wp:docPr id="52543567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35670" name="Grafik 52543567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9" r="1172"/>
                    <a:stretch/>
                  </pic:blipFill>
                  <pic:spPr bwMode="auto">
                    <a:xfrm>
                      <a:off x="0" y="0"/>
                      <a:ext cx="6441218" cy="153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7A15" w:rsidRPr="00653417">
        <w:rPr>
          <w:rFonts w:ascii="Arial" w:hAnsi="Arial" w:cs="Arial"/>
          <w:b/>
          <w:sz w:val="24"/>
          <w:szCs w:val="24"/>
          <w:lang w:val="en-GB"/>
        </w:rPr>
        <w:br w:type="page"/>
      </w:r>
    </w:p>
    <w:p w14:paraId="5FB6566C" w14:textId="5109A235" w:rsidR="00E07E51" w:rsidRDefault="001A3FCC" w:rsidP="00CE7218">
      <w:pPr>
        <w:spacing w:after="0" w:line="480" w:lineRule="auto"/>
        <w:jc w:val="both"/>
        <w:rPr>
          <w:rFonts w:ascii="Arial" w:hAnsi="Arial" w:cs="Arial"/>
          <w:noProof/>
          <w:sz w:val="20"/>
          <w:szCs w:val="20"/>
          <w:lang w:val="en-GB" w:eastAsia="de-DE"/>
        </w:rPr>
      </w:pPr>
      <w:r w:rsidRPr="00B167BA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Supplementary Figure </w:t>
      </w:r>
      <w:r w:rsidR="00B37A15" w:rsidRPr="00B167BA">
        <w:rPr>
          <w:rFonts w:ascii="Arial" w:hAnsi="Arial" w:cs="Arial"/>
          <w:b/>
          <w:sz w:val="20"/>
          <w:szCs w:val="20"/>
          <w:lang w:val="en-GB"/>
        </w:rPr>
        <w:t>3</w:t>
      </w:r>
      <w:r w:rsidR="00E07E51" w:rsidRPr="00B167BA">
        <w:rPr>
          <w:rFonts w:ascii="Arial" w:hAnsi="Arial" w:cs="Arial"/>
          <w:b/>
          <w:sz w:val="20"/>
          <w:szCs w:val="20"/>
          <w:lang w:val="en-GB"/>
        </w:rPr>
        <w:t xml:space="preserve">: </w:t>
      </w:r>
      <w:r w:rsidR="00E07E51" w:rsidRPr="00B167BA">
        <w:rPr>
          <w:rFonts w:ascii="Arial" w:hAnsi="Arial" w:cs="Arial"/>
          <w:noProof/>
          <w:sz w:val="20"/>
          <w:szCs w:val="20"/>
          <w:lang w:val="en-GB" w:eastAsia="de-DE"/>
        </w:rPr>
        <w:t>Gating strategy used to determine the number of CD3</w:t>
      </w:r>
      <w:r w:rsidR="00E07E51" w:rsidRPr="00B167BA">
        <w:rPr>
          <w:rFonts w:ascii="Arial" w:hAnsi="Arial" w:cs="Arial"/>
          <w:noProof/>
          <w:sz w:val="20"/>
          <w:szCs w:val="20"/>
          <w:vertAlign w:val="superscript"/>
          <w:lang w:val="en-GB" w:eastAsia="de-DE"/>
        </w:rPr>
        <w:t>+</w:t>
      </w:r>
      <w:r w:rsidR="00E07E51" w:rsidRPr="00B167BA">
        <w:rPr>
          <w:rFonts w:ascii="Arial" w:hAnsi="Arial" w:cs="Arial"/>
          <w:noProof/>
          <w:sz w:val="20"/>
          <w:szCs w:val="20"/>
          <w:lang w:val="en-GB" w:eastAsia="de-DE"/>
        </w:rPr>
        <w:t>, CD4</w:t>
      </w:r>
      <w:r w:rsidR="00E07E51" w:rsidRPr="00B167BA">
        <w:rPr>
          <w:rFonts w:ascii="Arial" w:hAnsi="Arial" w:cs="Arial"/>
          <w:noProof/>
          <w:sz w:val="20"/>
          <w:szCs w:val="20"/>
          <w:vertAlign w:val="superscript"/>
          <w:lang w:val="en-GB" w:eastAsia="de-DE"/>
        </w:rPr>
        <w:t>+</w:t>
      </w:r>
      <w:r w:rsidR="00E07E51" w:rsidRPr="00B167BA">
        <w:rPr>
          <w:rFonts w:ascii="Arial" w:hAnsi="Arial" w:cs="Arial"/>
          <w:noProof/>
          <w:sz w:val="20"/>
          <w:szCs w:val="20"/>
          <w:lang w:val="en-GB" w:eastAsia="de-DE"/>
        </w:rPr>
        <w:t>, and CD8</w:t>
      </w:r>
      <w:r w:rsidR="00E07E51" w:rsidRPr="00B167BA">
        <w:rPr>
          <w:rFonts w:ascii="Arial" w:hAnsi="Arial" w:cs="Arial"/>
          <w:noProof/>
          <w:sz w:val="20"/>
          <w:szCs w:val="20"/>
          <w:vertAlign w:val="superscript"/>
          <w:lang w:val="en-GB" w:eastAsia="de-DE"/>
        </w:rPr>
        <w:t>+</w:t>
      </w:r>
      <w:r w:rsidR="00E07E51"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 T cells. 100 </w:t>
      </w:r>
      <w:r w:rsidR="009148A9" w:rsidRPr="00B167BA">
        <w:rPr>
          <w:rFonts w:ascii="Arial" w:hAnsi="Arial" w:cs="Arial"/>
          <w:noProof/>
          <w:sz w:val="20"/>
          <w:szCs w:val="20"/>
          <w:lang w:val="en-GB" w:eastAsia="de-DE"/>
        </w:rPr>
        <w:t>µ</w:t>
      </w:r>
      <w:r w:rsidR="00E07E51" w:rsidRPr="00B167BA">
        <w:rPr>
          <w:rFonts w:ascii="Arial" w:hAnsi="Arial" w:cs="Arial"/>
          <w:noProof/>
          <w:sz w:val="20"/>
          <w:szCs w:val="20"/>
          <w:lang w:val="en-GB" w:eastAsia="de-DE"/>
        </w:rPr>
        <w:t>l of freshly dra</w:t>
      </w:r>
      <w:r w:rsidR="000850DB" w:rsidRPr="00B167BA">
        <w:rPr>
          <w:rFonts w:ascii="Arial" w:hAnsi="Arial" w:cs="Arial"/>
          <w:noProof/>
          <w:sz w:val="20"/>
          <w:szCs w:val="20"/>
          <w:lang w:val="en-GB" w:eastAsia="de-DE"/>
        </w:rPr>
        <w:t>w</w:t>
      </w:r>
      <w:r w:rsidR="00E07E51" w:rsidRPr="00B167BA">
        <w:rPr>
          <w:rFonts w:ascii="Arial" w:hAnsi="Arial" w:cs="Arial"/>
          <w:noProof/>
          <w:sz w:val="20"/>
          <w:szCs w:val="20"/>
          <w:lang w:val="en-GB" w:eastAsia="de-DE"/>
        </w:rPr>
        <w:t>n blood of COVID-19 pati</w:t>
      </w:r>
      <w:r w:rsidR="000850DB" w:rsidRPr="00B167BA">
        <w:rPr>
          <w:rFonts w:ascii="Arial" w:hAnsi="Arial" w:cs="Arial"/>
          <w:noProof/>
          <w:sz w:val="20"/>
          <w:szCs w:val="20"/>
          <w:lang w:val="en-GB" w:eastAsia="de-DE"/>
        </w:rPr>
        <w:t>e</w:t>
      </w:r>
      <w:r w:rsidR="00E07E51" w:rsidRPr="00B167BA">
        <w:rPr>
          <w:rFonts w:ascii="Arial" w:hAnsi="Arial" w:cs="Arial"/>
          <w:noProof/>
          <w:sz w:val="20"/>
          <w:szCs w:val="20"/>
          <w:lang w:val="en-GB" w:eastAsia="de-DE"/>
        </w:rPr>
        <w:t>nts or healthy donors were stained as de</w:t>
      </w:r>
      <w:r w:rsidR="000850DB" w:rsidRPr="00B167BA">
        <w:rPr>
          <w:rFonts w:ascii="Arial" w:hAnsi="Arial" w:cs="Arial"/>
          <w:noProof/>
          <w:sz w:val="20"/>
          <w:szCs w:val="20"/>
          <w:lang w:val="en-GB" w:eastAsia="de-DE"/>
        </w:rPr>
        <w:t>s</w:t>
      </w:r>
      <w:r w:rsidR="00E07E51"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cribed in Materials and Methods. Following erythrolysis, 50 µl of counting beads </w:t>
      </w:r>
      <w:r w:rsidR="009761FD" w:rsidRPr="004558F9">
        <w:rPr>
          <w:rFonts w:ascii="Arial" w:hAnsi="Arial" w:cs="Arial"/>
          <w:b/>
          <w:bCs/>
          <w:noProof/>
          <w:sz w:val="20"/>
          <w:szCs w:val="20"/>
          <w:lang w:val="en-GB" w:eastAsia="de-DE"/>
        </w:rPr>
        <w:t>(A)</w:t>
      </w:r>
      <w:r w:rsidR="009761FD"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 </w:t>
      </w:r>
      <w:r w:rsidR="00E07E51" w:rsidRPr="00B167BA">
        <w:rPr>
          <w:rFonts w:ascii="Arial" w:hAnsi="Arial" w:cs="Arial"/>
          <w:noProof/>
          <w:sz w:val="20"/>
          <w:szCs w:val="20"/>
          <w:lang w:val="en-GB" w:eastAsia="de-DE"/>
        </w:rPr>
        <w:t>were added to the sample. CD4</w:t>
      </w:r>
      <w:r w:rsidR="00E07E51" w:rsidRPr="00B167BA">
        <w:rPr>
          <w:rFonts w:ascii="Arial" w:hAnsi="Arial" w:cs="Arial"/>
          <w:noProof/>
          <w:sz w:val="20"/>
          <w:szCs w:val="20"/>
          <w:vertAlign w:val="superscript"/>
          <w:lang w:val="en-GB" w:eastAsia="de-DE"/>
        </w:rPr>
        <w:t>+</w:t>
      </w:r>
      <w:r w:rsidR="00E07E51"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 T cells were further analysed for CRTH2, </w:t>
      </w:r>
      <w:r w:rsidR="000850DB"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and </w:t>
      </w:r>
      <w:r w:rsidR="00E07E51" w:rsidRPr="00B167BA">
        <w:rPr>
          <w:rFonts w:ascii="Arial" w:hAnsi="Arial" w:cs="Arial"/>
          <w:noProof/>
          <w:sz w:val="20"/>
          <w:szCs w:val="20"/>
          <w:lang w:val="en-GB" w:eastAsia="de-DE"/>
        </w:rPr>
        <w:t>FoxP3 expression</w:t>
      </w:r>
      <w:r w:rsidR="009761FD" w:rsidRPr="00B167BA">
        <w:rPr>
          <w:rFonts w:ascii="Arial" w:hAnsi="Arial" w:cs="Arial"/>
          <w:noProof/>
          <w:sz w:val="20"/>
          <w:szCs w:val="20"/>
          <w:lang w:val="en-GB" w:eastAsia="de-DE"/>
        </w:rPr>
        <w:t xml:space="preserve"> </w:t>
      </w:r>
      <w:r w:rsidR="009761FD" w:rsidRPr="004558F9">
        <w:rPr>
          <w:rFonts w:ascii="Arial" w:hAnsi="Arial" w:cs="Arial"/>
          <w:b/>
          <w:bCs/>
          <w:noProof/>
          <w:sz w:val="20"/>
          <w:szCs w:val="20"/>
          <w:lang w:val="en-GB" w:eastAsia="de-DE"/>
        </w:rPr>
        <w:t>(B)</w:t>
      </w:r>
      <w:r w:rsidR="00E07E51" w:rsidRPr="00B167BA">
        <w:rPr>
          <w:rFonts w:ascii="Arial" w:hAnsi="Arial" w:cs="Arial"/>
          <w:noProof/>
          <w:sz w:val="20"/>
          <w:szCs w:val="20"/>
          <w:lang w:val="en-GB" w:eastAsia="de-DE"/>
        </w:rPr>
        <w:t>.</w:t>
      </w:r>
      <w:r w:rsidR="00A00C68">
        <w:rPr>
          <w:rFonts w:ascii="Arial" w:hAnsi="Arial" w:cs="Arial"/>
          <w:noProof/>
          <w:sz w:val="20"/>
          <w:szCs w:val="20"/>
          <w:lang w:val="en-GB" w:eastAsia="de-DE"/>
        </w:rPr>
        <w:t xml:space="preserve"> Counting beads and relevant immune cell sub-populations are shown in red</w:t>
      </w:r>
      <w:r w:rsidR="00643F67">
        <w:rPr>
          <w:rFonts w:ascii="Arial" w:hAnsi="Arial" w:cs="Arial"/>
          <w:noProof/>
          <w:sz w:val="20"/>
          <w:szCs w:val="20"/>
          <w:lang w:val="en-GB" w:eastAsia="de-DE"/>
        </w:rPr>
        <w:t xml:space="preserve"> and marked with a red gate</w:t>
      </w:r>
      <w:r w:rsidR="00A00C68">
        <w:rPr>
          <w:rFonts w:ascii="Arial" w:hAnsi="Arial" w:cs="Arial"/>
          <w:noProof/>
          <w:sz w:val="20"/>
          <w:szCs w:val="20"/>
          <w:lang w:val="en-GB" w:eastAsia="de-DE"/>
        </w:rPr>
        <w:t>.</w:t>
      </w:r>
    </w:p>
    <w:p w14:paraId="56F3F0EF" w14:textId="1BB95632" w:rsidR="00B167BA" w:rsidRPr="00B167BA" w:rsidRDefault="00B167BA" w:rsidP="00CE7218">
      <w:pPr>
        <w:spacing w:after="0" w:line="480" w:lineRule="auto"/>
        <w:jc w:val="both"/>
        <w:rPr>
          <w:rFonts w:ascii="Arial" w:hAnsi="Arial" w:cs="Arial"/>
          <w:noProof/>
          <w:sz w:val="20"/>
          <w:szCs w:val="20"/>
          <w:lang w:val="en-GB" w:eastAsia="de-DE"/>
        </w:rPr>
      </w:pPr>
      <w:r w:rsidRPr="0079351F">
        <w:rPr>
          <w:rFonts w:ascii="Arial" w:hAnsi="Arial" w:cs="Arial"/>
          <w:b/>
          <w:bCs/>
          <w:noProof/>
          <w:sz w:val="20"/>
          <w:szCs w:val="20"/>
          <w:lang w:val="en-GB" w:eastAsia="de-DE"/>
        </w:rPr>
        <w:t>Abbreviations</w:t>
      </w:r>
      <w:r>
        <w:rPr>
          <w:rFonts w:ascii="Arial" w:hAnsi="Arial" w:cs="Arial"/>
          <w:noProof/>
          <w:sz w:val="20"/>
          <w:szCs w:val="20"/>
          <w:lang w:val="en-GB" w:eastAsia="de-DE"/>
        </w:rPr>
        <w:t xml:space="preserve">: </w:t>
      </w:r>
      <w:r w:rsidR="0079351F">
        <w:rPr>
          <w:rFonts w:ascii="Arial" w:hAnsi="Arial" w:cs="Arial"/>
          <w:noProof/>
          <w:sz w:val="20"/>
          <w:szCs w:val="20"/>
          <w:lang w:val="en-GB" w:eastAsia="de-DE"/>
        </w:rPr>
        <w:t>A, area; APC, allophycocyanin;</w:t>
      </w:r>
      <w:r w:rsidR="0079351F" w:rsidRPr="0079351F">
        <w:rPr>
          <w:rFonts w:ascii="Arial" w:hAnsi="Arial" w:cs="Arial"/>
          <w:noProof/>
          <w:sz w:val="20"/>
          <w:szCs w:val="20"/>
          <w:lang w:val="en-GB" w:eastAsia="de-DE"/>
        </w:rPr>
        <w:t xml:space="preserve"> </w:t>
      </w:r>
      <w:r w:rsidR="0079351F">
        <w:rPr>
          <w:rFonts w:ascii="Arial" w:hAnsi="Arial" w:cs="Arial"/>
          <w:noProof/>
          <w:sz w:val="20"/>
          <w:szCs w:val="20"/>
          <w:lang w:val="en-GB" w:eastAsia="de-DE"/>
        </w:rPr>
        <w:t xml:space="preserve">APC-Cy7, allophycocyanine-cyanine 7;  </w:t>
      </w:r>
      <w:r>
        <w:rPr>
          <w:rFonts w:ascii="Arial" w:hAnsi="Arial" w:cs="Arial"/>
          <w:noProof/>
          <w:sz w:val="20"/>
          <w:szCs w:val="20"/>
          <w:lang w:val="en-GB" w:eastAsia="de-DE"/>
        </w:rPr>
        <w:t>CD, cluster of differentiation; COVID-19, corona disease 2019; CRTH2, ch</w:t>
      </w:r>
      <w:r w:rsidRPr="00381F5C">
        <w:rPr>
          <w:rFonts w:ascii="Arial" w:hAnsi="Arial" w:cs="Arial"/>
          <w:noProof/>
          <w:sz w:val="20"/>
          <w:szCs w:val="20"/>
          <w:lang w:val="en-GB" w:eastAsia="de-DE"/>
        </w:rPr>
        <w:t>e</w:t>
      </w:r>
      <w:r w:rsidR="00BD5A9C" w:rsidRPr="00381F5C">
        <w:rPr>
          <w:rFonts w:ascii="Arial" w:hAnsi="Arial" w:cs="Arial"/>
          <w:noProof/>
          <w:sz w:val="20"/>
          <w:szCs w:val="20"/>
          <w:lang w:val="en-GB" w:eastAsia="de-DE"/>
        </w:rPr>
        <w:t>m</w:t>
      </w:r>
      <w:r w:rsidRPr="00381F5C">
        <w:rPr>
          <w:rFonts w:ascii="Arial" w:hAnsi="Arial" w:cs="Arial"/>
          <w:noProof/>
          <w:sz w:val="20"/>
          <w:szCs w:val="20"/>
          <w:lang w:val="en-GB" w:eastAsia="de-DE"/>
        </w:rPr>
        <w:t>o</w:t>
      </w:r>
      <w:r>
        <w:rPr>
          <w:rFonts w:ascii="Arial" w:hAnsi="Arial" w:cs="Arial"/>
          <w:noProof/>
          <w:sz w:val="20"/>
          <w:szCs w:val="20"/>
          <w:lang w:val="en-GB" w:eastAsia="de-DE"/>
        </w:rPr>
        <w:t>kine receptor homologue expressed on T</w:t>
      </w:r>
      <w:r w:rsidRPr="00B167BA">
        <w:rPr>
          <w:rFonts w:ascii="Arial" w:hAnsi="Arial" w:cs="Arial"/>
          <w:noProof/>
          <w:sz w:val="20"/>
          <w:szCs w:val="20"/>
          <w:vertAlign w:val="subscript"/>
          <w:lang w:val="en-GB" w:eastAsia="de-DE"/>
        </w:rPr>
        <w:t>h</w:t>
      </w:r>
      <w:r>
        <w:rPr>
          <w:rFonts w:ascii="Arial" w:hAnsi="Arial" w:cs="Arial"/>
          <w:noProof/>
          <w:sz w:val="20"/>
          <w:szCs w:val="20"/>
          <w:lang w:val="en-GB" w:eastAsia="de-DE"/>
        </w:rPr>
        <w:t xml:space="preserve">2 cells; </w:t>
      </w:r>
      <w:r w:rsidR="0079351F">
        <w:rPr>
          <w:rFonts w:ascii="Arial" w:hAnsi="Arial" w:cs="Arial"/>
          <w:noProof/>
          <w:sz w:val="20"/>
          <w:szCs w:val="20"/>
          <w:lang w:val="en-GB" w:eastAsia="de-DE"/>
        </w:rPr>
        <w:t>FITC, fluorescein-isothiocyanate; FoxP3, forkhead box protein 3; FSC, forward scatter; PE, phycoerythrin; PerCP-Cy5.5, peridinin-chlorophyll-protein-cyanine 5.5; SSC, side scatter.</w:t>
      </w:r>
    </w:p>
    <w:p w14:paraId="711E5AED" w14:textId="6B7D6EBB" w:rsidR="00E07E51" w:rsidRPr="00653417" w:rsidRDefault="00E07E51" w:rsidP="00E07E51">
      <w:pPr>
        <w:rPr>
          <w:rFonts w:ascii="Arial" w:hAnsi="Arial" w:cs="Arial"/>
          <w:noProof/>
          <w:lang w:val="en-GB" w:eastAsia="de-DE"/>
        </w:rPr>
      </w:pPr>
    </w:p>
    <w:p w14:paraId="3493334E" w14:textId="645DF157" w:rsidR="001A3FCC" w:rsidRPr="00653417" w:rsidRDefault="00592F87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w:drawing>
          <wp:inline distT="0" distB="0" distL="0" distR="0" wp14:anchorId="03008EDF" wp14:editId="3DEC0458">
            <wp:extent cx="4065653" cy="3825007"/>
            <wp:effectExtent l="0" t="0" r="0" b="4445"/>
            <wp:docPr id="40523922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39226" name="Grafi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653" cy="382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FEE5" w14:textId="77777777" w:rsidR="00177231" w:rsidRPr="00653417" w:rsidRDefault="00177231">
      <w:pPr>
        <w:rPr>
          <w:rFonts w:ascii="Arial" w:hAnsi="Arial" w:cs="Arial"/>
          <w:b/>
          <w:lang w:val="en-GB"/>
        </w:rPr>
      </w:pPr>
    </w:p>
    <w:p w14:paraId="15F65C94" w14:textId="77777777" w:rsidR="00177231" w:rsidRPr="00653417" w:rsidRDefault="00177231">
      <w:pPr>
        <w:rPr>
          <w:rFonts w:ascii="Arial" w:hAnsi="Arial" w:cs="Arial"/>
          <w:b/>
          <w:lang w:val="en-GB"/>
        </w:rPr>
      </w:pPr>
    </w:p>
    <w:p w14:paraId="274A54E3" w14:textId="77777777" w:rsidR="00177231" w:rsidRPr="00653417" w:rsidRDefault="00177231">
      <w:pPr>
        <w:rPr>
          <w:rFonts w:ascii="Arial" w:hAnsi="Arial" w:cs="Arial"/>
          <w:b/>
          <w:lang w:val="en-GB"/>
        </w:rPr>
      </w:pPr>
    </w:p>
    <w:p w14:paraId="69A74800" w14:textId="77777777" w:rsidR="00177231" w:rsidRPr="00653417" w:rsidRDefault="00177231">
      <w:pPr>
        <w:rPr>
          <w:rFonts w:ascii="Arial" w:hAnsi="Arial" w:cs="Arial"/>
          <w:b/>
          <w:lang w:val="en-GB"/>
        </w:rPr>
      </w:pPr>
    </w:p>
    <w:p w14:paraId="51822967" w14:textId="77777777" w:rsidR="00177231" w:rsidRPr="00653417" w:rsidRDefault="00177231">
      <w:pPr>
        <w:rPr>
          <w:rFonts w:ascii="Arial" w:hAnsi="Arial" w:cs="Arial"/>
          <w:b/>
          <w:lang w:val="en-GB"/>
        </w:rPr>
      </w:pPr>
    </w:p>
    <w:p w14:paraId="097B227F" w14:textId="77777777" w:rsidR="00177231" w:rsidRPr="00653417" w:rsidRDefault="00177231">
      <w:pPr>
        <w:rPr>
          <w:rFonts w:ascii="Arial" w:hAnsi="Arial" w:cs="Arial"/>
          <w:b/>
          <w:lang w:val="en-GB"/>
        </w:rPr>
      </w:pPr>
    </w:p>
    <w:p w14:paraId="53E71FF4" w14:textId="77777777" w:rsidR="00177231" w:rsidRPr="00653417" w:rsidRDefault="00177231">
      <w:pPr>
        <w:rPr>
          <w:rFonts w:ascii="Arial" w:hAnsi="Arial" w:cs="Arial"/>
          <w:b/>
          <w:lang w:val="en-GB"/>
        </w:rPr>
      </w:pPr>
    </w:p>
    <w:p w14:paraId="64C1A7DC" w14:textId="0EBA0478" w:rsidR="00177231" w:rsidRPr="00653417" w:rsidRDefault="00177231">
      <w:pPr>
        <w:rPr>
          <w:rFonts w:ascii="Arial" w:hAnsi="Arial" w:cs="Arial"/>
          <w:b/>
          <w:lang w:val="en-GB"/>
        </w:rPr>
      </w:pPr>
    </w:p>
    <w:p w14:paraId="725F9B34" w14:textId="6E4A5303" w:rsidR="009C0908" w:rsidRDefault="009C0908" w:rsidP="00CE7218">
      <w:pPr>
        <w:spacing w:after="0" w:line="480" w:lineRule="auto"/>
        <w:jc w:val="both"/>
        <w:rPr>
          <w:rFonts w:ascii="Arial" w:hAnsi="Arial" w:cs="Arial"/>
          <w:bCs/>
          <w:sz w:val="20"/>
          <w:szCs w:val="20"/>
          <w:lang w:val="en-GB"/>
        </w:rPr>
      </w:pPr>
      <w:r w:rsidRPr="0079351F">
        <w:rPr>
          <w:rFonts w:ascii="Arial" w:hAnsi="Arial" w:cs="Arial"/>
          <w:b/>
          <w:sz w:val="20"/>
          <w:szCs w:val="20"/>
          <w:lang w:val="en-GB"/>
        </w:rPr>
        <w:t xml:space="preserve">Supplementary Figure 4: </w:t>
      </w:r>
      <w:r w:rsidRPr="0079351F">
        <w:rPr>
          <w:rFonts w:ascii="Arial" w:hAnsi="Arial" w:cs="Arial"/>
          <w:bCs/>
          <w:sz w:val="20"/>
          <w:szCs w:val="20"/>
          <w:lang w:val="en-GB"/>
        </w:rPr>
        <w:t>Schematic diagram presenting intracellular PPAR</w:t>
      </w:r>
      <w:r w:rsidR="006D4713">
        <w:rPr>
          <w:rFonts w:ascii="Arial" w:hAnsi="Arial" w:cs="Arial"/>
          <w:sz w:val="20"/>
          <w:szCs w:val="20"/>
        </w:rPr>
        <w:t>γ</w:t>
      </w:r>
      <w:r w:rsidRPr="0079351F">
        <w:rPr>
          <w:rFonts w:ascii="Arial" w:hAnsi="Arial" w:cs="Arial"/>
          <w:bCs/>
          <w:sz w:val="20"/>
          <w:szCs w:val="20"/>
          <w:lang w:val="en-GB"/>
        </w:rPr>
        <w:t xml:space="preserve"> staining in peripheral blood </w:t>
      </w:r>
      <w:r w:rsidR="009148A9" w:rsidRPr="0079351F">
        <w:rPr>
          <w:rFonts w:ascii="Arial" w:hAnsi="Arial" w:cs="Arial"/>
          <w:bCs/>
          <w:sz w:val="20"/>
          <w:szCs w:val="20"/>
          <w:lang w:val="en-GB"/>
        </w:rPr>
        <w:t xml:space="preserve">cells </w:t>
      </w:r>
      <w:r w:rsidRPr="0079351F">
        <w:rPr>
          <w:rFonts w:ascii="Arial" w:hAnsi="Arial" w:cs="Arial"/>
          <w:bCs/>
          <w:sz w:val="20"/>
          <w:szCs w:val="20"/>
          <w:lang w:val="en-GB"/>
        </w:rPr>
        <w:t xml:space="preserve">of COVID-19 patients. </w:t>
      </w:r>
      <w:r w:rsidR="009148A9" w:rsidRPr="0079351F">
        <w:rPr>
          <w:rFonts w:ascii="Arial" w:hAnsi="Arial" w:cs="Arial"/>
          <w:bCs/>
          <w:sz w:val="20"/>
          <w:szCs w:val="20"/>
          <w:lang w:val="en-GB"/>
        </w:rPr>
        <w:t xml:space="preserve">Following </w:t>
      </w:r>
      <w:r w:rsidR="006D4713" w:rsidRPr="00AA65D4">
        <w:rPr>
          <w:rFonts w:ascii="Arial" w:hAnsi="Arial" w:cs="Arial"/>
          <w:bCs/>
          <w:sz w:val="20"/>
          <w:szCs w:val="20"/>
          <w:lang w:val="en-GB"/>
        </w:rPr>
        <w:t>lysis of erythrocytes</w:t>
      </w:r>
      <w:r w:rsidR="009148A9" w:rsidRPr="00AA65D4">
        <w:rPr>
          <w:rFonts w:ascii="Arial" w:hAnsi="Arial" w:cs="Arial"/>
          <w:bCs/>
          <w:sz w:val="20"/>
          <w:szCs w:val="20"/>
          <w:lang w:val="en-GB"/>
        </w:rPr>
        <w:t>,</w:t>
      </w:r>
      <w:r w:rsidR="009148A9" w:rsidRPr="0079351F">
        <w:rPr>
          <w:rFonts w:ascii="Arial" w:hAnsi="Arial" w:cs="Arial"/>
          <w:bCs/>
          <w:sz w:val="20"/>
          <w:szCs w:val="20"/>
          <w:lang w:val="en-GB"/>
        </w:rPr>
        <w:t xml:space="preserve"> leukocytes derived from peripheral blood of COVID-19 patients were stained intracellularly with a PPAR</w:t>
      </w:r>
      <w:r w:rsidR="006D4713">
        <w:rPr>
          <w:rFonts w:ascii="Arial" w:hAnsi="Arial" w:cs="Arial"/>
          <w:sz w:val="20"/>
          <w:szCs w:val="20"/>
        </w:rPr>
        <w:t>γ</w:t>
      </w:r>
      <w:r w:rsidR="009148A9" w:rsidRPr="0079351F">
        <w:rPr>
          <w:rFonts w:ascii="Arial" w:hAnsi="Arial" w:cs="Arial"/>
          <w:bCs/>
          <w:sz w:val="20"/>
          <w:szCs w:val="20"/>
          <w:lang w:val="en-GB"/>
        </w:rPr>
        <w:t xml:space="preserve">-specific antibody conjugated to AlexaFluor 750 (AF750) as described in Materials and Methods </w:t>
      </w:r>
      <w:r w:rsidR="009148A9" w:rsidRPr="004558F9">
        <w:rPr>
          <w:rFonts w:ascii="Arial" w:hAnsi="Arial" w:cs="Arial"/>
          <w:b/>
          <w:sz w:val="20"/>
          <w:szCs w:val="20"/>
          <w:lang w:val="en-GB"/>
        </w:rPr>
        <w:t>(A)</w:t>
      </w:r>
      <w:r w:rsidR="009148A9" w:rsidRPr="0079351F">
        <w:rPr>
          <w:rFonts w:ascii="Arial" w:hAnsi="Arial" w:cs="Arial"/>
          <w:bCs/>
          <w:sz w:val="20"/>
          <w:szCs w:val="20"/>
          <w:lang w:val="en-GB"/>
        </w:rPr>
        <w:t>. To show specific binding of the AF750-tagged antibody, an unconjugated antibody of the identical clone was added to the staining</w:t>
      </w:r>
      <w:r w:rsidR="00650175" w:rsidRPr="0079351F">
        <w:rPr>
          <w:rFonts w:ascii="Arial" w:hAnsi="Arial" w:cs="Arial"/>
          <w:bCs/>
          <w:sz w:val="20"/>
          <w:szCs w:val="20"/>
          <w:lang w:val="en-GB"/>
        </w:rPr>
        <w:t xml:space="preserve"> in 10</w:t>
      </w:r>
      <w:r w:rsidR="00FE7A16" w:rsidRPr="0079351F">
        <w:rPr>
          <w:rFonts w:ascii="Arial" w:hAnsi="Arial" w:cs="Arial"/>
          <w:bCs/>
          <w:sz w:val="20"/>
          <w:szCs w:val="20"/>
          <w:lang w:val="en-GB"/>
        </w:rPr>
        <w:t>-</w:t>
      </w:r>
      <w:r w:rsidR="00650175" w:rsidRPr="0079351F">
        <w:rPr>
          <w:rFonts w:ascii="Arial" w:hAnsi="Arial" w:cs="Arial"/>
          <w:bCs/>
          <w:sz w:val="20"/>
          <w:szCs w:val="20"/>
          <w:lang w:val="en-GB"/>
        </w:rPr>
        <w:t>fold excess</w:t>
      </w:r>
      <w:r w:rsidR="009148A9" w:rsidRPr="0079351F"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="009148A9" w:rsidRPr="004558F9">
        <w:rPr>
          <w:rFonts w:ascii="Arial" w:hAnsi="Arial" w:cs="Arial"/>
          <w:b/>
          <w:sz w:val="20"/>
          <w:szCs w:val="20"/>
          <w:lang w:val="en-GB"/>
        </w:rPr>
        <w:t>(B)</w:t>
      </w:r>
      <w:r w:rsidR="009148A9" w:rsidRPr="0079351F">
        <w:rPr>
          <w:rFonts w:ascii="Arial" w:hAnsi="Arial" w:cs="Arial"/>
          <w:bCs/>
          <w:sz w:val="20"/>
          <w:szCs w:val="20"/>
          <w:lang w:val="en-GB"/>
        </w:rPr>
        <w:t xml:space="preserve">. </w:t>
      </w:r>
      <w:r w:rsidR="00B967E6" w:rsidRPr="0079351F">
        <w:rPr>
          <w:rFonts w:ascii="Arial" w:hAnsi="Arial" w:cs="Arial"/>
          <w:bCs/>
          <w:sz w:val="20"/>
          <w:szCs w:val="20"/>
          <w:lang w:val="en-GB"/>
        </w:rPr>
        <w:t>Instead,</w:t>
      </w:r>
      <w:r w:rsidR="00161633" w:rsidRPr="0079351F"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="009148A9" w:rsidRPr="0079351F">
        <w:rPr>
          <w:rFonts w:ascii="Arial" w:hAnsi="Arial" w:cs="Arial"/>
          <w:bCs/>
          <w:sz w:val="20"/>
          <w:szCs w:val="20"/>
          <w:lang w:val="en-GB"/>
        </w:rPr>
        <w:t>the untagged anti-PPAR</w:t>
      </w:r>
      <w:r w:rsidR="005D11E2">
        <w:rPr>
          <w:rFonts w:ascii="Arial" w:hAnsi="Arial" w:cs="Arial"/>
          <w:sz w:val="20"/>
          <w:szCs w:val="20"/>
        </w:rPr>
        <w:t>γ</w:t>
      </w:r>
      <w:r w:rsidR="009148A9" w:rsidRPr="0079351F">
        <w:rPr>
          <w:rFonts w:ascii="Arial" w:hAnsi="Arial" w:cs="Arial"/>
          <w:bCs/>
          <w:sz w:val="20"/>
          <w:szCs w:val="20"/>
          <w:lang w:val="en-GB"/>
        </w:rPr>
        <w:t xml:space="preserve"> antibody, an unspecific antibody (anti-FoxP3-APC) was used </w:t>
      </w:r>
      <w:r w:rsidR="00161633" w:rsidRPr="0079351F">
        <w:rPr>
          <w:rFonts w:ascii="Arial" w:hAnsi="Arial" w:cs="Arial"/>
          <w:bCs/>
          <w:sz w:val="20"/>
          <w:szCs w:val="20"/>
          <w:lang w:val="en-GB"/>
        </w:rPr>
        <w:t xml:space="preserve">in a third staining reaction </w:t>
      </w:r>
      <w:r w:rsidR="00650175" w:rsidRPr="0079351F">
        <w:rPr>
          <w:rFonts w:ascii="Arial" w:hAnsi="Arial" w:cs="Arial"/>
          <w:bCs/>
          <w:sz w:val="20"/>
          <w:szCs w:val="20"/>
          <w:lang w:val="en-GB"/>
        </w:rPr>
        <w:t>in 10</w:t>
      </w:r>
      <w:r w:rsidR="00FE7A16" w:rsidRPr="0079351F">
        <w:rPr>
          <w:rFonts w:ascii="Arial" w:hAnsi="Arial" w:cs="Arial"/>
          <w:bCs/>
          <w:sz w:val="20"/>
          <w:szCs w:val="20"/>
          <w:lang w:val="en-GB"/>
        </w:rPr>
        <w:t>-</w:t>
      </w:r>
      <w:r w:rsidR="00650175" w:rsidRPr="0079351F">
        <w:rPr>
          <w:rFonts w:ascii="Arial" w:hAnsi="Arial" w:cs="Arial"/>
          <w:bCs/>
          <w:sz w:val="20"/>
          <w:szCs w:val="20"/>
          <w:lang w:val="en-GB"/>
        </w:rPr>
        <w:t xml:space="preserve">fold excess </w:t>
      </w:r>
      <w:r w:rsidR="00161633" w:rsidRPr="004558F9">
        <w:rPr>
          <w:rFonts w:ascii="Arial" w:hAnsi="Arial" w:cs="Arial"/>
          <w:b/>
          <w:sz w:val="20"/>
          <w:szCs w:val="20"/>
          <w:lang w:val="en-GB"/>
        </w:rPr>
        <w:t>(C)</w:t>
      </w:r>
      <w:r w:rsidR="00161633" w:rsidRPr="0079351F">
        <w:rPr>
          <w:rFonts w:ascii="Arial" w:hAnsi="Arial" w:cs="Arial"/>
          <w:bCs/>
          <w:sz w:val="20"/>
          <w:szCs w:val="20"/>
          <w:lang w:val="en-GB"/>
        </w:rPr>
        <w:t>.</w:t>
      </w:r>
    </w:p>
    <w:p w14:paraId="29326E23" w14:textId="376E9B75" w:rsidR="0079351F" w:rsidRPr="0079351F" w:rsidRDefault="0079351F" w:rsidP="00CE7218">
      <w:pPr>
        <w:spacing w:after="0" w:line="48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4558F9">
        <w:rPr>
          <w:rFonts w:ascii="Arial" w:hAnsi="Arial" w:cs="Arial"/>
          <w:b/>
          <w:sz w:val="20"/>
          <w:szCs w:val="20"/>
          <w:lang w:val="en-GB"/>
        </w:rPr>
        <w:t>Abbreviations</w:t>
      </w:r>
      <w:r>
        <w:rPr>
          <w:rFonts w:ascii="Arial" w:hAnsi="Arial" w:cs="Arial"/>
          <w:bCs/>
          <w:sz w:val="20"/>
          <w:szCs w:val="20"/>
          <w:lang w:val="en-GB"/>
        </w:rPr>
        <w:t xml:space="preserve">: </w:t>
      </w:r>
      <w:r w:rsidR="005D11E2">
        <w:rPr>
          <w:rFonts w:ascii="Arial" w:hAnsi="Arial" w:cs="Arial"/>
          <w:bCs/>
          <w:sz w:val="20"/>
          <w:szCs w:val="20"/>
          <w:lang w:val="en-GB"/>
        </w:rPr>
        <w:t>α</w:t>
      </w:r>
      <w:r w:rsidR="004558F9">
        <w:rPr>
          <w:rFonts w:ascii="Arial" w:hAnsi="Arial" w:cs="Arial"/>
          <w:bCs/>
          <w:sz w:val="20"/>
          <w:szCs w:val="20"/>
          <w:lang w:val="en-GB"/>
        </w:rPr>
        <w:t xml:space="preserve">, anti; ab, antibody; AF, AlexaFluor; APC, allophycocyanin; </w:t>
      </w:r>
      <w:r>
        <w:rPr>
          <w:rFonts w:ascii="Arial" w:hAnsi="Arial" w:cs="Arial"/>
          <w:bCs/>
          <w:sz w:val="20"/>
          <w:szCs w:val="20"/>
          <w:lang w:val="en-GB"/>
        </w:rPr>
        <w:t xml:space="preserve">COVID-19, coronavirus disease 2019; </w:t>
      </w:r>
      <w:r w:rsidR="004558F9">
        <w:rPr>
          <w:rFonts w:ascii="Arial" w:hAnsi="Arial" w:cs="Arial"/>
          <w:bCs/>
          <w:sz w:val="20"/>
          <w:szCs w:val="20"/>
          <w:lang w:val="en-GB"/>
        </w:rPr>
        <w:t>CP, competition; FoxP3, forkhead box protein 3; PPAR</w:t>
      </w:r>
      <w:r w:rsidR="005D11E2">
        <w:rPr>
          <w:rFonts w:ascii="Arial" w:hAnsi="Arial" w:cs="Arial"/>
          <w:sz w:val="20"/>
          <w:szCs w:val="20"/>
        </w:rPr>
        <w:t>γ</w:t>
      </w:r>
      <w:r w:rsidR="004558F9">
        <w:rPr>
          <w:rFonts w:ascii="Arial" w:hAnsi="Arial" w:cs="Arial"/>
          <w:bCs/>
          <w:sz w:val="20"/>
          <w:szCs w:val="20"/>
          <w:lang w:val="en-GB"/>
        </w:rPr>
        <w:t xml:space="preserve">, peroxisome proliferator-activated receptor </w:t>
      </w:r>
      <w:r w:rsidR="005D11E2">
        <w:rPr>
          <w:rFonts w:ascii="Arial" w:hAnsi="Arial" w:cs="Arial"/>
          <w:sz w:val="20"/>
          <w:szCs w:val="20"/>
        </w:rPr>
        <w:t>γ</w:t>
      </w:r>
      <w:r w:rsidR="004558F9">
        <w:rPr>
          <w:rFonts w:ascii="Arial" w:hAnsi="Arial" w:cs="Arial"/>
          <w:bCs/>
          <w:sz w:val="20"/>
          <w:szCs w:val="20"/>
          <w:lang w:val="en-GB"/>
        </w:rPr>
        <w:t>; s, specific; us, unspecific.</w:t>
      </w:r>
    </w:p>
    <w:p w14:paraId="3A478356" w14:textId="77777777" w:rsidR="009148A9" w:rsidRPr="00653417" w:rsidRDefault="009148A9" w:rsidP="009C0908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6C9E55D1" w14:textId="47E2B213" w:rsidR="009148A9" w:rsidRPr="00653417" w:rsidRDefault="005D11E2" w:rsidP="009C0908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val="en-GB" w:eastAsia="de-DE"/>
        </w:rPr>
      </w:pPr>
      <w:r>
        <w:rPr>
          <w:rFonts w:ascii="Arial" w:hAnsi="Arial" w:cs="Arial"/>
          <w:noProof/>
          <w:sz w:val="24"/>
          <w:szCs w:val="24"/>
          <w:lang w:val="en-GB" w:eastAsia="de-DE"/>
        </w:rPr>
        <w:drawing>
          <wp:inline distT="0" distB="0" distL="0" distR="0" wp14:anchorId="5ED66CED" wp14:editId="584BBC79">
            <wp:extent cx="4916347" cy="3221566"/>
            <wp:effectExtent l="0" t="0" r="0" b="0"/>
            <wp:docPr id="66620590" name="Grafik 5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0590" name="Grafik 5" descr="Ein Bild, das Text, Screenshot, Design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2"/>
                    <a:stretch/>
                  </pic:blipFill>
                  <pic:spPr bwMode="auto">
                    <a:xfrm>
                      <a:off x="0" y="0"/>
                      <a:ext cx="4927645" cy="322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3340C" w14:textId="77777777" w:rsidR="009C0908" w:rsidRPr="00653417" w:rsidRDefault="009C0908">
      <w:pPr>
        <w:rPr>
          <w:rFonts w:ascii="Arial" w:hAnsi="Arial" w:cs="Arial"/>
          <w:b/>
          <w:sz w:val="24"/>
          <w:szCs w:val="24"/>
          <w:lang w:val="en-GB"/>
        </w:rPr>
      </w:pPr>
      <w:r w:rsidRPr="00653417">
        <w:rPr>
          <w:rFonts w:ascii="Arial" w:hAnsi="Arial" w:cs="Arial"/>
          <w:b/>
          <w:sz w:val="24"/>
          <w:szCs w:val="24"/>
          <w:lang w:val="en-GB"/>
        </w:rPr>
        <w:br w:type="page"/>
      </w:r>
    </w:p>
    <w:p w14:paraId="65D2B334" w14:textId="055F34A4" w:rsidR="00177231" w:rsidRDefault="00177231" w:rsidP="00CE7218">
      <w:pPr>
        <w:spacing w:after="0"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4558F9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Supplementary Figure </w:t>
      </w:r>
      <w:r w:rsidR="009C0908" w:rsidRPr="004558F9">
        <w:rPr>
          <w:rFonts w:ascii="Arial" w:hAnsi="Arial" w:cs="Arial"/>
          <w:b/>
          <w:sz w:val="20"/>
          <w:szCs w:val="20"/>
          <w:lang w:val="en-GB"/>
        </w:rPr>
        <w:t>5</w:t>
      </w:r>
      <w:r w:rsidR="00E07E51" w:rsidRPr="004558F9">
        <w:rPr>
          <w:rFonts w:ascii="Arial" w:hAnsi="Arial" w:cs="Arial"/>
          <w:b/>
          <w:sz w:val="20"/>
          <w:szCs w:val="20"/>
          <w:lang w:val="en-GB"/>
        </w:rPr>
        <w:t xml:space="preserve">: </w:t>
      </w:r>
      <w:r w:rsidR="00E07E51" w:rsidRPr="004558F9">
        <w:rPr>
          <w:rFonts w:ascii="Arial" w:hAnsi="Arial" w:cs="Arial"/>
          <w:sz w:val="20"/>
          <w:szCs w:val="20"/>
          <w:lang w:val="en-GB"/>
        </w:rPr>
        <w:t>Evaluation of MACS-dependent enrichment of human CD4</w:t>
      </w:r>
      <w:r w:rsidR="00E07E51" w:rsidRPr="004558F9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="00E07E51" w:rsidRPr="004558F9">
        <w:rPr>
          <w:rFonts w:ascii="Arial" w:hAnsi="Arial" w:cs="Arial"/>
          <w:sz w:val="20"/>
          <w:szCs w:val="20"/>
          <w:lang w:val="en-GB"/>
        </w:rPr>
        <w:t xml:space="preserve"> T cells derived from peripheral blood of healthy donors before (left) and following enrichment (right). Enrichment was determined by FACS analysis. A representative result is shown.</w:t>
      </w:r>
    </w:p>
    <w:p w14:paraId="356BADA0" w14:textId="0760E4A4" w:rsidR="004558F9" w:rsidRPr="004558F9" w:rsidRDefault="004558F9" w:rsidP="00CE7218">
      <w:pPr>
        <w:spacing w:after="0"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4558F9">
        <w:rPr>
          <w:rFonts w:ascii="Arial" w:hAnsi="Arial" w:cs="Arial"/>
          <w:b/>
          <w:bCs/>
          <w:sz w:val="20"/>
          <w:szCs w:val="20"/>
          <w:lang w:val="en-GB"/>
        </w:rPr>
        <w:t>Abbreviations</w:t>
      </w:r>
      <w:r>
        <w:rPr>
          <w:rFonts w:ascii="Arial" w:hAnsi="Arial" w:cs="Arial"/>
          <w:sz w:val="20"/>
          <w:szCs w:val="20"/>
          <w:lang w:val="en-GB"/>
        </w:rPr>
        <w:t xml:space="preserve">: A, area; CD, cluster of differentiation; FACS, fluorescence-activated cell sorting; MACS, magnetic cell sorting; PerCP-Cy5.5, </w:t>
      </w:r>
      <w:r>
        <w:rPr>
          <w:rFonts w:ascii="Arial" w:hAnsi="Arial" w:cs="Arial"/>
          <w:noProof/>
          <w:sz w:val="20"/>
          <w:szCs w:val="20"/>
          <w:lang w:val="en-GB" w:eastAsia="de-DE"/>
        </w:rPr>
        <w:t>peridinin-chlorophyll-protein-cyanine 5.5.</w:t>
      </w:r>
    </w:p>
    <w:p w14:paraId="5F31B11F" w14:textId="78FF0421" w:rsidR="00177231" w:rsidRPr="006D4713" w:rsidRDefault="00177231">
      <w:pPr>
        <w:rPr>
          <w:rFonts w:ascii="Arial" w:hAnsi="Arial" w:cs="Arial"/>
          <w:noProof/>
          <w:lang w:val="en-US"/>
        </w:rPr>
      </w:pPr>
    </w:p>
    <w:p w14:paraId="5A3AD3FF" w14:textId="4508A601" w:rsidR="005D11E2" w:rsidRPr="00653417" w:rsidRDefault="005B4264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w:drawing>
          <wp:inline distT="0" distB="0" distL="0" distR="0" wp14:anchorId="77D53BB1" wp14:editId="40E687C0">
            <wp:extent cx="4046202" cy="2517140"/>
            <wp:effectExtent l="0" t="0" r="0" b="0"/>
            <wp:docPr id="307248931" name="Grafik 4" descr="Ein Bild, das Text, Screensho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8931" name="Grafik 4" descr="Ein Bild, das Text, Screenshot, Diagramm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02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ED4C" w14:textId="77777777" w:rsidR="00177231" w:rsidRPr="00653417" w:rsidRDefault="00177231">
      <w:pPr>
        <w:rPr>
          <w:rFonts w:ascii="Arial" w:hAnsi="Arial" w:cs="Arial"/>
          <w:b/>
          <w:lang w:val="en-GB"/>
        </w:rPr>
      </w:pPr>
    </w:p>
    <w:p w14:paraId="0AF039D4" w14:textId="77777777" w:rsidR="005F18E0" w:rsidRPr="00653417" w:rsidRDefault="005F18E0">
      <w:pPr>
        <w:rPr>
          <w:rFonts w:ascii="Arial" w:hAnsi="Arial" w:cs="Arial"/>
          <w:b/>
          <w:lang w:val="en-GB"/>
        </w:rPr>
      </w:pPr>
    </w:p>
    <w:p w14:paraId="3CE73CDA" w14:textId="77777777" w:rsidR="005F18E0" w:rsidRPr="00653417" w:rsidRDefault="005F18E0">
      <w:pPr>
        <w:rPr>
          <w:rFonts w:ascii="Arial" w:hAnsi="Arial" w:cs="Arial"/>
          <w:b/>
          <w:lang w:val="en-GB"/>
        </w:rPr>
      </w:pPr>
    </w:p>
    <w:p w14:paraId="0E1651F0" w14:textId="77777777" w:rsidR="005F18E0" w:rsidRPr="00653417" w:rsidRDefault="005F18E0">
      <w:pPr>
        <w:rPr>
          <w:rFonts w:ascii="Arial" w:hAnsi="Arial" w:cs="Arial"/>
          <w:b/>
          <w:lang w:val="en-GB"/>
        </w:rPr>
      </w:pPr>
    </w:p>
    <w:p w14:paraId="09521665" w14:textId="77777777" w:rsidR="005F18E0" w:rsidRPr="00653417" w:rsidRDefault="005F18E0">
      <w:pPr>
        <w:rPr>
          <w:rFonts w:ascii="Arial" w:hAnsi="Arial" w:cs="Arial"/>
          <w:b/>
          <w:lang w:val="en-GB"/>
        </w:rPr>
      </w:pPr>
      <w:r w:rsidRPr="00653417">
        <w:rPr>
          <w:rFonts w:ascii="Arial" w:hAnsi="Arial" w:cs="Arial"/>
          <w:b/>
          <w:lang w:val="en-GB"/>
        </w:rPr>
        <w:br w:type="page"/>
      </w:r>
    </w:p>
    <w:p w14:paraId="02C47D94" w14:textId="0E9249A8" w:rsidR="006905C0" w:rsidRDefault="006905C0" w:rsidP="00CE7218">
      <w:pPr>
        <w:spacing w:after="0"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4558F9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Supplementary Figure </w:t>
      </w:r>
      <w:r w:rsidR="00161633" w:rsidRPr="004558F9">
        <w:rPr>
          <w:rFonts w:ascii="Arial" w:hAnsi="Arial" w:cs="Arial"/>
          <w:b/>
          <w:sz w:val="20"/>
          <w:szCs w:val="20"/>
          <w:lang w:val="en-GB"/>
        </w:rPr>
        <w:t>6</w:t>
      </w:r>
      <w:r w:rsidRPr="004558F9">
        <w:rPr>
          <w:rFonts w:ascii="Arial" w:hAnsi="Arial" w:cs="Arial"/>
          <w:b/>
          <w:sz w:val="20"/>
          <w:szCs w:val="20"/>
          <w:lang w:val="en-GB"/>
        </w:rPr>
        <w:t xml:space="preserve">: </w:t>
      </w:r>
      <w:r w:rsidRPr="004558F9">
        <w:rPr>
          <w:rFonts w:ascii="Arial" w:hAnsi="Arial" w:cs="Arial"/>
          <w:sz w:val="20"/>
          <w:szCs w:val="20"/>
          <w:lang w:val="en-GB"/>
        </w:rPr>
        <w:t>Human CD4</w:t>
      </w:r>
      <w:r w:rsidRPr="004558F9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4558F9">
        <w:rPr>
          <w:rFonts w:ascii="Arial" w:hAnsi="Arial" w:cs="Arial"/>
          <w:sz w:val="20"/>
          <w:szCs w:val="20"/>
          <w:lang w:val="en-GB"/>
        </w:rPr>
        <w:t xml:space="preserve"> T cells were enriched by MACS separation </w:t>
      </w:r>
      <w:r w:rsidRPr="00DB3A75">
        <w:rPr>
          <w:rFonts w:ascii="Arial" w:hAnsi="Arial" w:cs="Arial"/>
          <w:sz w:val="20"/>
          <w:szCs w:val="20"/>
          <w:lang w:val="en-GB"/>
        </w:rPr>
        <w:t xml:space="preserve">(see Supplementary Figure </w:t>
      </w:r>
      <w:r w:rsidR="00161633" w:rsidRPr="00DB3A75">
        <w:rPr>
          <w:rFonts w:ascii="Arial" w:hAnsi="Arial" w:cs="Arial"/>
          <w:sz w:val="20"/>
          <w:szCs w:val="20"/>
          <w:lang w:val="en-GB"/>
        </w:rPr>
        <w:t>5</w:t>
      </w:r>
      <w:r w:rsidRPr="00DB3A75">
        <w:rPr>
          <w:rFonts w:ascii="Arial" w:hAnsi="Arial" w:cs="Arial"/>
          <w:sz w:val="20"/>
          <w:szCs w:val="20"/>
          <w:lang w:val="en-GB"/>
        </w:rPr>
        <w:t>)</w:t>
      </w:r>
      <w:r w:rsidRPr="004558F9">
        <w:rPr>
          <w:rFonts w:ascii="Arial" w:hAnsi="Arial" w:cs="Arial"/>
          <w:sz w:val="20"/>
          <w:szCs w:val="20"/>
          <w:lang w:val="en-GB"/>
        </w:rPr>
        <w:t>. Afterwards, CD4</w:t>
      </w:r>
      <w:r w:rsidRPr="004558F9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4558F9">
        <w:rPr>
          <w:rFonts w:ascii="Arial" w:hAnsi="Arial" w:cs="Arial"/>
          <w:sz w:val="20"/>
          <w:szCs w:val="20"/>
          <w:lang w:val="en-GB"/>
        </w:rPr>
        <w:t xml:space="preserve"> T cells were differentiated for 13 days to T</w:t>
      </w:r>
      <w:r w:rsidRPr="004558F9">
        <w:rPr>
          <w:rFonts w:ascii="Arial" w:hAnsi="Arial" w:cs="Arial"/>
          <w:sz w:val="20"/>
          <w:szCs w:val="20"/>
          <w:vertAlign w:val="subscript"/>
          <w:lang w:val="en-GB"/>
        </w:rPr>
        <w:t>h</w:t>
      </w:r>
      <w:r w:rsidRPr="004558F9">
        <w:rPr>
          <w:rFonts w:ascii="Arial" w:hAnsi="Arial" w:cs="Arial"/>
          <w:sz w:val="20"/>
          <w:szCs w:val="20"/>
          <w:lang w:val="en-GB"/>
        </w:rPr>
        <w:t xml:space="preserve">2 cells as described in Materials and Methods. </w:t>
      </w:r>
      <w:r w:rsidRPr="004558F9">
        <w:rPr>
          <w:rFonts w:ascii="Arial" w:hAnsi="Arial" w:cs="Arial"/>
          <w:b/>
          <w:sz w:val="20"/>
          <w:szCs w:val="20"/>
          <w:lang w:val="en-GB"/>
        </w:rPr>
        <w:t>(A)</w:t>
      </w:r>
      <w:r w:rsidRPr="004558F9">
        <w:rPr>
          <w:rFonts w:ascii="Arial" w:hAnsi="Arial" w:cs="Arial"/>
          <w:sz w:val="20"/>
          <w:szCs w:val="20"/>
          <w:lang w:val="en-GB"/>
        </w:rPr>
        <w:t xml:space="preserve"> To identify the efficiency of T</w:t>
      </w:r>
      <w:r w:rsidRPr="004558F9">
        <w:rPr>
          <w:rFonts w:ascii="Arial" w:hAnsi="Arial" w:cs="Arial"/>
          <w:sz w:val="20"/>
          <w:szCs w:val="20"/>
          <w:vertAlign w:val="subscript"/>
          <w:lang w:val="en-GB"/>
        </w:rPr>
        <w:t>h</w:t>
      </w:r>
      <w:r w:rsidRPr="004558F9">
        <w:rPr>
          <w:rFonts w:ascii="Arial" w:hAnsi="Arial" w:cs="Arial"/>
          <w:sz w:val="20"/>
          <w:szCs w:val="20"/>
          <w:lang w:val="en-GB"/>
        </w:rPr>
        <w:t>2 differentiation, cells were stained intracellularly for IL-4 as an T</w:t>
      </w:r>
      <w:r w:rsidRPr="004558F9">
        <w:rPr>
          <w:rFonts w:ascii="Arial" w:hAnsi="Arial" w:cs="Arial"/>
          <w:sz w:val="20"/>
          <w:szCs w:val="20"/>
          <w:vertAlign w:val="subscript"/>
          <w:lang w:val="en-GB"/>
        </w:rPr>
        <w:t>h</w:t>
      </w:r>
      <w:r w:rsidRPr="004558F9">
        <w:rPr>
          <w:rFonts w:ascii="Arial" w:hAnsi="Arial" w:cs="Arial"/>
          <w:sz w:val="20"/>
          <w:szCs w:val="20"/>
          <w:lang w:val="en-GB"/>
        </w:rPr>
        <w:t>2 and for IFN</w:t>
      </w:r>
      <w:r w:rsidR="00653417" w:rsidRPr="004558F9">
        <w:rPr>
          <w:rFonts w:ascii="Symbol" w:hAnsi="Symbol" w:cs="Arial"/>
          <w:sz w:val="20"/>
          <w:szCs w:val="20"/>
        </w:rPr>
        <w:t>g</w:t>
      </w:r>
      <w:r w:rsidRPr="004558F9">
        <w:rPr>
          <w:rFonts w:ascii="Arial" w:hAnsi="Arial" w:cs="Arial"/>
          <w:sz w:val="20"/>
          <w:szCs w:val="20"/>
          <w:lang w:val="en-GB"/>
        </w:rPr>
        <w:t xml:space="preserve"> as an T</w:t>
      </w:r>
      <w:r w:rsidRPr="004558F9">
        <w:rPr>
          <w:rFonts w:ascii="Arial" w:hAnsi="Arial" w:cs="Arial"/>
          <w:sz w:val="20"/>
          <w:szCs w:val="20"/>
          <w:vertAlign w:val="subscript"/>
          <w:lang w:val="en-GB"/>
        </w:rPr>
        <w:t>h</w:t>
      </w:r>
      <w:r w:rsidRPr="004558F9">
        <w:rPr>
          <w:rFonts w:ascii="Arial" w:hAnsi="Arial" w:cs="Arial"/>
          <w:sz w:val="20"/>
          <w:szCs w:val="20"/>
          <w:lang w:val="en-GB"/>
        </w:rPr>
        <w:t>1 marker cytokine before (left panel) or after T</w:t>
      </w:r>
      <w:r w:rsidRPr="00840A3A">
        <w:rPr>
          <w:rFonts w:ascii="Arial" w:hAnsi="Arial" w:cs="Arial"/>
          <w:sz w:val="20"/>
          <w:szCs w:val="20"/>
          <w:vertAlign w:val="subscript"/>
          <w:lang w:val="en-GB"/>
        </w:rPr>
        <w:t>h</w:t>
      </w:r>
      <w:r w:rsidRPr="004558F9">
        <w:rPr>
          <w:rFonts w:ascii="Arial" w:hAnsi="Arial" w:cs="Arial"/>
          <w:sz w:val="20"/>
          <w:szCs w:val="20"/>
          <w:lang w:val="en-GB"/>
        </w:rPr>
        <w:t xml:space="preserve">2 differentiation (right panel). </w:t>
      </w:r>
      <w:r w:rsidRPr="004558F9">
        <w:rPr>
          <w:rFonts w:ascii="Arial" w:hAnsi="Arial" w:cs="Arial"/>
          <w:b/>
          <w:sz w:val="20"/>
          <w:szCs w:val="20"/>
          <w:lang w:val="en-GB"/>
        </w:rPr>
        <w:t>(B)</w:t>
      </w:r>
      <w:r w:rsidRPr="004558F9">
        <w:rPr>
          <w:rFonts w:ascii="Arial" w:hAnsi="Arial" w:cs="Arial"/>
          <w:sz w:val="20"/>
          <w:szCs w:val="20"/>
          <w:lang w:val="en-GB"/>
        </w:rPr>
        <w:t xml:space="preserve"> To test whether T</w:t>
      </w:r>
      <w:r w:rsidRPr="004558F9">
        <w:rPr>
          <w:rFonts w:ascii="Arial" w:hAnsi="Arial" w:cs="Arial"/>
          <w:sz w:val="20"/>
          <w:szCs w:val="20"/>
          <w:vertAlign w:val="subscript"/>
          <w:lang w:val="en-GB"/>
        </w:rPr>
        <w:t>h</w:t>
      </w:r>
      <w:r w:rsidRPr="004558F9">
        <w:rPr>
          <w:rFonts w:ascii="Arial" w:hAnsi="Arial" w:cs="Arial"/>
          <w:sz w:val="20"/>
          <w:szCs w:val="20"/>
          <w:lang w:val="en-GB"/>
        </w:rPr>
        <w:t>2 cells can be shifted to a T</w:t>
      </w:r>
      <w:r w:rsidRPr="004558F9">
        <w:rPr>
          <w:rFonts w:ascii="Arial" w:hAnsi="Arial" w:cs="Arial"/>
          <w:sz w:val="20"/>
          <w:szCs w:val="20"/>
          <w:vertAlign w:val="subscript"/>
          <w:lang w:val="en-GB"/>
        </w:rPr>
        <w:t>h</w:t>
      </w:r>
      <w:r w:rsidRPr="004558F9">
        <w:rPr>
          <w:rFonts w:ascii="Arial" w:hAnsi="Arial" w:cs="Arial"/>
          <w:sz w:val="20"/>
          <w:szCs w:val="20"/>
          <w:lang w:val="en-GB"/>
        </w:rPr>
        <w:t>1 phenotype by mitogenic activation, we treated enriched CD4</w:t>
      </w:r>
      <w:r w:rsidRPr="004558F9">
        <w:rPr>
          <w:rFonts w:ascii="Arial" w:hAnsi="Arial" w:cs="Arial"/>
          <w:sz w:val="20"/>
          <w:szCs w:val="20"/>
          <w:vertAlign w:val="superscript"/>
          <w:lang w:val="en-GB"/>
        </w:rPr>
        <w:t>+</w:t>
      </w:r>
      <w:r w:rsidRPr="004558F9">
        <w:rPr>
          <w:rFonts w:ascii="Arial" w:hAnsi="Arial" w:cs="Arial"/>
          <w:sz w:val="20"/>
          <w:szCs w:val="20"/>
          <w:lang w:val="en-GB"/>
        </w:rPr>
        <w:t xml:space="preserve"> T cells before (left panel) and after T</w:t>
      </w:r>
      <w:r w:rsidRPr="004558F9">
        <w:rPr>
          <w:rFonts w:ascii="Arial" w:hAnsi="Arial" w:cs="Arial"/>
          <w:sz w:val="20"/>
          <w:szCs w:val="20"/>
          <w:vertAlign w:val="subscript"/>
          <w:lang w:val="en-GB"/>
        </w:rPr>
        <w:t>h</w:t>
      </w:r>
      <w:r w:rsidRPr="004558F9">
        <w:rPr>
          <w:rFonts w:ascii="Arial" w:hAnsi="Arial" w:cs="Arial"/>
          <w:sz w:val="20"/>
          <w:szCs w:val="20"/>
          <w:lang w:val="en-GB"/>
        </w:rPr>
        <w:t>2 differentiation (right panel) with an activation cocktail, containing PMA and ionomycin as stimuli and monensin to prevent cytokine release from the cells.</w:t>
      </w:r>
      <w:r w:rsidR="00161633" w:rsidRPr="004558F9">
        <w:rPr>
          <w:rFonts w:ascii="Arial" w:hAnsi="Arial" w:cs="Arial"/>
          <w:sz w:val="20"/>
          <w:szCs w:val="20"/>
          <w:lang w:val="en-GB"/>
        </w:rPr>
        <w:t xml:space="preserve"> Concerning different requirements to prevent cytokine release, we also added BD Golgi-Plug</w:t>
      </w:r>
      <w:r w:rsidR="00161633" w:rsidRPr="004558F9">
        <w:rPr>
          <w:rFonts w:ascii="Arial" w:hAnsi="Arial" w:cs="Arial"/>
          <w:sz w:val="20"/>
          <w:szCs w:val="20"/>
          <w:vertAlign w:val="superscript"/>
          <w:lang w:val="en-GB"/>
        </w:rPr>
        <w:t>TM</w:t>
      </w:r>
      <w:r w:rsidR="00161633" w:rsidRPr="004558F9">
        <w:rPr>
          <w:rFonts w:ascii="Arial" w:hAnsi="Arial" w:cs="Arial"/>
          <w:sz w:val="20"/>
          <w:szCs w:val="20"/>
          <w:lang w:val="en-GB"/>
        </w:rPr>
        <w:t>, containing brefeldin A as described in Materials and Methods.</w:t>
      </w:r>
    </w:p>
    <w:p w14:paraId="4DD40A1E" w14:textId="21D46FC0" w:rsidR="004558F9" w:rsidRPr="004558F9" w:rsidRDefault="004558F9" w:rsidP="00CE7218">
      <w:pPr>
        <w:spacing w:after="0"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840A3A">
        <w:rPr>
          <w:rFonts w:ascii="Arial" w:hAnsi="Arial" w:cs="Arial"/>
          <w:b/>
          <w:bCs/>
          <w:sz w:val="20"/>
          <w:szCs w:val="20"/>
          <w:lang w:val="en-GB"/>
        </w:rPr>
        <w:t>Abbreviations</w:t>
      </w:r>
      <w:r>
        <w:rPr>
          <w:rFonts w:ascii="Arial" w:hAnsi="Arial" w:cs="Arial"/>
          <w:sz w:val="20"/>
          <w:szCs w:val="20"/>
          <w:lang w:val="en-GB"/>
        </w:rPr>
        <w:t xml:space="preserve">: </w:t>
      </w:r>
      <w:r w:rsidR="001901F4">
        <w:rPr>
          <w:rFonts w:ascii="Arial" w:hAnsi="Arial" w:cs="Arial"/>
          <w:sz w:val="20"/>
          <w:szCs w:val="20"/>
          <w:lang w:val="en-GB"/>
        </w:rPr>
        <w:t xml:space="preserve">A, area; </w:t>
      </w:r>
      <w:r w:rsidR="00840A3A">
        <w:rPr>
          <w:rFonts w:ascii="Arial" w:hAnsi="Arial" w:cs="Arial"/>
          <w:sz w:val="20"/>
          <w:szCs w:val="20"/>
          <w:lang w:val="en-GB"/>
        </w:rPr>
        <w:t xml:space="preserve">BD, Becton Dickinson; </w:t>
      </w:r>
      <w:r w:rsidR="001901F4" w:rsidRPr="00D61F54">
        <w:rPr>
          <w:rFonts w:ascii="Arial" w:hAnsi="Arial" w:cs="Arial"/>
          <w:sz w:val="20"/>
          <w:szCs w:val="20"/>
          <w:lang w:val="en-GB"/>
        </w:rPr>
        <w:t>CD, cluster of differentiation;</w:t>
      </w:r>
      <w:r w:rsidR="001901F4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IL-4, interleukin</w:t>
      </w:r>
      <w:r w:rsidR="00840A3A">
        <w:rPr>
          <w:rFonts w:ascii="Arial" w:hAnsi="Arial" w:cs="Arial"/>
          <w:sz w:val="20"/>
          <w:szCs w:val="20"/>
          <w:lang w:val="en-GB"/>
        </w:rPr>
        <w:t>-</w:t>
      </w:r>
      <w:r>
        <w:rPr>
          <w:rFonts w:ascii="Arial" w:hAnsi="Arial" w:cs="Arial"/>
          <w:sz w:val="20"/>
          <w:szCs w:val="20"/>
          <w:lang w:val="en-GB"/>
        </w:rPr>
        <w:t>4; IFN-</w:t>
      </w:r>
      <w:r w:rsidRPr="004558F9">
        <w:rPr>
          <w:rFonts w:ascii="Symbol" w:hAnsi="Symbol" w:cs="Arial"/>
          <w:sz w:val="20"/>
          <w:szCs w:val="20"/>
          <w:lang w:val="en-GB"/>
        </w:rPr>
        <w:t>g</w:t>
      </w:r>
      <w:r>
        <w:rPr>
          <w:rFonts w:ascii="Arial" w:hAnsi="Arial" w:cs="Arial"/>
          <w:sz w:val="20"/>
          <w:szCs w:val="20"/>
          <w:lang w:val="en-GB"/>
        </w:rPr>
        <w:t>, interferon-</w:t>
      </w:r>
      <w:r w:rsidRPr="004558F9">
        <w:rPr>
          <w:rFonts w:ascii="Symbol" w:hAnsi="Symbol" w:cs="Arial"/>
          <w:sz w:val="20"/>
          <w:szCs w:val="20"/>
          <w:lang w:val="en-GB"/>
        </w:rPr>
        <w:t>g</w:t>
      </w:r>
      <w:r>
        <w:rPr>
          <w:rFonts w:ascii="Arial" w:hAnsi="Arial" w:cs="Arial"/>
          <w:sz w:val="20"/>
          <w:szCs w:val="20"/>
          <w:lang w:val="en-GB"/>
        </w:rPr>
        <w:t xml:space="preserve">; </w:t>
      </w:r>
      <w:r w:rsidR="00840A3A">
        <w:rPr>
          <w:rFonts w:ascii="Arial" w:hAnsi="Arial" w:cs="Arial"/>
          <w:sz w:val="20"/>
          <w:szCs w:val="20"/>
          <w:lang w:val="en-GB"/>
        </w:rPr>
        <w:t xml:space="preserve">MACS, magnetic cell sorting; </w:t>
      </w:r>
      <w:r w:rsidR="00840A3A">
        <w:rPr>
          <w:rFonts w:ascii="Arial" w:hAnsi="Arial" w:cs="Arial"/>
          <w:noProof/>
          <w:sz w:val="20"/>
          <w:szCs w:val="20"/>
          <w:lang w:val="en-GB" w:eastAsia="de-DE"/>
        </w:rPr>
        <w:t>PerCP-Cy5.5, peridinin-chlorophyll-protein-cyanine 5.5; PMA, phorbol myristate acetate; T</w:t>
      </w:r>
      <w:r w:rsidR="00840A3A" w:rsidRPr="00840A3A">
        <w:rPr>
          <w:rFonts w:ascii="Arial" w:hAnsi="Arial" w:cs="Arial"/>
          <w:noProof/>
          <w:sz w:val="20"/>
          <w:szCs w:val="20"/>
          <w:vertAlign w:val="subscript"/>
          <w:lang w:val="en-GB" w:eastAsia="de-DE"/>
        </w:rPr>
        <w:t>h</w:t>
      </w:r>
      <w:r w:rsidR="00840A3A">
        <w:rPr>
          <w:rFonts w:ascii="Arial" w:hAnsi="Arial" w:cs="Arial"/>
          <w:noProof/>
          <w:sz w:val="20"/>
          <w:szCs w:val="20"/>
          <w:lang w:val="en-GB" w:eastAsia="de-DE"/>
        </w:rPr>
        <w:t xml:space="preserve">1, T helper cells type 1; </w:t>
      </w:r>
      <w:r>
        <w:rPr>
          <w:rFonts w:ascii="Arial" w:hAnsi="Arial" w:cs="Arial"/>
          <w:noProof/>
          <w:sz w:val="20"/>
          <w:szCs w:val="20"/>
          <w:lang w:val="en-GB" w:eastAsia="de-DE"/>
        </w:rPr>
        <w:t>T</w:t>
      </w:r>
      <w:r w:rsidRPr="00840A3A">
        <w:rPr>
          <w:rFonts w:ascii="Arial" w:hAnsi="Arial" w:cs="Arial"/>
          <w:noProof/>
          <w:sz w:val="18"/>
          <w:szCs w:val="18"/>
          <w:vertAlign w:val="subscript"/>
          <w:lang w:val="en-GB" w:eastAsia="de-DE"/>
        </w:rPr>
        <w:t>h</w:t>
      </w:r>
      <w:r>
        <w:rPr>
          <w:rFonts w:ascii="Arial" w:hAnsi="Arial" w:cs="Arial"/>
          <w:noProof/>
          <w:sz w:val="20"/>
          <w:szCs w:val="20"/>
          <w:lang w:val="en-GB" w:eastAsia="de-DE"/>
        </w:rPr>
        <w:t>2</w:t>
      </w:r>
      <w:r w:rsidR="00840A3A">
        <w:rPr>
          <w:rFonts w:ascii="Arial" w:hAnsi="Arial" w:cs="Arial"/>
          <w:noProof/>
          <w:sz w:val="20"/>
          <w:szCs w:val="20"/>
          <w:lang w:val="en-GB" w:eastAsia="de-DE"/>
        </w:rPr>
        <w:t>, T helper cells type 2.</w:t>
      </w:r>
    </w:p>
    <w:p w14:paraId="20F0A229" w14:textId="74800D08" w:rsidR="006905C0" w:rsidRPr="00653417" w:rsidRDefault="005D11E2" w:rsidP="006905C0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w:drawing>
          <wp:inline distT="0" distB="0" distL="0" distR="0" wp14:anchorId="6F80F446" wp14:editId="2B1589F8">
            <wp:extent cx="4854938" cy="4207934"/>
            <wp:effectExtent l="0" t="0" r="3175" b="2540"/>
            <wp:docPr id="1154037188" name="Grafik 8" descr="Ein Bild, das Text, Diagramm, technische Zeichnung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37188" name="Grafik 8" descr="Ein Bild, das Text, Diagramm, technische Zeichnung, Plan enthält.&#10;&#10;Automatisch generierte Beschreibu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8"/>
                    <a:stretch/>
                  </pic:blipFill>
                  <pic:spPr bwMode="auto">
                    <a:xfrm>
                      <a:off x="0" y="0"/>
                      <a:ext cx="4866328" cy="421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89BC56" w14:textId="77777777" w:rsidR="006905C0" w:rsidRPr="00653417" w:rsidRDefault="006905C0" w:rsidP="006905C0">
      <w:pPr>
        <w:rPr>
          <w:rFonts w:ascii="Arial" w:hAnsi="Arial" w:cs="Arial"/>
          <w:b/>
          <w:lang w:val="en-GB"/>
        </w:rPr>
      </w:pPr>
    </w:p>
    <w:p w14:paraId="210B06FC" w14:textId="77777777" w:rsidR="006905C0" w:rsidRPr="00653417" w:rsidRDefault="006905C0" w:rsidP="006905C0">
      <w:pPr>
        <w:rPr>
          <w:rFonts w:ascii="Arial" w:hAnsi="Arial" w:cs="Arial"/>
          <w:b/>
          <w:lang w:val="en-GB"/>
        </w:rPr>
      </w:pPr>
    </w:p>
    <w:p w14:paraId="3F17BFEC" w14:textId="77777777" w:rsidR="006905C0" w:rsidRPr="00653417" w:rsidRDefault="006905C0" w:rsidP="006905C0">
      <w:pPr>
        <w:rPr>
          <w:rFonts w:ascii="Arial" w:hAnsi="Arial" w:cs="Arial"/>
          <w:b/>
          <w:lang w:val="en-GB"/>
        </w:rPr>
      </w:pPr>
    </w:p>
    <w:p w14:paraId="0D2A9A6D" w14:textId="77777777" w:rsidR="006905C0" w:rsidRPr="00653417" w:rsidRDefault="006905C0" w:rsidP="006905C0">
      <w:pPr>
        <w:rPr>
          <w:rFonts w:ascii="Arial" w:hAnsi="Arial" w:cs="Arial"/>
          <w:b/>
          <w:lang w:val="en-GB"/>
        </w:rPr>
      </w:pPr>
    </w:p>
    <w:p w14:paraId="58811790" w14:textId="4E89B5C9" w:rsidR="00457975" w:rsidRDefault="00161633" w:rsidP="00CE7218">
      <w:pPr>
        <w:spacing w:after="0"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bookmarkStart w:id="1" w:name="_Hlk169176182"/>
      <w:r w:rsidRPr="00466515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Supplementary Figure 7: </w:t>
      </w:r>
      <w:r w:rsidR="00BE5F03" w:rsidRPr="00466515">
        <w:rPr>
          <w:rFonts w:ascii="Arial" w:hAnsi="Arial" w:cs="Arial"/>
          <w:bCs/>
          <w:sz w:val="20"/>
          <w:szCs w:val="20"/>
          <w:lang w:val="en-GB"/>
        </w:rPr>
        <w:t>Re</w:t>
      </w:r>
      <w:r w:rsidR="00650F32" w:rsidRPr="00466515">
        <w:rPr>
          <w:rFonts w:ascii="Arial" w:hAnsi="Arial" w:cs="Arial"/>
          <w:sz w:val="20"/>
          <w:szCs w:val="20"/>
          <w:lang w:val="en-US"/>
        </w:rPr>
        <w:t xml:space="preserve">lease of </w:t>
      </w:r>
      <w:r w:rsidR="00650F32" w:rsidRPr="00466515">
        <w:rPr>
          <w:rFonts w:ascii="Arial" w:hAnsi="Arial" w:cs="Arial"/>
          <w:b/>
          <w:bCs/>
          <w:sz w:val="20"/>
          <w:szCs w:val="20"/>
          <w:lang w:val="en-US"/>
        </w:rPr>
        <w:t>(A)</w:t>
      </w:r>
      <w:r w:rsidR="00650F32" w:rsidRPr="00466515">
        <w:rPr>
          <w:rFonts w:ascii="Arial" w:hAnsi="Arial" w:cs="Arial"/>
          <w:sz w:val="20"/>
          <w:szCs w:val="20"/>
          <w:lang w:val="en-US"/>
        </w:rPr>
        <w:t xml:space="preserve"> procalcitonin (PCT), </w:t>
      </w:r>
      <w:r w:rsidR="00650F32" w:rsidRPr="00466515">
        <w:rPr>
          <w:rFonts w:ascii="Arial" w:hAnsi="Arial" w:cs="Arial"/>
          <w:b/>
          <w:bCs/>
          <w:sz w:val="20"/>
          <w:szCs w:val="20"/>
          <w:lang w:val="en-US"/>
        </w:rPr>
        <w:t>(</w:t>
      </w:r>
      <w:r w:rsidR="00065D00" w:rsidRPr="00466515">
        <w:rPr>
          <w:rFonts w:ascii="Arial" w:hAnsi="Arial" w:cs="Arial"/>
          <w:b/>
          <w:bCs/>
          <w:sz w:val="20"/>
          <w:szCs w:val="20"/>
          <w:lang w:val="en-US"/>
        </w:rPr>
        <w:t>B</w:t>
      </w:r>
      <w:r w:rsidR="00650F32" w:rsidRPr="00466515">
        <w:rPr>
          <w:rFonts w:ascii="Arial" w:hAnsi="Arial" w:cs="Arial"/>
          <w:b/>
          <w:bCs/>
          <w:sz w:val="20"/>
          <w:szCs w:val="20"/>
          <w:lang w:val="en-US"/>
        </w:rPr>
        <w:t>)</w:t>
      </w:r>
      <w:r w:rsidR="00650F32" w:rsidRPr="00466515">
        <w:rPr>
          <w:rFonts w:ascii="Arial" w:hAnsi="Arial" w:cs="Arial"/>
          <w:sz w:val="20"/>
          <w:szCs w:val="20"/>
          <w:lang w:val="en-US"/>
        </w:rPr>
        <w:t xml:space="preserve"> IL-6, </w:t>
      </w:r>
      <w:r w:rsidR="00650F32" w:rsidRPr="00466515">
        <w:rPr>
          <w:rFonts w:ascii="Arial" w:hAnsi="Arial" w:cs="Arial"/>
          <w:b/>
          <w:bCs/>
          <w:sz w:val="20"/>
          <w:szCs w:val="20"/>
          <w:lang w:val="en-US"/>
        </w:rPr>
        <w:t>(</w:t>
      </w:r>
      <w:r w:rsidR="00065D00" w:rsidRPr="00466515">
        <w:rPr>
          <w:rFonts w:ascii="Arial" w:hAnsi="Arial" w:cs="Arial"/>
          <w:b/>
          <w:bCs/>
          <w:sz w:val="20"/>
          <w:szCs w:val="20"/>
          <w:lang w:val="en-US"/>
        </w:rPr>
        <w:t>C</w:t>
      </w:r>
      <w:r w:rsidR="00650F32" w:rsidRPr="00466515">
        <w:rPr>
          <w:rFonts w:ascii="Arial" w:hAnsi="Arial" w:cs="Arial"/>
          <w:b/>
          <w:bCs/>
          <w:sz w:val="20"/>
          <w:szCs w:val="20"/>
          <w:lang w:val="en-US"/>
        </w:rPr>
        <w:t>)</w:t>
      </w:r>
      <w:r w:rsidR="00650F32" w:rsidRPr="00466515">
        <w:rPr>
          <w:rFonts w:ascii="Arial" w:hAnsi="Arial" w:cs="Arial"/>
          <w:sz w:val="20"/>
          <w:szCs w:val="20"/>
          <w:lang w:val="en-US"/>
        </w:rPr>
        <w:t xml:space="preserve"> C-reactive protein (CRP), and </w:t>
      </w:r>
      <w:r w:rsidR="00650F32" w:rsidRPr="00466515">
        <w:rPr>
          <w:rFonts w:ascii="Arial" w:hAnsi="Arial" w:cs="Arial"/>
          <w:b/>
          <w:bCs/>
          <w:sz w:val="20"/>
          <w:szCs w:val="20"/>
          <w:lang w:val="en-US"/>
        </w:rPr>
        <w:t>(</w:t>
      </w:r>
      <w:r w:rsidR="003878F2" w:rsidRPr="00466515">
        <w:rPr>
          <w:rFonts w:ascii="Arial" w:hAnsi="Arial" w:cs="Arial"/>
          <w:b/>
          <w:bCs/>
          <w:sz w:val="20"/>
          <w:szCs w:val="20"/>
          <w:lang w:val="en-US"/>
        </w:rPr>
        <w:t>D</w:t>
      </w:r>
      <w:r w:rsidR="00650F32" w:rsidRPr="00466515">
        <w:rPr>
          <w:rFonts w:ascii="Arial" w:hAnsi="Arial" w:cs="Arial"/>
          <w:b/>
          <w:bCs/>
          <w:sz w:val="20"/>
          <w:szCs w:val="20"/>
          <w:lang w:val="en-US"/>
        </w:rPr>
        <w:t>)</w:t>
      </w:r>
      <w:r w:rsidR="00650F32" w:rsidRPr="00466515">
        <w:rPr>
          <w:rFonts w:ascii="Arial" w:hAnsi="Arial" w:cs="Arial"/>
          <w:sz w:val="20"/>
          <w:szCs w:val="20"/>
          <w:lang w:val="en-US"/>
        </w:rPr>
        <w:t xml:space="preserve"> lactate-dehydrogenase (LDH)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. </w:t>
      </w:r>
      <w:r w:rsidR="00650F32" w:rsidRPr="00466515">
        <w:rPr>
          <w:rFonts w:ascii="Arial" w:hAnsi="Arial" w:cs="Arial"/>
          <w:sz w:val="20"/>
          <w:szCs w:val="20"/>
          <w:lang w:val="en-US"/>
        </w:rPr>
        <w:t>Amounts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 were determined for 30 days intensive care unit stay (d ICU) (n = 24). </w:t>
      </w:r>
      <w:r w:rsidR="00B4610B" w:rsidRPr="00466515">
        <w:rPr>
          <w:rFonts w:ascii="Arial" w:hAnsi="Arial" w:cs="Arial"/>
          <w:sz w:val="20"/>
          <w:szCs w:val="20"/>
          <w:lang w:val="en-GB"/>
        </w:rPr>
        <w:t xml:space="preserve">Hospital’s central laboratory’s threshold levels (C) are PCT: 0,5 ng/ml, IL-6: 7 pg/ml, CRP: 0,5 mg/dl, LDH: 248 U/l </w:t>
      </w:r>
      <w:r w:rsidR="009B35F9" w:rsidRPr="00466515">
        <w:rPr>
          <w:rFonts w:ascii="Arial" w:hAnsi="Arial" w:cs="Arial"/>
          <w:sz w:val="20"/>
          <w:szCs w:val="20"/>
          <w:lang w:val="en-US"/>
        </w:rPr>
        <w:t>and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 </w:t>
      </w:r>
      <w:r w:rsidR="00B4610B" w:rsidRPr="00466515">
        <w:rPr>
          <w:rFonts w:ascii="Arial" w:hAnsi="Arial" w:cs="Arial"/>
          <w:sz w:val="20"/>
          <w:szCs w:val="20"/>
          <w:lang w:val="en-US"/>
        </w:rPr>
        <w:t xml:space="preserve">are 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shown as a green dashed line. To show the impact of the necessary treatment, we compared the </w:t>
      </w:r>
      <w:r w:rsidR="009B35F9" w:rsidRPr="00466515">
        <w:rPr>
          <w:rFonts w:ascii="Arial" w:hAnsi="Arial" w:cs="Arial"/>
          <w:sz w:val="20"/>
          <w:szCs w:val="20"/>
          <w:lang w:val="en-US"/>
        </w:rPr>
        <w:t>amounts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 of non-ventilated (white columns, NV, n = 5 patients), ventilated (light grey columns, V, n = 12 patients) and extracorporeal membrane oxygenation (dark grey columns, E, n = 7 patients) requiring patients of </w:t>
      </w:r>
      <w:r w:rsidR="00457975" w:rsidRPr="00466515">
        <w:rPr>
          <w:rFonts w:ascii="Arial" w:hAnsi="Arial" w:cs="Arial"/>
          <w:b/>
          <w:sz w:val="20"/>
          <w:szCs w:val="20"/>
          <w:lang w:val="en-US"/>
        </w:rPr>
        <w:t>(</w:t>
      </w:r>
      <w:r w:rsidR="003878F2" w:rsidRPr="00466515">
        <w:rPr>
          <w:rFonts w:ascii="Arial" w:hAnsi="Arial" w:cs="Arial"/>
          <w:b/>
          <w:sz w:val="20"/>
          <w:szCs w:val="20"/>
          <w:lang w:val="en-US"/>
        </w:rPr>
        <w:t>E</w:t>
      </w:r>
      <w:r w:rsidR="00457975" w:rsidRPr="00466515">
        <w:rPr>
          <w:rFonts w:ascii="Arial" w:hAnsi="Arial" w:cs="Arial"/>
          <w:b/>
          <w:sz w:val="20"/>
          <w:szCs w:val="20"/>
          <w:lang w:val="en-US"/>
        </w:rPr>
        <w:t>)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 </w:t>
      </w:r>
      <w:r w:rsidR="009B35F9" w:rsidRPr="00466515">
        <w:rPr>
          <w:rFonts w:ascii="Arial" w:hAnsi="Arial" w:cs="Arial"/>
          <w:sz w:val="20"/>
          <w:szCs w:val="20"/>
          <w:lang w:val="en-US"/>
        </w:rPr>
        <w:t>PCT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, </w:t>
      </w:r>
      <w:r w:rsidR="00457975" w:rsidRPr="00466515">
        <w:rPr>
          <w:rFonts w:ascii="Arial" w:hAnsi="Arial" w:cs="Arial"/>
          <w:b/>
          <w:sz w:val="20"/>
          <w:szCs w:val="20"/>
          <w:lang w:val="en-US"/>
        </w:rPr>
        <w:t>(</w:t>
      </w:r>
      <w:r w:rsidR="003878F2" w:rsidRPr="00466515">
        <w:rPr>
          <w:rFonts w:ascii="Arial" w:hAnsi="Arial" w:cs="Arial"/>
          <w:b/>
          <w:sz w:val="20"/>
          <w:szCs w:val="20"/>
          <w:lang w:val="en-US"/>
        </w:rPr>
        <w:t>F</w:t>
      </w:r>
      <w:r w:rsidR="00457975" w:rsidRPr="00466515">
        <w:rPr>
          <w:rFonts w:ascii="Arial" w:hAnsi="Arial" w:cs="Arial"/>
          <w:b/>
          <w:sz w:val="20"/>
          <w:szCs w:val="20"/>
          <w:lang w:val="en-US"/>
        </w:rPr>
        <w:t>)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 </w:t>
      </w:r>
      <w:r w:rsidR="009B35F9" w:rsidRPr="00466515">
        <w:rPr>
          <w:rFonts w:ascii="Arial" w:hAnsi="Arial" w:cs="Arial"/>
          <w:sz w:val="20"/>
          <w:szCs w:val="20"/>
          <w:lang w:val="en-US"/>
        </w:rPr>
        <w:t>IL-6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, </w:t>
      </w:r>
      <w:r w:rsidR="00457975" w:rsidRPr="00466515">
        <w:rPr>
          <w:rFonts w:ascii="Arial" w:hAnsi="Arial" w:cs="Arial"/>
          <w:b/>
          <w:sz w:val="20"/>
          <w:szCs w:val="20"/>
          <w:lang w:val="en-US"/>
        </w:rPr>
        <w:t>(</w:t>
      </w:r>
      <w:r w:rsidR="003878F2" w:rsidRPr="00466515">
        <w:rPr>
          <w:rFonts w:ascii="Arial" w:hAnsi="Arial" w:cs="Arial"/>
          <w:b/>
          <w:sz w:val="20"/>
          <w:szCs w:val="20"/>
          <w:lang w:val="en-US"/>
        </w:rPr>
        <w:t>G</w:t>
      </w:r>
      <w:r w:rsidR="00457975" w:rsidRPr="00466515">
        <w:rPr>
          <w:rFonts w:ascii="Arial" w:hAnsi="Arial" w:cs="Arial"/>
          <w:b/>
          <w:sz w:val="20"/>
          <w:szCs w:val="20"/>
          <w:lang w:val="en-US"/>
        </w:rPr>
        <w:t>)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 </w:t>
      </w:r>
      <w:r w:rsidR="009B35F9" w:rsidRPr="00466515">
        <w:rPr>
          <w:rFonts w:ascii="Arial" w:hAnsi="Arial" w:cs="Arial"/>
          <w:sz w:val="20"/>
          <w:szCs w:val="20"/>
          <w:lang w:val="en-US"/>
        </w:rPr>
        <w:t xml:space="preserve">CRP, and </w:t>
      </w:r>
      <w:r w:rsidR="009B35F9" w:rsidRPr="00466515">
        <w:rPr>
          <w:rFonts w:ascii="Arial" w:hAnsi="Arial" w:cs="Arial"/>
          <w:b/>
          <w:bCs/>
          <w:sz w:val="20"/>
          <w:szCs w:val="20"/>
          <w:lang w:val="en-US"/>
        </w:rPr>
        <w:t>(</w:t>
      </w:r>
      <w:r w:rsidR="003878F2" w:rsidRPr="00466515">
        <w:rPr>
          <w:rFonts w:ascii="Arial" w:hAnsi="Arial" w:cs="Arial"/>
          <w:b/>
          <w:bCs/>
          <w:sz w:val="20"/>
          <w:szCs w:val="20"/>
          <w:lang w:val="en-US"/>
        </w:rPr>
        <w:t>H</w:t>
      </w:r>
      <w:r w:rsidR="009B35F9" w:rsidRPr="00466515">
        <w:rPr>
          <w:rFonts w:ascii="Arial" w:hAnsi="Arial" w:cs="Arial"/>
          <w:b/>
          <w:bCs/>
          <w:sz w:val="20"/>
          <w:szCs w:val="20"/>
          <w:lang w:val="en-US"/>
        </w:rPr>
        <w:t>)</w:t>
      </w:r>
      <w:r w:rsidR="009B35F9" w:rsidRPr="00466515">
        <w:rPr>
          <w:rFonts w:ascii="Arial" w:hAnsi="Arial" w:cs="Arial"/>
          <w:sz w:val="20"/>
          <w:szCs w:val="20"/>
          <w:lang w:val="en-US"/>
        </w:rPr>
        <w:t xml:space="preserve"> LDH.  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Finally, we determined the </w:t>
      </w:r>
      <w:r w:rsidR="009B35F9" w:rsidRPr="00466515">
        <w:rPr>
          <w:rFonts w:ascii="Arial" w:hAnsi="Arial" w:cs="Arial"/>
          <w:sz w:val="20"/>
          <w:szCs w:val="20"/>
          <w:lang w:val="en-US"/>
        </w:rPr>
        <w:t>amount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 of </w:t>
      </w:r>
      <w:r w:rsidR="00457975" w:rsidRPr="00466515">
        <w:rPr>
          <w:rFonts w:ascii="Arial" w:hAnsi="Arial" w:cs="Arial"/>
          <w:b/>
          <w:sz w:val="20"/>
          <w:szCs w:val="20"/>
          <w:lang w:val="en-US"/>
        </w:rPr>
        <w:t>(</w:t>
      </w:r>
      <w:r w:rsidR="003878F2" w:rsidRPr="00466515">
        <w:rPr>
          <w:rFonts w:ascii="Arial" w:hAnsi="Arial" w:cs="Arial"/>
          <w:b/>
          <w:sz w:val="20"/>
          <w:szCs w:val="20"/>
          <w:lang w:val="en-US"/>
        </w:rPr>
        <w:t>I</w:t>
      </w:r>
      <w:r w:rsidR="00457975" w:rsidRPr="00466515">
        <w:rPr>
          <w:rFonts w:ascii="Arial" w:hAnsi="Arial" w:cs="Arial"/>
          <w:b/>
          <w:sz w:val="20"/>
          <w:szCs w:val="20"/>
          <w:lang w:val="en-US"/>
        </w:rPr>
        <w:t>)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 </w:t>
      </w:r>
      <w:r w:rsidR="009B35F9" w:rsidRPr="00466515">
        <w:rPr>
          <w:rFonts w:ascii="Arial" w:hAnsi="Arial" w:cs="Arial"/>
          <w:sz w:val="20"/>
          <w:szCs w:val="20"/>
          <w:lang w:val="en-US"/>
        </w:rPr>
        <w:t>PCT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, </w:t>
      </w:r>
      <w:r w:rsidR="00457975" w:rsidRPr="00466515">
        <w:rPr>
          <w:rFonts w:ascii="Arial" w:hAnsi="Arial" w:cs="Arial"/>
          <w:b/>
          <w:sz w:val="20"/>
          <w:szCs w:val="20"/>
          <w:lang w:val="en-US"/>
        </w:rPr>
        <w:t>(</w:t>
      </w:r>
      <w:r w:rsidR="003878F2" w:rsidRPr="00466515">
        <w:rPr>
          <w:rFonts w:ascii="Arial" w:hAnsi="Arial" w:cs="Arial"/>
          <w:b/>
          <w:sz w:val="20"/>
          <w:szCs w:val="20"/>
          <w:lang w:val="en-US"/>
        </w:rPr>
        <w:t>J</w:t>
      </w:r>
      <w:r w:rsidR="00457975" w:rsidRPr="00466515">
        <w:rPr>
          <w:rFonts w:ascii="Arial" w:hAnsi="Arial" w:cs="Arial"/>
          <w:b/>
          <w:sz w:val="20"/>
          <w:szCs w:val="20"/>
          <w:lang w:val="en-US"/>
        </w:rPr>
        <w:t>)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 </w:t>
      </w:r>
      <w:r w:rsidR="009B35F9" w:rsidRPr="00466515">
        <w:rPr>
          <w:rFonts w:ascii="Arial" w:hAnsi="Arial" w:cs="Arial"/>
          <w:sz w:val="20"/>
          <w:szCs w:val="20"/>
          <w:lang w:val="en-US"/>
        </w:rPr>
        <w:t>IL-6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, </w:t>
      </w:r>
      <w:r w:rsidR="00457975" w:rsidRPr="00466515">
        <w:rPr>
          <w:rFonts w:ascii="Arial" w:hAnsi="Arial" w:cs="Arial"/>
          <w:b/>
          <w:sz w:val="20"/>
          <w:szCs w:val="20"/>
          <w:lang w:val="en-US"/>
        </w:rPr>
        <w:t>(</w:t>
      </w:r>
      <w:r w:rsidR="003878F2" w:rsidRPr="00466515">
        <w:rPr>
          <w:rFonts w:ascii="Arial" w:hAnsi="Arial" w:cs="Arial"/>
          <w:b/>
          <w:sz w:val="20"/>
          <w:szCs w:val="20"/>
          <w:lang w:val="en-US"/>
        </w:rPr>
        <w:t>K</w:t>
      </w:r>
      <w:r w:rsidR="00457975" w:rsidRPr="00466515">
        <w:rPr>
          <w:rFonts w:ascii="Arial" w:hAnsi="Arial" w:cs="Arial"/>
          <w:b/>
          <w:sz w:val="20"/>
          <w:szCs w:val="20"/>
          <w:lang w:val="en-US"/>
        </w:rPr>
        <w:t>)</w:t>
      </w:r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 </w:t>
      </w:r>
      <w:r w:rsidR="009B35F9" w:rsidRPr="00466515">
        <w:rPr>
          <w:rFonts w:ascii="Arial" w:hAnsi="Arial" w:cs="Arial"/>
          <w:sz w:val="20"/>
          <w:szCs w:val="20"/>
          <w:lang w:val="en-US"/>
        </w:rPr>
        <w:t xml:space="preserve">CRP and </w:t>
      </w:r>
      <w:r w:rsidR="009B35F9" w:rsidRPr="00466515">
        <w:rPr>
          <w:rFonts w:ascii="Arial" w:hAnsi="Arial" w:cs="Arial"/>
          <w:b/>
          <w:bCs/>
          <w:sz w:val="20"/>
          <w:szCs w:val="20"/>
          <w:lang w:val="en-US"/>
        </w:rPr>
        <w:t>(L)</w:t>
      </w:r>
      <w:r w:rsidR="009B35F9" w:rsidRPr="00466515">
        <w:rPr>
          <w:rFonts w:ascii="Arial" w:hAnsi="Arial" w:cs="Arial"/>
          <w:sz w:val="20"/>
          <w:szCs w:val="20"/>
          <w:lang w:val="en-US"/>
        </w:rPr>
        <w:t xml:space="preserve"> LDH </w:t>
      </w:r>
      <w:r w:rsidR="00457975" w:rsidRPr="00466515">
        <w:rPr>
          <w:rFonts w:ascii="Arial" w:hAnsi="Arial" w:cs="Arial"/>
          <w:sz w:val="20"/>
          <w:szCs w:val="20"/>
          <w:lang w:val="en-US"/>
        </w:rPr>
        <w:t>in surviving (S</w:t>
      </w:r>
      <w:r w:rsidR="00F7664D" w:rsidRPr="00466515">
        <w:rPr>
          <w:rFonts w:ascii="Arial" w:hAnsi="Arial" w:cs="Arial"/>
          <w:sz w:val="20"/>
          <w:szCs w:val="20"/>
          <w:lang w:val="en-US"/>
        </w:rPr>
        <w:t>, n = 5 patients</w:t>
      </w:r>
      <w:r w:rsidR="00457975" w:rsidRPr="00466515">
        <w:rPr>
          <w:rFonts w:ascii="Arial" w:hAnsi="Arial" w:cs="Arial"/>
          <w:sz w:val="20"/>
          <w:szCs w:val="20"/>
          <w:lang w:val="en-US"/>
        </w:rPr>
        <w:t>) vs. deceased (D</w:t>
      </w:r>
      <w:r w:rsidR="00F7664D" w:rsidRPr="00466515">
        <w:rPr>
          <w:rFonts w:ascii="Arial" w:hAnsi="Arial" w:cs="Arial"/>
          <w:sz w:val="20"/>
          <w:szCs w:val="20"/>
          <w:lang w:val="en-US"/>
        </w:rPr>
        <w:t>, n = 19 patients</w:t>
      </w:r>
      <w:r w:rsidR="00457975" w:rsidRPr="00466515">
        <w:rPr>
          <w:rFonts w:ascii="Arial" w:hAnsi="Arial" w:cs="Arial"/>
          <w:sz w:val="20"/>
          <w:szCs w:val="20"/>
          <w:lang w:val="en-US"/>
        </w:rPr>
        <w:t>)</w:t>
      </w:r>
      <w:r w:rsidR="009B35F9" w:rsidRPr="00466515">
        <w:rPr>
          <w:rFonts w:ascii="Arial" w:hAnsi="Arial" w:cs="Arial"/>
          <w:sz w:val="20"/>
          <w:szCs w:val="20"/>
          <w:lang w:val="en-US"/>
        </w:rPr>
        <w:t xml:space="preserve"> patients</w:t>
      </w:r>
      <w:r w:rsidR="00457975" w:rsidRPr="00466515">
        <w:rPr>
          <w:rFonts w:ascii="Arial" w:hAnsi="Arial" w:cs="Arial"/>
          <w:sz w:val="20"/>
          <w:szCs w:val="20"/>
          <w:lang w:val="en-US"/>
        </w:rPr>
        <w:t>.</w:t>
      </w:r>
      <w:r w:rsidR="00D6156E" w:rsidRPr="00466515">
        <w:rPr>
          <w:rFonts w:ascii="Arial" w:hAnsi="Arial" w:cs="Arial"/>
          <w:sz w:val="20"/>
          <w:szCs w:val="20"/>
          <w:lang w:val="en-US"/>
        </w:rPr>
        <w:t xml:space="preserve"> </w:t>
      </w:r>
      <w:r w:rsidR="00D6156E" w:rsidRPr="00466515">
        <w:rPr>
          <w:lang w:val="en-US"/>
        </w:rPr>
        <w:t xml:space="preserve">In </w:t>
      </w:r>
      <w:r w:rsidR="00D6156E" w:rsidRPr="00466515">
        <w:rPr>
          <w:b/>
          <w:bCs/>
          <w:lang w:val="en-US"/>
        </w:rPr>
        <w:t>(E)</w:t>
      </w:r>
      <w:r w:rsidR="00D6156E" w:rsidRPr="00466515">
        <w:rPr>
          <w:lang w:val="en-US"/>
        </w:rPr>
        <w:t xml:space="preserve"> to </w:t>
      </w:r>
      <w:r w:rsidR="00D6156E" w:rsidRPr="00466515">
        <w:rPr>
          <w:b/>
          <w:bCs/>
          <w:lang w:val="en-US"/>
        </w:rPr>
        <w:t>(L)</w:t>
      </w:r>
      <w:r w:rsidR="00D6156E" w:rsidRPr="00466515">
        <w:rPr>
          <w:lang w:val="en-US"/>
        </w:rPr>
        <w:t xml:space="preserve"> </w:t>
      </w:r>
      <w:bookmarkStart w:id="2" w:name="_Hlk167992471"/>
      <w:r w:rsidR="00D6156E" w:rsidRPr="00466515">
        <w:rPr>
          <w:lang w:val="en-US"/>
        </w:rPr>
        <w:t>means were calculated from all samples of the particular patient. These were used to determine the corresponding means, which are shown.</w:t>
      </w:r>
      <w:bookmarkEnd w:id="2"/>
      <w:r w:rsidR="00457975" w:rsidRPr="00466515">
        <w:rPr>
          <w:rFonts w:ascii="Arial" w:hAnsi="Arial" w:cs="Arial"/>
          <w:sz w:val="20"/>
          <w:szCs w:val="20"/>
          <w:lang w:val="en-US"/>
        </w:rPr>
        <w:t xml:space="preserve"> * p &lt; 0.05, **p &lt; 0.01, ***p &lt; 0.001.</w:t>
      </w:r>
    </w:p>
    <w:p w14:paraId="3D3C160B" w14:textId="09A66055" w:rsidR="009B35F9" w:rsidRPr="00531680" w:rsidRDefault="00840A3A" w:rsidP="00531680">
      <w:pPr>
        <w:spacing w:after="0"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840A3A">
        <w:rPr>
          <w:rFonts w:ascii="Arial" w:hAnsi="Arial" w:cs="Arial"/>
          <w:b/>
          <w:bCs/>
          <w:sz w:val="20"/>
          <w:szCs w:val="20"/>
          <w:lang w:val="en-US"/>
        </w:rPr>
        <w:t>Abbreviations</w:t>
      </w:r>
      <w:r>
        <w:rPr>
          <w:rFonts w:ascii="Arial" w:hAnsi="Arial" w:cs="Arial"/>
          <w:sz w:val="20"/>
          <w:szCs w:val="20"/>
          <w:lang w:val="en-US"/>
        </w:rPr>
        <w:t xml:space="preserve">: </w:t>
      </w:r>
      <w:r w:rsidR="003878F2">
        <w:rPr>
          <w:rFonts w:ascii="Arial" w:hAnsi="Arial" w:cs="Arial"/>
          <w:sz w:val="20"/>
          <w:szCs w:val="20"/>
          <w:lang w:val="en-US"/>
        </w:rPr>
        <w:t xml:space="preserve">C, </w:t>
      </w:r>
      <w:r w:rsidR="003878F2">
        <w:rPr>
          <w:rFonts w:ascii="Arial" w:hAnsi="Arial" w:cs="Arial"/>
          <w:sz w:val="20"/>
          <w:szCs w:val="20"/>
          <w:lang w:val="en-GB"/>
        </w:rPr>
        <w:t>h</w:t>
      </w:r>
      <w:r w:rsidR="003878F2" w:rsidRPr="00840A3A">
        <w:rPr>
          <w:rFonts w:ascii="Arial" w:hAnsi="Arial" w:cs="Arial"/>
          <w:sz w:val="20"/>
          <w:szCs w:val="20"/>
          <w:lang w:val="en-GB"/>
        </w:rPr>
        <w:t>ospital’s central laboratory’s threshold levels</w:t>
      </w:r>
      <w:r w:rsidR="003878F2">
        <w:rPr>
          <w:rFonts w:ascii="Arial" w:hAnsi="Arial" w:cs="Arial"/>
          <w:sz w:val="20"/>
          <w:szCs w:val="20"/>
          <w:lang w:val="en-GB"/>
        </w:rPr>
        <w:t>;</w:t>
      </w:r>
      <w:r w:rsidR="003878F2" w:rsidRPr="00840A3A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CRP, C-reactive protein; d, days; D, deceased; E, extracorporeal membrane oxygenation; ICU, intensive care unit; IL-6, interleukin-6; LDH, lactate-dehydrogenase; NV, non-ventilated; PCT, procalcitonin; S, surviving; </w:t>
      </w:r>
      <w:r w:rsidR="00D745B1">
        <w:rPr>
          <w:rFonts w:ascii="Arial" w:hAnsi="Arial" w:cs="Arial"/>
          <w:sz w:val="20"/>
          <w:szCs w:val="20"/>
          <w:lang w:val="en-US"/>
        </w:rPr>
        <w:t xml:space="preserve">U, units; </w:t>
      </w:r>
      <w:r>
        <w:rPr>
          <w:rFonts w:ascii="Arial" w:hAnsi="Arial" w:cs="Arial"/>
          <w:sz w:val="20"/>
          <w:szCs w:val="20"/>
          <w:lang w:val="en-US"/>
        </w:rPr>
        <w:t>V, ventilated</w:t>
      </w:r>
      <w:r w:rsidR="00531680">
        <w:rPr>
          <w:rFonts w:ascii="Arial" w:hAnsi="Arial" w:cs="Arial"/>
          <w:sz w:val="20"/>
          <w:szCs w:val="20"/>
          <w:lang w:val="en-US"/>
        </w:rPr>
        <w:t>.</w:t>
      </w:r>
    </w:p>
    <w:bookmarkEnd w:id="1"/>
    <w:p w14:paraId="366B9C7D" w14:textId="69D53672" w:rsidR="00BE5F03" w:rsidRPr="00653417" w:rsidRDefault="00952096" w:rsidP="00BE5F03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en-GB"/>
        </w:rPr>
        <w:lastRenderedPageBreak/>
        <w:drawing>
          <wp:inline distT="0" distB="0" distL="0" distR="0" wp14:anchorId="3396B27E" wp14:editId="529C287D">
            <wp:extent cx="4035597" cy="9252000"/>
            <wp:effectExtent l="0" t="0" r="3175" b="6350"/>
            <wp:docPr id="353534291" name="Grafik 2" descr="Ein Bild, das Tex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34291" name="Grafik 2" descr="Ein Bild, das Text, Diagramm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"/>
                    <a:stretch/>
                  </pic:blipFill>
                  <pic:spPr bwMode="auto">
                    <a:xfrm>
                      <a:off x="0" y="0"/>
                      <a:ext cx="4035597" cy="9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94775" w14:textId="486C6C70" w:rsidR="00BE5F03" w:rsidRPr="00653417" w:rsidRDefault="003878F2" w:rsidP="00BE5F03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en-GB"/>
        </w:rPr>
        <w:lastRenderedPageBreak/>
        <w:drawing>
          <wp:inline distT="0" distB="0" distL="0" distR="0" wp14:anchorId="0288DC78" wp14:editId="06BA4E33">
            <wp:extent cx="3593704" cy="4278086"/>
            <wp:effectExtent l="0" t="0" r="6985" b="8255"/>
            <wp:docPr id="833902425" name="Grafik 2" descr="Ein Bild, das Text, Diagramm, technische Zeichnung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02425" name="Grafik 2" descr="Ein Bild, das Text, Diagramm, technische Zeichnung, Plan enthält.&#10;&#10;Automatisch generierte Beschreibu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1"/>
                    <a:stretch/>
                  </pic:blipFill>
                  <pic:spPr bwMode="auto">
                    <a:xfrm>
                      <a:off x="0" y="0"/>
                      <a:ext cx="3609090" cy="429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F739E" w14:textId="02CCADA3" w:rsidR="00BE5F03" w:rsidRPr="00653417" w:rsidRDefault="00F7664D" w:rsidP="000850DB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en-GB"/>
        </w:rPr>
        <w:drawing>
          <wp:inline distT="0" distB="0" distL="0" distR="0" wp14:anchorId="012DFD24" wp14:editId="140FCFAA">
            <wp:extent cx="4630053" cy="3490072"/>
            <wp:effectExtent l="0" t="0" r="0" b="0"/>
            <wp:docPr id="1910165248" name="Grafik 1" descr="Ein Bild, das Text, Diagramm, technische Zeichnung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65248" name="Grafik 1" descr="Ein Bild, das Text, Diagramm, technische Zeichnung, Plan enthält.&#10;&#10;Automatisch generierte Beschreibu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5"/>
                    <a:stretch/>
                  </pic:blipFill>
                  <pic:spPr bwMode="auto">
                    <a:xfrm>
                      <a:off x="0" y="0"/>
                      <a:ext cx="4654860" cy="3508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62BD6" w14:textId="77777777" w:rsidR="00F7664D" w:rsidRDefault="00F7664D">
      <w:pPr>
        <w:rPr>
          <w:rFonts w:ascii="Arial" w:hAnsi="Arial" w:cs="Arial"/>
          <w:b/>
          <w:sz w:val="20"/>
          <w:szCs w:val="20"/>
          <w:highlight w:val="yellow"/>
          <w:lang w:val="en-GB"/>
        </w:rPr>
      </w:pPr>
      <w:r>
        <w:rPr>
          <w:rFonts w:ascii="Arial" w:hAnsi="Arial" w:cs="Arial"/>
          <w:b/>
          <w:sz w:val="20"/>
          <w:szCs w:val="20"/>
          <w:highlight w:val="yellow"/>
          <w:lang w:val="en-GB"/>
        </w:rPr>
        <w:br w:type="page"/>
      </w:r>
    </w:p>
    <w:p w14:paraId="604233B2" w14:textId="5A376262" w:rsidR="002F6508" w:rsidRPr="00A1547A" w:rsidRDefault="00531680" w:rsidP="002F6508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bookmarkStart w:id="3" w:name="_Hlk169176408"/>
      <w:r w:rsidRPr="00A1547A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Supplementary Figure 8: </w:t>
      </w:r>
      <w:r w:rsidR="002F6508" w:rsidRPr="00A1547A">
        <w:rPr>
          <w:rFonts w:ascii="Arial" w:hAnsi="Arial" w:cs="Arial"/>
          <w:bCs/>
          <w:sz w:val="20"/>
          <w:szCs w:val="20"/>
          <w:lang w:val="en-GB"/>
        </w:rPr>
        <w:t>Percentage of</w:t>
      </w:r>
      <w:r w:rsidR="002F6508" w:rsidRPr="00A1547A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T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vertAlign w:val="subscript"/>
          <w:lang w:val="en-US"/>
        </w:rPr>
        <w:t>h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2 cells and regulatory T cells (T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vertAlign w:val="subscript"/>
          <w:lang w:val="en-US"/>
        </w:rPr>
        <w:t>reg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) of CD4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vertAlign w:val="superscript"/>
          <w:lang w:val="en-US"/>
        </w:rPr>
        <w:t>+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T cells in the blood of intensive care COVID-19 patients. The chemoattractant receptor-homologous molecule expressed on T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vertAlign w:val="subscript"/>
          <w:lang w:val="en-US"/>
        </w:rPr>
        <w:t>h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2 cells (CRTH2) surface marker was stained </w:t>
      </w:r>
      <w:r w:rsidR="002F6508" w:rsidRPr="00A1547A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(A)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to determine 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the percentage of 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T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vertAlign w:val="subscript"/>
          <w:lang w:val="en-US"/>
        </w:rPr>
        <w:t>h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2 cell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s of CD4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vertAlign w:val="superscript"/>
          <w:lang w:val="en-US"/>
        </w:rPr>
        <w:t>+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T cells 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in COVID-19 patients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, who survived (S) or died (D),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compared to healthy donors (HD). 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In a second step, the percentage of CRTH2 expressing CD4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vertAlign w:val="superscript"/>
          <w:lang w:val="en-US"/>
        </w:rPr>
        <w:t>+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T cells of female and male patients, who survived (S) or died (D), was analysed in comparison to healthy donors (HD) </w:t>
      </w:r>
      <w:r w:rsidR="00F11127" w:rsidRPr="00A1547A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(B)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. The percentage of 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FoxP3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vertAlign w:val="superscript"/>
          <w:lang w:val="en-US"/>
        </w:rPr>
        <w:t>+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cells of CD4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vertAlign w:val="superscript"/>
          <w:lang w:val="en-US"/>
        </w:rPr>
        <w:t>+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T cells 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was intracellularly detected </w:t>
      </w:r>
      <w:r w:rsidR="002F6508" w:rsidRPr="00A1547A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(</w:t>
      </w:r>
      <w:r w:rsidR="00F11127" w:rsidRPr="00A1547A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C</w:t>
      </w:r>
      <w:r w:rsidR="002F6508" w:rsidRPr="00A1547A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)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as a T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vertAlign w:val="subscript"/>
          <w:lang w:val="en-US"/>
        </w:rPr>
        <w:t>reg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marker comparing 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surviving (S) or deceased (D) 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COVID-19 patients</w:t>
      </w:r>
      <w:r w:rsidR="00F111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with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healthy donors (HD). To 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find out whether there is a difference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in the percentage of FoxP3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vertAlign w:val="superscript"/>
          <w:lang w:val="en-US"/>
        </w:rPr>
        <w:t>+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cells of CD4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vertAlign w:val="superscript"/>
          <w:lang w:val="en-US"/>
        </w:rPr>
        <w:t>+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T cells in male </w:t>
      </w:r>
      <w:r w:rsidR="00BA086E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vs.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female COVID-19 patients, who survived (S) or deceased (D) compared to healthy controls (HD)</w:t>
      </w:r>
      <w:r w:rsidR="00BA086E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, we determined its expression in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2F6508" w:rsidRPr="00A1547A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(D)</w:t>
      </w:r>
      <w:r w:rsidR="00B71627" w:rsidRPr="00A1547A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 xml:space="preserve">. 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D6156E" w:rsidRPr="00A1547A">
        <w:rPr>
          <w:color w:val="000000" w:themeColor="text1"/>
          <w:lang w:val="en-US"/>
        </w:rPr>
        <w:t>M</w:t>
      </w:r>
      <w:r w:rsidR="00D6156E" w:rsidRPr="00A1547A">
        <w:rPr>
          <w:lang w:val="en-US"/>
        </w:rPr>
        <w:t xml:space="preserve">eans calculated from all samples of the particular patients were used to determine the corresponding means, which are shown. 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All values are presented as 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percentage of CD4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vertAlign w:val="superscript"/>
          <w:lang w:val="en-US"/>
        </w:rPr>
        <w:t>+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cells in</w:t>
      </w:r>
      <w:r w:rsidR="002F6508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peripheral blood. * p &lt; 0.05, **p &lt; 0.01. </w:t>
      </w:r>
    </w:p>
    <w:p w14:paraId="66C628C6" w14:textId="4B5C82F3" w:rsidR="002F6508" w:rsidRPr="002F6508" w:rsidRDefault="002F6508" w:rsidP="002F6508">
      <w:pPr>
        <w:spacing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A1547A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Abbreviations:</w:t>
      </w:r>
      <w:r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CD, cluster of differentiation; </w:t>
      </w:r>
      <w:r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COVID-19, </w:t>
      </w:r>
      <w:r w:rsidRPr="00A1547A">
        <w:rPr>
          <w:rFonts w:ascii="Arial" w:hAnsi="Arial" w:cs="Arial"/>
          <w:sz w:val="20"/>
          <w:szCs w:val="20"/>
          <w:lang w:val="en-US"/>
        </w:rPr>
        <w:t xml:space="preserve">coronavirus disease 2019; </w:t>
      </w:r>
      <w:r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CRTH2, chemokine receptor homologue expressed on T</w:t>
      </w:r>
      <w:r w:rsidRPr="00A1547A">
        <w:rPr>
          <w:rFonts w:ascii="Arial" w:hAnsi="Arial" w:cs="Arial"/>
          <w:color w:val="000000" w:themeColor="text1"/>
          <w:sz w:val="20"/>
          <w:szCs w:val="20"/>
          <w:vertAlign w:val="subscript"/>
          <w:lang w:val="en-US"/>
        </w:rPr>
        <w:t>h</w:t>
      </w:r>
      <w:r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2 cells; D, deceased; 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f, female; </w:t>
      </w:r>
      <w:r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FoxP3, forkhead box protein 3; HD, healthy donors; </w:t>
      </w:r>
      <w:r w:rsidR="00B71627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m, male; </w:t>
      </w:r>
      <w:r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S, survived; T</w:t>
      </w:r>
      <w:r w:rsidRPr="00A1547A">
        <w:rPr>
          <w:rFonts w:ascii="Arial" w:hAnsi="Arial" w:cs="Arial"/>
          <w:color w:val="000000" w:themeColor="text1"/>
          <w:sz w:val="20"/>
          <w:szCs w:val="20"/>
          <w:vertAlign w:val="subscript"/>
          <w:lang w:val="en-US"/>
        </w:rPr>
        <w:t>h</w:t>
      </w:r>
      <w:r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2, T helper cells type 2; T</w:t>
      </w:r>
      <w:r w:rsidRPr="00A1547A">
        <w:rPr>
          <w:rFonts w:ascii="Arial" w:hAnsi="Arial" w:cs="Arial"/>
          <w:color w:val="000000" w:themeColor="text1"/>
          <w:sz w:val="20"/>
          <w:szCs w:val="20"/>
          <w:vertAlign w:val="subscript"/>
          <w:lang w:val="en-US"/>
        </w:rPr>
        <w:t>reg</w:t>
      </w:r>
      <w:r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, regulatory T cells.</w:t>
      </w:r>
    </w:p>
    <w:bookmarkEnd w:id="3"/>
    <w:p w14:paraId="30D1731F" w14:textId="77777777" w:rsidR="00531680" w:rsidRDefault="00531680" w:rsidP="00531680">
      <w:pPr>
        <w:spacing w:after="0" w:line="48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noProof/>
          <w:sz w:val="20"/>
          <w:szCs w:val="20"/>
          <w:lang w:val="en-GB"/>
        </w:rPr>
        <w:lastRenderedPageBreak/>
        <w:drawing>
          <wp:inline distT="0" distB="0" distL="0" distR="0" wp14:anchorId="4EADF1A0" wp14:editId="67DFF8AB">
            <wp:extent cx="5760720" cy="5586095"/>
            <wp:effectExtent l="0" t="0" r="0" b="0"/>
            <wp:docPr id="276197183" name="Grafik 2" descr="Ein Bild, das Text, Diagramm, technische Zeichnung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97183" name="Grafik 2" descr="Ein Bild, das Text, Diagramm, technische Zeichnung, Plan enthält.&#10;&#10;Automatisch generierte Beschreibu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5"/>
                    <a:stretch/>
                  </pic:blipFill>
                  <pic:spPr bwMode="auto">
                    <a:xfrm>
                      <a:off x="0" y="0"/>
                      <a:ext cx="5760720" cy="558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8F03D" w14:textId="77777777" w:rsidR="00531680" w:rsidRDefault="00531680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br w:type="page"/>
      </w:r>
    </w:p>
    <w:p w14:paraId="44EDD21B" w14:textId="6E3A3FA8" w:rsidR="000850DB" w:rsidRDefault="000850DB" w:rsidP="00531680">
      <w:pPr>
        <w:spacing w:after="0" w:line="480" w:lineRule="auto"/>
        <w:jc w:val="both"/>
        <w:rPr>
          <w:rStyle w:val="Heading2Char"/>
          <w:rFonts w:ascii="Arial" w:hAnsi="Arial" w:cs="Arial"/>
          <w:b w:val="0"/>
          <w:bCs/>
          <w:sz w:val="20"/>
          <w:szCs w:val="20"/>
        </w:rPr>
      </w:pPr>
      <w:r w:rsidRPr="00D745B1">
        <w:rPr>
          <w:rFonts w:ascii="Arial" w:hAnsi="Arial" w:cs="Arial"/>
          <w:b/>
          <w:sz w:val="20"/>
          <w:szCs w:val="20"/>
          <w:lang w:val="en-GB"/>
        </w:rPr>
        <w:lastRenderedPageBreak/>
        <w:t>Supplementary Figure</w:t>
      </w:r>
      <w:r w:rsidR="00D745B1" w:rsidRPr="00D745B1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531680">
        <w:rPr>
          <w:rFonts w:ascii="Arial" w:hAnsi="Arial" w:cs="Arial"/>
          <w:b/>
          <w:sz w:val="20"/>
          <w:szCs w:val="20"/>
          <w:lang w:val="en-GB"/>
        </w:rPr>
        <w:t>9</w:t>
      </w:r>
      <w:r w:rsidRPr="00D745B1">
        <w:rPr>
          <w:rFonts w:ascii="Arial" w:hAnsi="Arial" w:cs="Arial"/>
          <w:b/>
          <w:sz w:val="20"/>
          <w:szCs w:val="20"/>
          <w:lang w:val="en-GB"/>
        </w:rPr>
        <w:t xml:space="preserve">: </w:t>
      </w:r>
      <w:r w:rsidRPr="00D745B1">
        <w:rPr>
          <w:rStyle w:val="Heading2Char"/>
          <w:rFonts w:ascii="Arial" w:hAnsi="Arial" w:cs="Arial"/>
          <w:b w:val="0"/>
          <w:bCs/>
          <w:sz w:val="20"/>
          <w:szCs w:val="20"/>
        </w:rPr>
        <w:t>Cell death of CD3</w:t>
      </w:r>
      <w:r w:rsidRPr="00D745B1">
        <w:rPr>
          <w:rStyle w:val="Heading2Char"/>
          <w:rFonts w:ascii="Arial" w:hAnsi="Arial" w:cs="Arial"/>
          <w:b w:val="0"/>
          <w:bCs/>
          <w:sz w:val="20"/>
          <w:szCs w:val="20"/>
          <w:vertAlign w:val="superscript"/>
        </w:rPr>
        <w:t>+</w:t>
      </w:r>
      <w:r w:rsidRPr="00D745B1">
        <w:rPr>
          <w:rStyle w:val="Heading2Char"/>
          <w:rFonts w:ascii="Arial" w:hAnsi="Arial" w:cs="Arial"/>
          <w:b w:val="0"/>
          <w:bCs/>
          <w:sz w:val="20"/>
          <w:szCs w:val="20"/>
        </w:rPr>
        <w:t xml:space="preserve"> T cells derived from the blood of intensive care COVID-19 patients. Patients were divided, according to their treatment regimens, into non-ventilated (NV, n = 5 patients), ventilated (V, n = 12 patients) and extracorporeal membrane oxygenation (ECMO, n = 7 patients). CD3</w:t>
      </w:r>
      <w:r w:rsidRPr="00D745B1">
        <w:rPr>
          <w:rStyle w:val="Heading2Char"/>
          <w:rFonts w:ascii="Arial" w:hAnsi="Arial" w:cs="Arial"/>
          <w:b w:val="0"/>
          <w:bCs/>
          <w:sz w:val="20"/>
          <w:szCs w:val="20"/>
          <w:vertAlign w:val="superscript"/>
        </w:rPr>
        <w:t>+</w:t>
      </w:r>
      <w:r w:rsidRPr="00D745B1">
        <w:rPr>
          <w:rStyle w:val="Heading2Char"/>
          <w:rFonts w:ascii="Arial" w:hAnsi="Arial" w:cs="Arial"/>
          <w:b w:val="0"/>
          <w:bCs/>
          <w:sz w:val="20"/>
          <w:szCs w:val="20"/>
        </w:rPr>
        <w:t xml:space="preserve"> T cells of healthy donors (n = 12 donors) was used as a control. Cell death was determined by Annexin V-staining to show apoptotic cells and 7-aminoactinomycin D (7-AAD) was used to stain necrotic cells.</w:t>
      </w:r>
    </w:p>
    <w:p w14:paraId="4DB2221A" w14:textId="5D0516AF" w:rsidR="00D745B1" w:rsidRPr="00D745B1" w:rsidRDefault="00D745B1" w:rsidP="00531680">
      <w:pPr>
        <w:spacing w:after="0" w:line="480" w:lineRule="auto"/>
        <w:jc w:val="both"/>
        <w:rPr>
          <w:rStyle w:val="Heading2Char"/>
          <w:rFonts w:ascii="Arial" w:hAnsi="Arial" w:cs="Arial"/>
          <w:b w:val="0"/>
          <w:bCs/>
          <w:sz w:val="20"/>
          <w:szCs w:val="20"/>
        </w:rPr>
      </w:pPr>
      <w:r w:rsidRPr="00D745B1">
        <w:rPr>
          <w:rStyle w:val="Heading2Char"/>
          <w:rFonts w:ascii="Arial" w:hAnsi="Arial" w:cs="Arial"/>
          <w:sz w:val="20"/>
          <w:szCs w:val="20"/>
        </w:rPr>
        <w:t>Abbreviations</w:t>
      </w:r>
      <w:r>
        <w:rPr>
          <w:rStyle w:val="Heading2Char"/>
          <w:rFonts w:ascii="Arial" w:hAnsi="Arial" w:cs="Arial"/>
          <w:b w:val="0"/>
          <w:bCs/>
          <w:sz w:val="20"/>
          <w:szCs w:val="20"/>
        </w:rPr>
        <w:t xml:space="preserve">: 7-AAD, </w:t>
      </w:r>
      <w:r w:rsidRPr="00D745B1">
        <w:rPr>
          <w:rStyle w:val="Heading2Char"/>
          <w:rFonts w:ascii="Arial" w:hAnsi="Arial" w:cs="Arial"/>
          <w:b w:val="0"/>
          <w:bCs/>
          <w:sz w:val="20"/>
          <w:szCs w:val="20"/>
        </w:rPr>
        <w:t>7-aminoactinomycin D</w:t>
      </w:r>
      <w:r>
        <w:rPr>
          <w:rStyle w:val="Heading2Char"/>
          <w:rFonts w:ascii="Arial" w:hAnsi="Arial" w:cs="Arial"/>
          <w:b w:val="0"/>
          <w:bCs/>
          <w:sz w:val="20"/>
          <w:szCs w:val="20"/>
        </w:rPr>
        <w:t>; CD, cluster of differentiation; COVID-1</w:t>
      </w:r>
      <w:r w:rsidR="001901F4" w:rsidRPr="005B4264">
        <w:rPr>
          <w:rStyle w:val="Heading2Char"/>
          <w:rFonts w:ascii="Arial" w:hAnsi="Arial" w:cs="Arial"/>
          <w:b w:val="0"/>
          <w:bCs/>
          <w:sz w:val="20"/>
          <w:szCs w:val="20"/>
        </w:rPr>
        <w:t>9</w:t>
      </w:r>
      <w:r>
        <w:rPr>
          <w:rStyle w:val="Heading2Char"/>
          <w:rFonts w:ascii="Arial" w:hAnsi="Arial" w:cs="Arial"/>
          <w:b w:val="0"/>
          <w:bCs/>
          <w:sz w:val="20"/>
          <w:szCs w:val="20"/>
        </w:rPr>
        <w:t>, coronavirus disease 2019; ECMO, extracorporeal membrane oxygenation; NV, non-ventilated; V, ventilated</w:t>
      </w:r>
      <w:r w:rsidR="00531680">
        <w:rPr>
          <w:rStyle w:val="Heading2Char"/>
          <w:rFonts w:ascii="Arial" w:hAnsi="Arial" w:cs="Arial"/>
          <w:b w:val="0"/>
          <w:bCs/>
          <w:sz w:val="20"/>
          <w:szCs w:val="20"/>
        </w:rPr>
        <w:t>.</w:t>
      </w:r>
    </w:p>
    <w:p w14:paraId="3DEA94D4" w14:textId="5BF4DCA4" w:rsidR="000850DB" w:rsidRPr="00653417" w:rsidRDefault="005D11E2" w:rsidP="001C748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  <w:lang w:val="en-GB"/>
        </w:rPr>
        <w:drawing>
          <wp:inline distT="0" distB="0" distL="0" distR="0" wp14:anchorId="5BC157EB" wp14:editId="3973D094">
            <wp:extent cx="3962400" cy="2329125"/>
            <wp:effectExtent l="0" t="0" r="0" b="0"/>
            <wp:docPr id="1752356500" name="Grafik 9" descr="Ein Bild, das Text, Screenshot, Diagramm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56500" name="Grafik 9" descr="Ein Bild, das Text, Screenshot, Diagramm, Design enthält.&#10;&#10;Automatisch generierte Beschreibu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1"/>
                    <a:stretch/>
                  </pic:blipFill>
                  <pic:spPr bwMode="auto">
                    <a:xfrm>
                      <a:off x="0" y="0"/>
                      <a:ext cx="3975906" cy="233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932D4" w14:textId="77777777" w:rsidR="000850DB" w:rsidRPr="00653417" w:rsidRDefault="000850DB" w:rsidP="001C748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33F1CFE3" w14:textId="77777777" w:rsidR="000850DB" w:rsidRPr="00653417" w:rsidRDefault="000850DB" w:rsidP="001C748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493232E1" w14:textId="77777777" w:rsidR="000850DB" w:rsidRPr="00653417" w:rsidRDefault="000850DB" w:rsidP="001C748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38969D92" w14:textId="77777777" w:rsidR="000850DB" w:rsidRPr="00653417" w:rsidRDefault="000850DB" w:rsidP="001C748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5F05DDC4" w14:textId="77777777" w:rsidR="000850DB" w:rsidRPr="00653417" w:rsidRDefault="000850DB" w:rsidP="001C748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12C3B8F8" w14:textId="77777777" w:rsidR="000850DB" w:rsidRPr="00653417" w:rsidRDefault="000850DB" w:rsidP="001C748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68491469" w14:textId="77777777" w:rsidR="000850DB" w:rsidRPr="00653417" w:rsidRDefault="000850DB" w:rsidP="001C748A">
      <w:pPr>
        <w:spacing w:line="360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5FA78E6B" w14:textId="77777777" w:rsidR="000850DB" w:rsidRPr="00653417" w:rsidRDefault="000850DB">
      <w:pPr>
        <w:rPr>
          <w:rFonts w:ascii="Arial" w:hAnsi="Arial" w:cs="Arial"/>
          <w:b/>
          <w:sz w:val="24"/>
          <w:szCs w:val="24"/>
          <w:lang w:val="en-GB"/>
        </w:rPr>
      </w:pPr>
      <w:r w:rsidRPr="00653417">
        <w:rPr>
          <w:rFonts w:ascii="Arial" w:hAnsi="Arial" w:cs="Arial"/>
          <w:b/>
          <w:sz w:val="24"/>
          <w:szCs w:val="24"/>
          <w:lang w:val="en-GB"/>
        </w:rPr>
        <w:br w:type="page"/>
      </w:r>
    </w:p>
    <w:p w14:paraId="67C793B4" w14:textId="4E0FB172" w:rsidR="005F18E0" w:rsidRDefault="005F18E0" w:rsidP="00CE7218">
      <w:pPr>
        <w:spacing w:after="0"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A159B">
        <w:rPr>
          <w:rFonts w:ascii="Arial" w:hAnsi="Arial" w:cs="Arial"/>
          <w:b/>
          <w:sz w:val="20"/>
          <w:szCs w:val="20"/>
          <w:lang w:val="en-GB"/>
        </w:rPr>
        <w:lastRenderedPageBreak/>
        <w:t>Supplementary Figure</w:t>
      </w:r>
      <w:r w:rsidR="00D745B1" w:rsidRPr="00AA159B">
        <w:rPr>
          <w:rFonts w:ascii="Arial" w:hAnsi="Arial" w:cs="Arial"/>
          <w:b/>
          <w:sz w:val="20"/>
          <w:szCs w:val="20"/>
          <w:lang w:val="en-GB"/>
        </w:rPr>
        <w:t xml:space="preserve"> 10</w:t>
      </w:r>
      <w:r w:rsidR="00E07E51" w:rsidRPr="00AA159B">
        <w:rPr>
          <w:rFonts w:ascii="Arial" w:hAnsi="Arial" w:cs="Arial"/>
          <w:b/>
          <w:sz w:val="20"/>
          <w:szCs w:val="20"/>
          <w:lang w:val="en-GB"/>
        </w:rPr>
        <w:t xml:space="preserve">: </w:t>
      </w:r>
      <w:r w:rsidR="00E07E51" w:rsidRPr="00AA159B">
        <w:rPr>
          <w:rFonts w:ascii="Arial" w:hAnsi="Arial" w:cs="Arial"/>
          <w:sz w:val="20"/>
          <w:szCs w:val="20"/>
          <w:lang w:val="en-GB"/>
        </w:rPr>
        <w:t>To validate PPAR</w:t>
      </w:r>
      <w:r w:rsidR="005D11E2">
        <w:rPr>
          <w:rFonts w:ascii="Arial" w:hAnsi="Arial" w:cs="Arial"/>
          <w:sz w:val="20"/>
          <w:szCs w:val="20"/>
        </w:rPr>
        <w:t>γ</w:t>
      </w:r>
      <w:r w:rsidR="00E07E51" w:rsidRPr="00AA159B">
        <w:rPr>
          <w:rFonts w:ascii="Arial" w:hAnsi="Arial" w:cs="Arial"/>
          <w:sz w:val="20"/>
          <w:szCs w:val="20"/>
          <w:lang w:val="en-GB"/>
        </w:rPr>
        <w:t xml:space="preserve"> transactivation, </w:t>
      </w:r>
      <w:r w:rsidR="00E91B72" w:rsidRPr="00AA159B">
        <w:rPr>
          <w:rFonts w:ascii="Arial" w:hAnsi="Arial" w:cs="Arial"/>
          <w:sz w:val="20"/>
          <w:szCs w:val="20"/>
          <w:lang w:val="en-GB"/>
        </w:rPr>
        <w:t>HEK293</w:t>
      </w:r>
      <w:r w:rsidR="00E07E51" w:rsidRPr="00AA159B">
        <w:rPr>
          <w:rFonts w:ascii="Arial" w:hAnsi="Arial" w:cs="Arial"/>
          <w:sz w:val="20"/>
          <w:szCs w:val="20"/>
          <w:lang w:val="en-GB"/>
        </w:rPr>
        <w:t>T cells were additionally transfected with a PPAR</w:t>
      </w:r>
      <w:r w:rsidR="005D11E2">
        <w:rPr>
          <w:rFonts w:ascii="Arial" w:hAnsi="Arial" w:cs="Arial"/>
          <w:sz w:val="20"/>
          <w:szCs w:val="20"/>
        </w:rPr>
        <w:t>γ</w:t>
      </w:r>
      <w:r w:rsidR="00E07E51" w:rsidRPr="00AA159B">
        <w:rPr>
          <w:rFonts w:ascii="Arial" w:hAnsi="Arial" w:cs="Arial"/>
          <w:sz w:val="20"/>
          <w:szCs w:val="20"/>
          <w:lang w:val="en-GB"/>
        </w:rPr>
        <w:t xml:space="preserve"> encoding construct with a mutated </w:t>
      </w:r>
      <w:r w:rsidR="00867B01" w:rsidRPr="00AA159B">
        <w:rPr>
          <w:rFonts w:ascii="Arial" w:hAnsi="Arial" w:cs="Arial"/>
          <w:sz w:val="20"/>
          <w:szCs w:val="20"/>
          <w:lang w:val="en-GB"/>
        </w:rPr>
        <w:t xml:space="preserve">first </w:t>
      </w:r>
      <w:r w:rsidR="00E07E51" w:rsidRPr="00AA159B">
        <w:rPr>
          <w:rFonts w:ascii="Arial" w:hAnsi="Arial" w:cs="Arial"/>
          <w:sz w:val="20"/>
          <w:szCs w:val="20"/>
          <w:lang w:val="en-GB"/>
        </w:rPr>
        <w:t xml:space="preserve">zinc-finger domain, not allowing DNA-binding (M1, </w:t>
      </w:r>
      <w:r w:rsidR="00867B01" w:rsidRPr="00AA159B">
        <w:rPr>
          <w:rFonts w:ascii="Arial" w:hAnsi="Arial" w:cs="Arial"/>
          <w:sz w:val="20"/>
          <w:szCs w:val="20"/>
          <w:lang w:val="en-GB"/>
        </w:rPr>
        <w:t>C→A) and a second mutated construct not allowing ligand-binding (M2, L284A). PPAR</w:t>
      </w:r>
      <w:r w:rsidR="005D11E2">
        <w:rPr>
          <w:rFonts w:ascii="Arial" w:hAnsi="Arial" w:cs="Arial"/>
          <w:sz w:val="20"/>
          <w:szCs w:val="20"/>
        </w:rPr>
        <w:t>γ</w:t>
      </w:r>
      <w:r w:rsidR="00867B01" w:rsidRPr="00AA159B">
        <w:rPr>
          <w:rFonts w:ascii="Arial" w:hAnsi="Arial" w:cs="Arial"/>
          <w:sz w:val="20"/>
          <w:szCs w:val="20"/>
          <w:lang w:val="en-GB"/>
        </w:rPr>
        <w:t xml:space="preserve"> transactivation is determined as RLU as described in Materials and Methods. The required PPAR</w:t>
      </w:r>
      <w:r w:rsidR="005D11E2">
        <w:rPr>
          <w:rFonts w:ascii="Arial" w:hAnsi="Arial" w:cs="Arial"/>
          <w:sz w:val="20"/>
          <w:szCs w:val="20"/>
        </w:rPr>
        <w:t>γ</w:t>
      </w:r>
      <w:r w:rsidR="00867B01" w:rsidRPr="00AA159B">
        <w:rPr>
          <w:rFonts w:ascii="Arial" w:hAnsi="Arial" w:cs="Arial"/>
          <w:sz w:val="20"/>
          <w:szCs w:val="20"/>
          <w:lang w:val="en-GB"/>
        </w:rPr>
        <w:t>-dependent reporter system is transiently transfected in parallel</w:t>
      </w:r>
      <w:r w:rsidR="00867B01" w:rsidRPr="00A1547A">
        <w:rPr>
          <w:rFonts w:ascii="Arial" w:hAnsi="Arial" w:cs="Arial"/>
          <w:sz w:val="20"/>
          <w:szCs w:val="20"/>
          <w:lang w:val="en-GB"/>
        </w:rPr>
        <w:t>.</w:t>
      </w:r>
      <w:r w:rsidR="00AC13B2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***p &lt; 0.001.</w:t>
      </w:r>
    </w:p>
    <w:p w14:paraId="6537626C" w14:textId="1059AE7F" w:rsidR="00AA159B" w:rsidRPr="00AA159B" w:rsidRDefault="00AA159B" w:rsidP="00CE7218">
      <w:pPr>
        <w:spacing w:after="0"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A159B">
        <w:rPr>
          <w:rFonts w:ascii="Arial" w:hAnsi="Arial" w:cs="Arial"/>
          <w:b/>
          <w:bCs/>
          <w:sz w:val="20"/>
          <w:szCs w:val="20"/>
          <w:lang w:val="en-GB"/>
        </w:rPr>
        <w:t>Abbreviations</w:t>
      </w:r>
      <w:r>
        <w:rPr>
          <w:rFonts w:ascii="Arial" w:hAnsi="Arial" w:cs="Arial"/>
          <w:sz w:val="20"/>
          <w:szCs w:val="20"/>
          <w:lang w:val="en-GB"/>
        </w:rPr>
        <w:t xml:space="preserve">: HEK293T, human embryonic kidney cells expressing the large T cell antigen of simian virus 40; </w:t>
      </w:r>
      <w:r w:rsidR="001901F4">
        <w:rPr>
          <w:rFonts w:ascii="Arial" w:hAnsi="Arial" w:cs="Arial"/>
          <w:sz w:val="20"/>
          <w:szCs w:val="20"/>
          <w:lang w:val="en-GB"/>
        </w:rPr>
        <w:t xml:space="preserve">M, mutated; </w:t>
      </w:r>
      <w:r>
        <w:rPr>
          <w:rFonts w:ascii="Arial" w:hAnsi="Arial" w:cs="Arial"/>
          <w:sz w:val="20"/>
          <w:szCs w:val="20"/>
          <w:lang w:val="en-US"/>
        </w:rPr>
        <w:t>PPAR</w:t>
      </w:r>
      <w:r w:rsidR="005D11E2">
        <w:rPr>
          <w:rFonts w:ascii="Arial" w:hAnsi="Arial" w:cs="Arial"/>
          <w:sz w:val="20"/>
          <w:szCs w:val="20"/>
        </w:rPr>
        <w:t>γ</w:t>
      </w:r>
      <w:r>
        <w:rPr>
          <w:rFonts w:ascii="Arial" w:hAnsi="Arial" w:cs="Arial"/>
          <w:sz w:val="20"/>
          <w:szCs w:val="20"/>
          <w:lang w:val="en-US"/>
        </w:rPr>
        <w:t xml:space="preserve">, peroxisome proliferator-activated receptor </w:t>
      </w:r>
      <w:r w:rsidR="005D11E2">
        <w:rPr>
          <w:rFonts w:ascii="Arial" w:hAnsi="Arial" w:cs="Arial"/>
          <w:sz w:val="20"/>
          <w:szCs w:val="20"/>
        </w:rPr>
        <w:t>γ</w:t>
      </w:r>
      <w:r>
        <w:rPr>
          <w:rFonts w:ascii="Arial" w:hAnsi="Arial" w:cs="Arial"/>
          <w:sz w:val="20"/>
          <w:szCs w:val="20"/>
          <w:lang w:val="en-US"/>
        </w:rPr>
        <w:t>;</w:t>
      </w:r>
      <w:r>
        <w:rPr>
          <w:rFonts w:ascii="Arial" w:hAnsi="Arial" w:cs="Arial"/>
          <w:sz w:val="20"/>
          <w:szCs w:val="20"/>
          <w:lang w:val="en-GB"/>
        </w:rPr>
        <w:t xml:space="preserve"> RLU, relative luciferase units; WT, wild type</w:t>
      </w:r>
    </w:p>
    <w:p w14:paraId="6E7A5859" w14:textId="5B87F0C9" w:rsidR="005F18E0" w:rsidRDefault="005F18E0" w:rsidP="005F18E0">
      <w:pPr>
        <w:rPr>
          <w:rFonts w:ascii="Arial" w:hAnsi="Arial" w:cs="Arial"/>
          <w:noProof/>
        </w:rPr>
      </w:pPr>
    </w:p>
    <w:p w14:paraId="290E9D59" w14:textId="097CE401" w:rsidR="005D11E2" w:rsidRPr="00653417" w:rsidRDefault="005D11E2" w:rsidP="005F18E0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w:drawing>
          <wp:inline distT="0" distB="0" distL="0" distR="0" wp14:anchorId="1743BA48" wp14:editId="7488A6CC">
            <wp:extent cx="2446867" cy="1702759"/>
            <wp:effectExtent l="0" t="0" r="0" b="0"/>
            <wp:docPr id="120908833" name="Grafik 10" descr="Ein Bild, das Text, Screenshot, Diagramm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8833" name="Grafik 10" descr="Ein Bild, das Text, Screenshot, Diagramm, Design enthält.&#10;&#10;Automatisch generierte Beschreibu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7" t="35447"/>
                    <a:stretch/>
                  </pic:blipFill>
                  <pic:spPr bwMode="auto">
                    <a:xfrm>
                      <a:off x="0" y="0"/>
                      <a:ext cx="2453583" cy="1707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C471D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14611C3F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6C856843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54FDC833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26F64217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505245F8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7F531E38" w14:textId="77777777" w:rsidR="005F18E0" w:rsidRPr="00653417" w:rsidRDefault="005F18E0">
      <w:pPr>
        <w:rPr>
          <w:rFonts w:ascii="Arial" w:hAnsi="Arial" w:cs="Arial"/>
          <w:b/>
          <w:lang w:val="en-GB"/>
        </w:rPr>
      </w:pPr>
      <w:r w:rsidRPr="00653417">
        <w:rPr>
          <w:rFonts w:ascii="Arial" w:hAnsi="Arial" w:cs="Arial"/>
          <w:b/>
          <w:lang w:val="en-GB"/>
        </w:rPr>
        <w:br w:type="page"/>
      </w:r>
    </w:p>
    <w:p w14:paraId="32BB5676" w14:textId="5F7BA9B3" w:rsidR="005F18E0" w:rsidRPr="00A1547A" w:rsidRDefault="005F18E0" w:rsidP="00CE7218">
      <w:pPr>
        <w:spacing w:after="0"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A159B">
        <w:rPr>
          <w:rFonts w:ascii="Arial" w:hAnsi="Arial" w:cs="Arial"/>
          <w:b/>
          <w:sz w:val="20"/>
          <w:szCs w:val="20"/>
          <w:lang w:val="en-GB"/>
        </w:rPr>
        <w:lastRenderedPageBreak/>
        <w:t>Supplementary Figure</w:t>
      </w:r>
      <w:r w:rsidR="00D745B1" w:rsidRPr="00AA159B">
        <w:rPr>
          <w:rFonts w:ascii="Arial" w:hAnsi="Arial" w:cs="Arial"/>
          <w:b/>
          <w:sz w:val="20"/>
          <w:szCs w:val="20"/>
          <w:lang w:val="en-GB"/>
        </w:rPr>
        <w:t xml:space="preserve"> 11</w:t>
      </w:r>
      <w:r w:rsidR="00867B01" w:rsidRPr="00AA159B">
        <w:rPr>
          <w:rFonts w:ascii="Arial" w:hAnsi="Arial" w:cs="Arial"/>
          <w:b/>
          <w:sz w:val="20"/>
          <w:szCs w:val="20"/>
          <w:lang w:val="en-GB"/>
        </w:rPr>
        <w:t xml:space="preserve">: </w:t>
      </w:r>
      <w:r w:rsidR="00867B01" w:rsidRPr="00AA159B">
        <w:rPr>
          <w:rFonts w:ascii="Arial" w:hAnsi="Arial" w:cs="Arial"/>
          <w:sz w:val="20"/>
          <w:szCs w:val="20"/>
          <w:lang w:val="en-GB"/>
        </w:rPr>
        <w:t>Jurkat T cells have been stably transduced with a CRTH2 encoding construct (middle panel) or and CRTH2-EGFP encoding vector (right panel).</w:t>
      </w:r>
      <w:r w:rsidR="00867B01" w:rsidRPr="00AA159B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867B01" w:rsidRPr="00AA159B">
        <w:rPr>
          <w:rFonts w:ascii="Arial" w:hAnsi="Arial" w:cs="Arial"/>
          <w:sz w:val="20"/>
          <w:szCs w:val="20"/>
          <w:lang w:val="en-GB"/>
        </w:rPr>
        <w:t xml:space="preserve">Positive clones were identified by staining for CRTH2 expression as described in Materials and Methods. Positive cells have been enriched by cell sorting using a </w:t>
      </w:r>
      <w:r w:rsidR="00557CDE" w:rsidRPr="00A1547A">
        <w:rPr>
          <w:rFonts w:ascii="Arial" w:hAnsi="Arial" w:cs="Arial"/>
          <w:sz w:val="20"/>
          <w:szCs w:val="20"/>
          <w:lang w:val="en-GB"/>
        </w:rPr>
        <w:t xml:space="preserve">BD </w:t>
      </w:r>
      <w:r w:rsidR="00867B01" w:rsidRPr="00A1547A">
        <w:rPr>
          <w:rFonts w:ascii="Arial" w:hAnsi="Arial" w:cs="Arial"/>
          <w:sz w:val="20"/>
          <w:szCs w:val="20"/>
          <w:lang w:val="en-GB"/>
        </w:rPr>
        <w:t>FACSA</w:t>
      </w:r>
      <w:r w:rsidR="00557CDE" w:rsidRPr="00A1547A">
        <w:rPr>
          <w:rFonts w:ascii="Arial" w:hAnsi="Arial" w:cs="Arial"/>
          <w:sz w:val="20"/>
          <w:szCs w:val="20"/>
          <w:lang w:val="en-GB"/>
        </w:rPr>
        <w:t>ria</w:t>
      </w:r>
      <w:r w:rsidR="00557CDE" w:rsidRPr="00A1547A">
        <w:rPr>
          <w:rFonts w:ascii="Arial" w:hAnsi="Arial" w:cs="Arial"/>
          <w:sz w:val="20"/>
          <w:szCs w:val="20"/>
          <w:vertAlign w:val="superscript"/>
          <w:lang w:val="en-GB"/>
        </w:rPr>
        <w:t>TM</w:t>
      </w:r>
      <w:r w:rsidR="00557CDE" w:rsidRPr="00A1547A">
        <w:rPr>
          <w:rFonts w:ascii="Arial" w:hAnsi="Arial" w:cs="Arial"/>
          <w:sz w:val="20"/>
          <w:szCs w:val="20"/>
          <w:lang w:val="en-GB"/>
        </w:rPr>
        <w:t xml:space="preserve"> III</w:t>
      </w:r>
      <w:r w:rsidR="00867B01" w:rsidRPr="00A1547A">
        <w:rPr>
          <w:rFonts w:ascii="Arial" w:hAnsi="Arial" w:cs="Arial"/>
          <w:sz w:val="20"/>
          <w:szCs w:val="20"/>
          <w:lang w:val="en-GB"/>
        </w:rPr>
        <w:t xml:space="preserve"> cell sorter.</w:t>
      </w:r>
    </w:p>
    <w:p w14:paraId="335C6B5F" w14:textId="586A9E78" w:rsidR="00AA159B" w:rsidRPr="00AA159B" w:rsidRDefault="00AA159B" w:rsidP="00CE7218">
      <w:pPr>
        <w:spacing w:after="0" w:line="480" w:lineRule="auto"/>
        <w:jc w:val="both"/>
        <w:rPr>
          <w:rFonts w:ascii="Arial" w:hAnsi="Arial" w:cs="Arial"/>
          <w:b/>
          <w:sz w:val="20"/>
          <w:szCs w:val="20"/>
          <w:lang w:val="en-GB"/>
        </w:rPr>
      </w:pPr>
      <w:r w:rsidRPr="00A1547A">
        <w:rPr>
          <w:rFonts w:ascii="Arial" w:hAnsi="Arial" w:cs="Arial"/>
          <w:b/>
          <w:bCs/>
          <w:sz w:val="20"/>
          <w:szCs w:val="20"/>
          <w:lang w:val="en-GB"/>
        </w:rPr>
        <w:t>Abbreviations</w:t>
      </w:r>
      <w:r w:rsidRPr="00A1547A">
        <w:rPr>
          <w:rFonts w:ascii="Arial" w:hAnsi="Arial" w:cs="Arial"/>
          <w:sz w:val="20"/>
          <w:szCs w:val="20"/>
          <w:lang w:val="en-GB"/>
        </w:rPr>
        <w:t xml:space="preserve">: A, area; </w:t>
      </w:r>
      <w:r w:rsidR="00557CDE" w:rsidRPr="00A1547A">
        <w:rPr>
          <w:rFonts w:ascii="Arial" w:hAnsi="Arial" w:cs="Arial"/>
          <w:sz w:val="20"/>
          <w:szCs w:val="20"/>
          <w:lang w:val="en-GB"/>
        </w:rPr>
        <w:t>BD, Becton Dickinson;</w:t>
      </w:r>
      <w:r w:rsidR="00557CDE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sz w:val="20"/>
          <w:szCs w:val="20"/>
          <w:lang w:val="en-GB"/>
        </w:rPr>
        <w:t>CRTH2, chemokine receptor homologue expressed on T</w:t>
      </w:r>
      <w:r w:rsidRPr="00421C8F">
        <w:rPr>
          <w:rFonts w:ascii="Arial" w:hAnsi="Arial" w:cs="Arial"/>
          <w:sz w:val="20"/>
          <w:szCs w:val="20"/>
          <w:vertAlign w:val="subscript"/>
          <w:lang w:val="en-GB"/>
        </w:rPr>
        <w:t>h</w:t>
      </w:r>
      <w:r>
        <w:rPr>
          <w:rFonts w:ascii="Arial" w:hAnsi="Arial" w:cs="Arial"/>
          <w:sz w:val="20"/>
          <w:szCs w:val="20"/>
          <w:lang w:val="en-GB"/>
        </w:rPr>
        <w:t xml:space="preserve">2 cells; EGFP, enhanced green fluorescent protein; FACS, fluorescence-activated cell sorting; FITC, fluorescein-isothiocyanate; </w:t>
      </w:r>
      <w:r w:rsidR="00421C8F">
        <w:rPr>
          <w:rFonts w:ascii="Arial" w:hAnsi="Arial" w:cs="Arial"/>
          <w:sz w:val="20"/>
          <w:szCs w:val="20"/>
          <w:lang w:val="en-GB"/>
        </w:rPr>
        <w:t>PE, phycoerythrin; WT, wild type.</w:t>
      </w:r>
    </w:p>
    <w:p w14:paraId="57F0BA1E" w14:textId="75E68DDB" w:rsidR="005F18E0" w:rsidRPr="006D4713" w:rsidRDefault="005F18E0" w:rsidP="005F18E0">
      <w:pPr>
        <w:rPr>
          <w:rFonts w:ascii="Arial" w:hAnsi="Arial" w:cs="Arial"/>
          <w:noProof/>
          <w:lang w:val="en-US"/>
        </w:rPr>
      </w:pPr>
    </w:p>
    <w:p w14:paraId="413240C3" w14:textId="0537B01B" w:rsidR="005D11E2" w:rsidRPr="00653417" w:rsidRDefault="005D11E2" w:rsidP="005F18E0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  <w:lang w:val="en-GB"/>
        </w:rPr>
        <w:drawing>
          <wp:inline distT="0" distB="0" distL="0" distR="0" wp14:anchorId="446B9C8D" wp14:editId="0A157726">
            <wp:extent cx="4165600" cy="1566844"/>
            <wp:effectExtent l="0" t="0" r="6350" b="0"/>
            <wp:docPr id="1848440623" name="Grafik 11" descr="Ein Bild, das Text, Diagramm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40623" name="Grafik 11" descr="Ein Bild, das Text, Diagramm, Screenshot enthält.&#10;&#10;Automatisch generierte Beschreibu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1"/>
                    <a:stretch/>
                  </pic:blipFill>
                  <pic:spPr bwMode="auto">
                    <a:xfrm>
                      <a:off x="0" y="0"/>
                      <a:ext cx="4195736" cy="157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0F527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1069B45C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4238E312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1B6C057B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1A1AEE4B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163465FA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7338DA2B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6716A638" w14:textId="77777777" w:rsidR="005F18E0" w:rsidRPr="00653417" w:rsidRDefault="005F18E0">
      <w:pPr>
        <w:rPr>
          <w:rFonts w:ascii="Arial" w:hAnsi="Arial" w:cs="Arial"/>
          <w:b/>
          <w:lang w:val="en-GB"/>
        </w:rPr>
      </w:pPr>
      <w:r w:rsidRPr="00653417">
        <w:rPr>
          <w:rFonts w:ascii="Arial" w:hAnsi="Arial" w:cs="Arial"/>
          <w:b/>
          <w:lang w:val="en-GB"/>
        </w:rPr>
        <w:br w:type="page"/>
      </w:r>
    </w:p>
    <w:p w14:paraId="6AF3A342" w14:textId="67EF47D1" w:rsidR="005F18E0" w:rsidRPr="00A1547A" w:rsidRDefault="005F18E0" w:rsidP="00CE7218">
      <w:pPr>
        <w:spacing w:after="0"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421C8F">
        <w:rPr>
          <w:rFonts w:ascii="Arial" w:hAnsi="Arial" w:cs="Arial"/>
          <w:b/>
          <w:sz w:val="20"/>
          <w:szCs w:val="20"/>
          <w:lang w:val="en-GB"/>
        </w:rPr>
        <w:lastRenderedPageBreak/>
        <w:t>Supplementary Figure</w:t>
      </w:r>
      <w:r w:rsidR="00D745B1" w:rsidRPr="00421C8F">
        <w:rPr>
          <w:rFonts w:ascii="Arial" w:hAnsi="Arial" w:cs="Arial"/>
          <w:b/>
          <w:sz w:val="20"/>
          <w:szCs w:val="20"/>
          <w:lang w:val="en-GB"/>
        </w:rPr>
        <w:t xml:space="preserve"> 12</w:t>
      </w:r>
      <w:r w:rsidR="00D5441D">
        <w:rPr>
          <w:rFonts w:ascii="Arial" w:hAnsi="Arial" w:cs="Arial"/>
          <w:b/>
          <w:sz w:val="20"/>
          <w:szCs w:val="20"/>
          <w:lang w:val="en-GB"/>
        </w:rPr>
        <w:t>:</w:t>
      </w:r>
      <w:r w:rsidR="00867B01" w:rsidRPr="00421C8F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867B01" w:rsidRPr="00421C8F">
        <w:rPr>
          <w:rFonts w:ascii="Arial" w:hAnsi="Arial" w:cs="Arial"/>
          <w:sz w:val="20"/>
          <w:szCs w:val="20"/>
          <w:lang w:val="en-GB"/>
        </w:rPr>
        <w:t>Jurkat T cells have been treated with 0.1, 1, and 10 µM of 15d-PGJ</w:t>
      </w:r>
      <w:r w:rsidR="00867B01" w:rsidRPr="00421C8F">
        <w:rPr>
          <w:rFonts w:ascii="Arial" w:hAnsi="Arial" w:cs="Arial"/>
          <w:sz w:val="20"/>
          <w:szCs w:val="20"/>
          <w:vertAlign w:val="subscript"/>
          <w:lang w:val="en-GB"/>
        </w:rPr>
        <w:t>2</w:t>
      </w:r>
      <w:r w:rsidR="00867B01" w:rsidRPr="00421C8F">
        <w:rPr>
          <w:rFonts w:ascii="Arial" w:hAnsi="Arial" w:cs="Arial"/>
          <w:sz w:val="20"/>
          <w:szCs w:val="20"/>
          <w:lang w:val="en-GB"/>
        </w:rPr>
        <w:t xml:space="preserve"> for 24</w:t>
      </w:r>
      <w:r w:rsidR="00BA086E">
        <w:rPr>
          <w:rFonts w:ascii="Arial" w:hAnsi="Arial" w:cs="Arial"/>
          <w:sz w:val="20"/>
          <w:szCs w:val="20"/>
          <w:lang w:val="en-GB"/>
        </w:rPr>
        <w:t> </w:t>
      </w:r>
      <w:r w:rsidR="00867B01" w:rsidRPr="00421C8F">
        <w:rPr>
          <w:rFonts w:ascii="Arial" w:hAnsi="Arial" w:cs="Arial"/>
          <w:sz w:val="20"/>
          <w:szCs w:val="20"/>
          <w:lang w:val="en-GB"/>
        </w:rPr>
        <w:t xml:space="preserve">h. To follow cell death, cells were stained with annexin V-PE and </w:t>
      </w:r>
      <w:r w:rsidR="00421C8F">
        <w:rPr>
          <w:rFonts w:ascii="Arial" w:hAnsi="Arial" w:cs="Arial"/>
          <w:sz w:val="20"/>
          <w:szCs w:val="20"/>
          <w:lang w:val="en-GB"/>
        </w:rPr>
        <w:t>7</w:t>
      </w:r>
      <w:r w:rsidR="00867B01" w:rsidRPr="00421C8F">
        <w:rPr>
          <w:rFonts w:ascii="Arial" w:hAnsi="Arial" w:cs="Arial"/>
          <w:sz w:val="20"/>
          <w:szCs w:val="20"/>
          <w:lang w:val="en-GB"/>
        </w:rPr>
        <w:t>-aminoa</w:t>
      </w:r>
      <w:r w:rsidR="00372714" w:rsidRPr="00421C8F">
        <w:rPr>
          <w:rFonts w:ascii="Arial" w:hAnsi="Arial" w:cs="Arial"/>
          <w:sz w:val="20"/>
          <w:szCs w:val="20"/>
          <w:lang w:val="en-GB"/>
        </w:rPr>
        <w:t xml:space="preserve">ctinomycin D (7-AAD) as described in Materials and Methods. In </w:t>
      </w:r>
      <w:r w:rsidR="00372714" w:rsidRPr="00421C8F">
        <w:rPr>
          <w:rFonts w:ascii="Arial" w:hAnsi="Arial" w:cs="Arial"/>
          <w:b/>
          <w:sz w:val="20"/>
          <w:szCs w:val="20"/>
          <w:lang w:val="en-GB"/>
        </w:rPr>
        <w:t>(A)</w:t>
      </w:r>
      <w:r w:rsidR="00372714" w:rsidRPr="00421C8F">
        <w:rPr>
          <w:rFonts w:ascii="Arial" w:hAnsi="Arial" w:cs="Arial"/>
          <w:sz w:val="20"/>
          <w:szCs w:val="20"/>
          <w:lang w:val="en-GB"/>
        </w:rPr>
        <w:t xml:space="preserve"> the staining of wild type Jurkat T cells is depicted. The quantification of experiments using wild type, CRTH2 and CRTH2-EGFP expressing Jurkat T cells is provided in </w:t>
      </w:r>
      <w:r w:rsidR="00372714" w:rsidRPr="00421C8F">
        <w:rPr>
          <w:rFonts w:ascii="Arial" w:hAnsi="Arial" w:cs="Arial"/>
          <w:b/>
          <w:sz w:val="20"/>
          <w:szCs w:val="20"/>
          <w:lang w:val="en-GB"/>
        </w:rPr>
        <w:t>(B</w:t>
      </w:r>
      <w:r w:rsidR="00372714" w:rsidRPr="00A1547A">
        <w:rPr>
          <w:rFonts w:ascii="Arial" w:hAnsi="Arial" w:cs="Arial"/>
          <w:b/>
          <w:sz w:val="20"/>
          <w:szCs w:val="20"/>
          <w:lang w:val="en-GB"/>
        </w:rPr>
        <w:t>)</w:t>
      </w:r>
      <w:r w:rsidR="00372714" w:rsidRPr="00A1547A">
        <w:rPr>
          <w:rFonts w:ascii="Arial" w:hAnsi="Arial" w:cs="Arial"/>
          <w:sz w:val="20"/>
          <w:szCs w:val="20"/>
          <w:lang w:val="en-GB"/>
        </w:rPr>
        <w:t>.</w:t>
      </w:r>
      <w:r w:rsidR="00AC13B2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** p &lt; 0.05.</w:t>
      </w:r>
    </w:p>
    <w:p w14:paraId="1155E368" w14:textId="0D4E4E9E" w:rsidR="00421C8F" w:rsidRPr="00421C8F" w:rsidRDefault="00421C8F" w:rsidP="00CE7218">
      <w:pPr>
        <w:spacing w:after="0" w:line="48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1547A">
        <w:rPr>
          <w:rFonts w:ascii="Arial" w:hAnsi="Arial" w:cs="Arial"/>
          <w:b/>
          <w:bCs/>
          <w:sz w:val="20"/>
          <w:szCs w:val="20"/>
          <w:lang w:val="en-GB"/>
        </w:rPr>
        <w:t>Abbreviations</w:t>
      </w:r>
      <w:r w:rsidRPr="00A1547A">
        <w:rPr>
          <w:rFonts w:ascii="Arial" w:hAnsi="Arial" w:cs="Arial"/>
          <w:sz w:val="20"/>
          <w:szCs w:val="20"/>
          <w:lang w:val="en-GB"/>
        </w:rPr>
        <w:t xml:space="preserve">: 7-AAD, 7-aminoactinomycin D; </w:t>
      </w:r>
      <w:r w:rsidRPr="00A1547A">
        <w:rPr>
          <w:rFonts w:ascii="Arial" w:hAnsi="Arial" w:cs="Arial"/>
          <w:sz w:val="20"/>
          <w:szCs w:val="20"/>
          <w:lang w:val="en-US"/>
        </w:rPr>
        <w:t>15-dPGJ</w:t>
      </w:r>
      <w:r w:rsidRPr="00A1547A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Pr="00A1547A">
        <w:rPr>
          <w:rFonts w:ascii="Arial" w:hAnsi="Arial" w:cs="Arial"/>
          <w:sz w:val="20"/>
          <w:szCs w:val="20"/>
          <w:lang w:val="en-US"/>
        </w:rPr>
        <w:t>, 15-deoxy-∆12,14-prostaglandin J</w:t>
      </w:r>
      <w:r w:rsidRPr="00A1547A">
        <w:rPr>
          <w:rFonts w:ascii="Arial" w:hAnsi="Arial" w:cs="Arial"/>
          <w:sz w:val="20"/>
          <w:szCs w:val="20"/>
          <w:vertAlign w:val="subscript"/>
          <w:lang w:val="en-US"/>
        </w:rPr>
        <w:t>2</w:t>
      </w:r>
      <w:r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; A, area; CRTH2, chemokine receptor homologue expressed on T</w:t>
      </w:r>
      <w:r w:rsidRPr="00A1547A">
        <w:rPr>
          <w:rFonts w:ascii="Arial" w:hAnsi="Arial" w:cs="Arial"/>
          <w:color w:val="000000" w:themeColor="text1"/>
          <w:sz w:val="20"/>
          <w:szCs w:val="20"/>
          <w:vertAlign w:val="subscript"/>
          <w:lang w:val="en-US"/>
        </w:rPr>
        <w:t>h</w:t>
      </w:r>
      <w:r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2 cells; EGFP, enhanced green fluorescent protein; PE, phy</w:t>
      </w:r>
      <w:r w:rsidR="00557CDE"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>c</w:t>
      </w:r>
      <w:r w:rsidRPr="00A1547A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oerythrin; </w:t>
      </w:r>
      <w:r w:rsidRPr="00A1547A">
        <w:rPr>
          <w:rFonts w:ascii="Arial" w:hAnsi="Arial" w:cs="Arial"/>
          <w:sz w:val="20"/>
          <w:szCs w:val="20"/>
          <w:lang w:val="en-GB"/>
        </w:rPr>
        <w:t xml:space="preserve">PerCP-Cy5.5, </w:t>
      </w:r>
      <w:r w:rsidRPr="00A1547A">
        <w:rPr>
          <w:rFonts w:ascii="Arial" w:hAnsi="Arial" w:cs="Arial"/>
          <w:noProof/>
          <w:sz w:val="20"/>
          <w:szCs w:val="20"/>
          <w:lang w:val="en-GB" w:eastAsia="de-DE"/>
        </w:rPr>
        <w:t>peridinin-chlorophyll</w:t>
      </w:r>
      <w:r>
        <w:rPr>
          <w:rFonts w:ascii="Arial" w:hAnsi="Arial" w:cs="Arial"/>
          <w:noProof/>
          <w:sz w:val="20"/>
          <w:szCs w:val="20"/>
          <w:lang w:val="en-GB" w:eastAsia="de-DE"/>
        </w:rPr>
        <w:t xml:space="preserve">-protein-cyanine 5.5;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WT, wild type.</w:t>
      </w:r>
    </w:p>
    <w:p w14:paraId="1FCB10EA" w14:textId="08EBF7E7" w:rsidR="00867B01" w:rsidRPr="006D4713" w:rsidRDefault="00867B01" w:rsidP="005F18E0">
      <w:pPr>
        <w:rPr>
          <w:rFonts w:ascii="Arial" w:hAnsi="Arial" w:cs="Arial"/>
          <w:noProof/>
          <w:lang w:val="en-US"/>
        </w:rPr>
      </w:pPr>
    </w:p>
    <w:p w14:paraId="01374D43" w14:textId="09A89B17" w:rsidR="005D11E2" w:rsidRPr="00653417" w:rsidRDefault="005D11E2" w:rsidP="005F18E0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GB"/>
        </w:rPr>
        <w:drawing>
          <wp:inline distT="0" distB="0" distL="0" distR="0" wp14:anchorId="24528205" wp14:editId="2F9C6FEE">
            <wp:extent cx="5503333" cy="3522345"/>
            <wp:effectExtent l="0" t="0" r="2540" b="1905"/>
            <wp:docPr id="419257337" name="Grafik 12" descr="Ein Bild, das Text, Diagramm, technische Zeichnung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57337" name="Grafik 12" descr="Ein Bild, das Text, Diagramm, technische Zeichnung, Plan enthält.&#10;&#10;Automatisch generierte Beschreibu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5" r="4456"/>
                    <a:stretch/>
                  </pic:blipFill>
                  <pic:spPr bwMode="auto">
                    <a:xfrm>
                      <a:off x="0" y="0"/>
                      <a:ext cx="5503994" cy="352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4B740" w14:textId="77777777" w:rsidR="00867B01" w:rsidRPr="00653417" w:rsidRDefault="00867B01" w:rsidP="005F18E0">
      <w:pPr>
        <w:rPr>
          <w:rFonts w:ascii="Arial" w:hAnsi="Arial" w:cs="Arial"/>
          <w:lang w:val="en-GB"/>
        </w:rPr>
      </w:pPr>
    </w:p>
    <w:p w14:paraId="6906EEB6" w14:textId="77777777" w:rsidR="00867B01" w:rsidRPr="00653417" w:rsidRDefault="00867B01" w:rsidP="005F18E0">
      <w:pPr>
        <w:rPr>
          <w:rFonts w:ascii="Arial" w:hAnsi="Arial" w:cs="Arial"/>
          <w:lang w:val="en-GB"/>
        </w:rPr>
      </w:pPr>
    </w:p>
    <w:p w14:paraId="4A009B80" w14:textId="77777777" w:rsidR="00867B01" w:rsidRPr="00653417" w:rsidRDefault="00867B01" w:rsidP="005F18E0">
      <w:pPr>
        <w:rPr>
          <w:rFonts w:ascii="Arial" w:hAnsi="Arial" w:cs="Arial"/>
          <w:lang w:val="en-GB"/>
        </w:rPr>
      </w:pPr>
    </w:p>
    <w:p w14:paraId="145A601C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6A25C725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4655C064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62C29005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5D1C0BE5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1801489B" w14:textId="77777777" w:rsidR="005F18E0" w:rsidRPr="00653417" w:rsidRDefault="005F18E0" w:rsidP="005F18E0">
      <w:pPr>
        <w:rPr>
          <w:rFonts w:ascii="Arial" w:hAnsi="Arial" w:cs="Arial"/>
          <w:b/>
          <w:lang w:val="en-GB"/>
        </w:rPr>
      </w:pPr>
    </w:p>
    <w:p w14:paraId="10F3D776" w14:textId="44D2BB25" w:rsidR="008F7324" w:rsidRPr="00F7345E" w:rsidRDefault="004C3A8F" w:rsidP="00A75241">
      <w:pPr>
        <w:spacing w:after="0" w:line="480" w:lineRule="auto"/>
        <w:jc w:val="both"/>
        <w:rPr>
          <w:rFonts w:ascii="Arial" w:hAnsi="Arial" w:cs="Arial"/>
          <w:lang w:val="en-GB"/>
        </w:rPr>
      </w:pPr>
      <w:r w:rsidRPr="00F7345E">
        <w:rPr>
          <w:rFonts w:ascii="Arial" w:hAnsi="Arial" w:cs="Arial"/>
          <w:b/>
          <w:lang w:val="en-GB"/>
        </w:rPr>
        <w:lastRenderedPageBreak/>
        <w:t xml:space="preserve">Supplementary Figure 13: </w:t>
      </w:r>
      <w:r w:rsidR="00A75241" w:rsidRPr="00F7345E">
        <w:rPr>
          <w:rFonts w:ascii="Arial" w:hAnsi="Arial" w:cs="Arial"/>
          <w:lang w:val="en-GB"/>
        </w:rPr>
        <w:t>CD4</w:t>
      </w:r>
      <w:r w:rsidR="00A75241" w:rsidRPr="00F7345E">
        <w:rPr>
          <w:rFonts w:ascii="Arial" w:hAnsi="Arial" w:cs="Arial"/>
          <w:vertAlign w:val="superscript"/>
          <w:lang w:val="en-GB"/>
        </w:rPr>
        <w:t>+</w:t>
      </w:r>
      <w:r w:rsidR="00A75241" w:rsidRPr="00F7345E">
        <w:rPr>
          <w:rFonts w:ascii="Arial" w:hAnsi="Arial" w:cs="Arial"/>
          <w:lang w:val="en-GB"/>
        </w:rPr>
        <w:t xml:space="preserve"> T cells were enriched from blood of healthy donors by </w:t>
      </w:r>
      <w:r w:rsidR="00564278" w:rsidRPr="00564278">
        <w:rPr>
          <w:rFonts w:ascii="Arial" w:hAnsi="Arial" w:cs="Arial"/>
          <w:lang w:val="en-GB"/>
        </w:rPr>
        <w:t>positive</w:t>
      </w:r>
      <w:r w:rsidR="00A75241" w:rsidRPr="00F7345E">
        <w:rPr>
          <w:rFonts w:ascii="Arial" w:hAnsi="Arial" w:cs="Arial"/>
          <w:lang w:val="en-GB"/>
        </w:rPr>
        <w:t xml:space="preserve"> isolation using the MACS based technology. CD4</w:t>
      </w:r>
      <w:r w:rsidR="00A75241" w:rsidRPr="00F7345E">
        <w:rPr>
          <w:rFonts w:ascii="Arial" w:hAnsi="Arial" w:cs="Arial"/>
          <w:vertAlign w:val="superscript"/>
          <w:lang w:val="en-GB"/>
        </w:rPr>
        <w:t>+</w:t>
      </w:r>
      <w:r w:rsidR="00A75241" w:rsidRPr="00F7345E">
        <w:rPr>
          <w:rFonts w:ascii="Arial" w:hAnsi="Arial" w:cs="Arial"/>
          <w:lang w:val="en-GB"/>
        </w:rPr>
        <w:t xml:space="preserve"> T cells were differentiated for 13 days as described in Materials and Methods. In parallel, the PPAR</w:t>
      </w:r>
      <w:r w:rsidR="007E5D5E" w:rsidRPr="00F7345E">
        <w:rPr>
          <w:rFonts w:ascii="Arial" w:hAnsi="Arial" w:cs="Arial"/>
          <w:sz w:val="20"/>
          <w:szCs w:val="20"/>
        </w:rPr>
        <w:t>γ</w:t>
      </w:r>
      <w:r w:rsidR="00A75241" w:rsidRPr="00F7345E">
        <w:rPr>
          <w:rFonts w:ascii="Arial" w:hAnsi="Arial" w:cs="Arial"/>
          <w:lang w:val="en-GB"/>
        </w:rPr>
        <w:t xml:space="preserve"> antagonist GW9662 [10 µM] was added to determine the effect of PPAR</w:t>
      </w:r>
      <w:r w:rsidR="007E5D5E" w:rsidRPr="00F7345E">
        <w:rPr>
          <w:rFonts w:ascii="Arial" w:hAnsi="Arial" w:cs="Arial"/>
          <w:sz w:val="20"/>
          <w:szCs w:val="20"/>
        </w:rPr>
        <w:t>γ</w:t>
      </w:r>
      <w:r w:rsidR="00A75241" w:rsidRPr="00F7345E">
        <w:rPr>
          <w:rFonts w:ascii="Arial" w:hAnsi="Arial" w:cs="Arial"/>
          <w:lang w:val="en-GB"/>
        </w:rPr>
        <w:t xml:space="preserve"> antagonization on T</w:t>
      </w:r>
      <w:r w:rsidR="00A75241" w:rsidRPr="00F7345E">
        <w:rPr>
          <w:rFonts w:ascii="Arial" w:hAnsi="Arial" w:cs="Arial"/>
          <w:vertAlign w:val="subscript"/>
          <w:lang w:val="en-GB"/>
        </w:rPr>
        <w:t>h</w:t>
      </w:r>
      <w:r w:rsidR="00A75241" w:rsidRPr="00F7345E">
        <w:rPr>
          <w:rFonts w:ascii="Arial" w:hAnsi="Arial" w:cs="Arial"/>
          <w:lang w:val="en-GB"/>
        </w:rPr>
        <w:t>2 differentiation. After 13 days, CD4</w:t>
      </w:r>
      <w:r w:rsidR="00A75241" w:rsidRPr="00F7345E">
        <w:rPr>
          <w:rFonts w:ascii="Arial" w:hAnsi="Arial" w:cs="Arial"/>
          <w:vertAlign w:val="superscript"/>
          <w:lang w:val="en-GB"/>
        </w:rPr>
        <w:t>+</w:t>
      </w:r>
      <w:r w:rsidR="00A75241" w:rsidRPr="00F7345E">
        <w:rPr>
          <w:rFonts w:ascii="Arial" w:hAnsi="Arial" w:cs="Arial"/>
          <w:lang w:val="en-GB"/>
        </w:rPr>
        <w:t xml:space="preserve"> cells were analysed for expression of the intracellular T</w:t>
      </w:r>
      <w:r w:rsidR="00A75241" w:rsidRPr="00F7345E">
        <w:rPr>
          <w:rFonts w:ascii="Arial" w:hAnsi="Arial" w:cs="Arial"/>
          <w:vertAlign w:val="subscript"/>
          <w:lang w:val="en-GB"/>
        </w:rPr>
        <w:t>h</w:t>
      </w:r>
      <w:r w:rsidR="00A75241" w:rsidRPr="00F7345E">
        <w:rPr>
          <w:rFonts w:ascii="Arial" w:hAnsi="Arial" w:cs="Arial"/>
          <w:lang w:val="en-GB"/>
        </w:rPr>
        <w:t xml:space="preserve">2 marker IL-4 </w:t>
      </w:r>
      <w:r w:rsidR="00A75241" w:rsidRPr="00F7345E">
        <w:rPr>
          <w:rFonts w:ascii="Arial" w:hAnsi="Arial" w:cs="Arial"/>
          <w:b/>
          <w:bCs/>
          <w:lang w:val="en-GB"/>
        </w:rPr>
        <w:t>(A)</w:t>
      </w:r>
      <w:r w:rsidR="00A75241" w:rsidRPr="00F7345E">
        <w:rPr>
          <w:rFonts w:ascii="Arial" w:hAnsi="Arial" w:cs="Arial"/>
          <w:lang w:val="en-GB"/>
        </w:rPr>
        <w:t xml:space="preserve"> (n = 6) and the cell surface marker CRTH2 </w:t>
      </w:r>
      <w:r w:rsidR="00A75241" w:rsidRPr="00F7345E">
        <w:rPr>
          <w:rFonts w:ascii="Arial" w:hAnsi="Arial" w:cs="Arial"/>
          <w:b/>
          <w:lang w:val="en-GB"/>
        </w:rPr>
        <w:t>(B)</w:t>
      </w:r>
      <w:r w:rsidR="00A75241" w:rsidRPr="00F7345E">
        <w:rPr>
          <w:rFonts w:ascii="Arial" w:hAnsi="Arial" w:cs="Arial"/>
          <w:lang w:val="en-GB"/>
        </w:rPr>
        <w:t xml:space="preserve"> (n = 6).</w:t>
      </w:r>
      <w:r w:rsidR="00AC13B2" w:rsidRPr="00F7345E">
        <w:rPr>
          <w:rFonts w:ascii="Arial" w:hAnsi="Arial" w:cs="Arial"/>
          <w:lang w:val="en-GB"/>
        </w:rPr>
        <w:t xml:space="preserve"> </w:t>
      </w:r>
      <w:r w:rsidR="00AC13B2" w:rsidRPr="00F7345E">
        <w:rPr>
          <w:rFonts w:ascii="Arial" w:hAnsi="Arial" w:cs="Arial"/>
          <w:color w:val="000000" w:themeColor="text1"/>
          <w:sz w:val="20"/>
          <w:szCs w:val="20"/>
          <w:lang w:val="en-US"/>
        </w:rPr>
        <w:t>* p &lt; 0.05.</w:t>
      </w:r>
    </w:p>
    <w:p w14:paraId="4036A958" w14:textId="61A3035A" w:rsidR="00EF18A1" w:rsidRDefault="00EF18A1" w:rsidP="00A75241">
      <w:pPr>
        <w:spacing w:after="0" w:line="480" w:lineRule="auto"/>
        <w:jc w:val="both"/>
        <w:rPr>
          <w:rFonts w:ascii="Arial" w:hAnsi="Arial" w:cs="Arial"/>
          <w:bCs/>
          <w:lang w:val="en-US"/>
        </w:rPr>
      </w:pPr>
      <w:r w:rsidRPr="00F7345E">
        <w:rPr>
          <w:rFonts w:ascii="Arial" w:hAnsi="Arial" w:cs="Arial"/>
          <w:b/>
          <w:lang w:val="en-US"/>
        </w:rPr>
        <w:t>Abbreviations:</w:t>
      </w:r>
      <w:r w:rsidRPr="00F7345E">
        <w:rPr>
          <w:rFonts w:ascii="Arial" w:hAnsi="Arial" w:cs="Arial"/>
          <w:bCs/>
          <w:lang w:val="en-US"/>
        </w:rPr>
        <w:t xml:space="preserve"> CD, cluster of differentiation; CRTH2, chemokine receptor homologue expressed on T</w:t>
      </w:r>
      <w:r w:rsidRPr="00F7345E">
        <w:rPr>
          <w:rFonts w:ascii="Arial" w:hAnsi="Arial" w:cs="Arial"/>
          <w:bCs/>
          <w:vertAlign w:val="subscript"/>
          <w:lang w:val="en-US"/>
        </w:rPr>
        <w:t>h</w:t>
      </w:r>
      <w:r w:rsidRPr="00F7345E">
        <w:rPr>
          <w:rFonts w:ascii="Arial" w:hAnsi="Arial" w:cs="Arial"/>
          <w:bCs/>
          <w:lang w:val="en-US"/>
        </w:rPr>
        <w:t xml:space="preserve">2 cells; </w:t>
      </w:r>
      <w:r w:rsidR="00AC13B2" w:rsidRPr="00F7345E">
        <w:rPr>
          <w:rFonts w:ascii="Arial" w:hAnsi="Arial" w:cs="Arial"/>
          <w:bCs/>
          <w:lang w:val="en-US"/>
        </w:rPr>
        <w:t xml:space="preserve">GW9662, </w:t>
      </w:r>
      <w:r w:rsidR="00AC13B2" w:rsidRPr="00F7345E">
        <w:rPr>
          <w:rFonts w:ascii="Arial" w:hAnsi="Arial" w:cs="Arial"/>
          <w:lang w:val="en-US"/>
        </w:rPr>
        <w:t>2-chloro-5-nitro-N-phenylbenzamide;</w:t>
      </w:r>
      <w:r w:rsidR="00AC13B2" w:rsidRPr="00F7345E">
        <w:rPr>
          <w:rFonts w:ascii="Arial" w:hAnsi="Arial" w:cs="Arial"/>
          <w:noProof/>
          <w:sz w:val="20"/>
          <w:szCs w:val="20"/>
          <w:lang w:val="en-GB" w:eastAsia="de-DE"/>
        </w:rPr>
        <w:t xml:space="preserve"> </w:t>
      </w:r>
      <w:r w:rsidRPr="00F7345E">
        <w:rPr>
          <w:rFonts w:ascii="Arial" w:hAnsi="Arial" w:cs="Arial"/>
          <w:bCs/>
          <w:lang w:val="en-US"/>
        </w:rPr>
        <w:t xml:space="preserve">IL-4, interleukin-4; MACS, magnetic cell separation; </w:t>
      </w:r>
      <w:r w:rsidR="00AC13B2" w:rsidRPr="00F7345E">
        <w:rPr>
          <w:rFonts w:ascii="Arial" w:hAnsi="Arial" w:cs="Arial"/>
          <w:bCs/>
          <w:lang w:val="en-US"/>
        </w:rPr>
        <w:t>PPAR</w:t>
      </w:r>
      <w:r w:rsidR="007E5D5E" w:rsidRPr="00F7345E">
        <w:rPr>
          <w:rFonts w:ascii="Arial" w:hAnsi="Arial" w:cs="Arial"/>
          <w:sz w:val="20"/>
          <w:szCs w:val="20"/>
        </w:rPr>
        <w:t>γ</w:t>
      </w:r>
      <w:r w:rsidR="00AC13B2" w:rsidRPr="00F7345E">
        <w:rPr>
          <w:rFonts w:ascii="Arial" w:hAnsi="Arial" w:cs="Arial"/>
          <w:bCs/>
          <w:lang w:val="en-US"/>
        </w:rPr>
        <w:t xml:space="preserve">, peroxisome proliferator activated receptor </w:t>
      </w:r>
      <w:r w:rsidR="007E5D5E" w:rsidRPr="00F7345E">
        <w:rPr>
          <w:rFonts w:ascii="Arial" w:hAnsi="Arial" w:cs="Arial"/>
          <w:sz w:val="20"/>
          <w:szCs w:val="20"/>
        </w:rPr>
        <w:t>γ</w:t>
      </w:r>
      <w:r w:rsidR="00AC13B2" w:rsidRPr="00F7345E">
        <w:rPr>
          <w:rFonts w:ascii="Arial" w:hAnsi="Arial" w:cs="Arial"/>
          <w:bCs/>
          <w:lang w:val="en-US"/>
        </w:rPr>
        <w:t xml:space="preserve">; </w:t>
      </w:r>
      <w:r w:rsidRPr="00F7345E">
        <w:rPr>
          <w:rFonts w:ascii="Arial" w:hAnsi="Arial" w:cs="Arial"/>
          <w:bCs/>
          <w:lang w:val="en-US"/>
        </w:rPr>
        <w:t>T</w:t>
      </w:r>
      <w:r w:rsidRPr="00F7345E">
        <w:rPr>
          <w:rFonts w:ascii="Arial" w:hAnsi="Arial" w:cs="Arial"/>
          <w:bCs/>
          <w:vertAlign w:val="subscript"/>
          <w:lang w:val="en-US"/>
        </w:rPr>
        <w:t>h</w:t>
      </w:r>
      <w:r w:rsidRPr="00F7345E">
        <w:rPr>
          <w:rFonts w:ascii="Arial" w:hAnsi="Arial" w:cs="Arial"/>
          <w:bCs/>
          <w:lang w:val="en-US"/>
        </w:rPr>
        <w:t>2, T helper cells type 2.</w:t>
      </w:r>
    </w:p>
    <w:p w14:paraId="772FC677" w14:textId="77777777" w:rsidR="00AC13B2" w:rsidRDefault="00AC13B2" w:rsidP="00A75241">
      <w:pPr>
        <w:spacing w:after="0" w:line="480" w:lineRule="auto"/>
        <w:jc w:val="both"/>
        <w:rPr>
          <w:rFonts w:ascii="Arial" w:hAnsi="Arial" w:cs="Arial"/>
          <w:bCs/>
          <w:lang w:val="en-US"/>
        </w:rPr>
      </w:pPr>
    </w:p>
    <w:p w14:paraId="19AB4D03" w14:textId="7E324D04" w:rsidR="00AC13B2" w:rsidRDefault="007E5D5E" w:rsidP="00A75241">
      <w:pPr>
        <w:spacing w:after="0" w:line="480" w:lineRule="auto"/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noProof/>
          <w:lang w:val="en-US"/>
        </w:rPr>
        <w:drawing>
          <wp:inline distT="0" distB="0" distL="0" distR="0" wp14:anchorId="6AC18AA3" wp14:editId="4E8D1BF3">
            <wp:extent cx="4085167" cy="1879180"/>
            <wp:effectExtent l="0" t="0" r="0" b="6985"/>
            <wp:docPr id="2137706142" name="Grafik 13" descr="Ein Bild, das Text, Diagramm, Entwurf, technische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06142" name="Grafik 13" descr="Ein Bild, das Text, Diagramm, Entwurf, technische Zeichnung enthält.&#10;&#10;Automatisch generierte Beschreibu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15596" r="8142"/>
                    <a:stretch/>
                  </pic:blipFill>
                  <pic:spPr bwMode="auto">
                    <a:xfrm>
                      <a:off x="0" y="0"/>
                      <a:ext cx="4096681" cy="188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16165" w14:textId="77777777" w:rsidR="007E6803" w:rsidRDefault="007E6803" w:rsidP="00A75241">
      <w:pPr>
        <w:spacing w:after="0" w:line="480" w:lineRule="auto"/>
        <w:jc w:val="both"/>
        <w:rPr>
          <w:rFonts w:ascii="Arial" w:hAnsi="Arial" w:cs="Arial"/>
          <w:bCs/>
          <w:lang w:val="en-US"/>
        </w:rPr>
      </w:pPr>
    </w:p>
    <w:p w14:paraId="766C454E" w14:textId="32ABA55E" w:rsidR="007E6803" w:rsidRDefault="007E6803">
      <w:pPr>
        <w:rPr>
          <w:rFonts w:ascii="Arial" w:hAnsi="Arial" w:cs="Arial"/>
          <w:bCs/>
          <w:lang w:val="en-US"/>
        </w:rPr>
      </w:pPr>
      <w:r>
        <w:rPr>
          <w:rFonts w:ascii="Arial" w:hAnsi="Arial" w:cs="Arial"/>
          <w:bCs/>
          <w:lang w:val="en-US"/>
        </w:rPr>
        <w:br w:type="page"/>
      </w:r>
    </w:p>
    <w:p w14:paraId="7DF3E46E" w14:textId="63662BCC" w:rsidR="007E6803" w:rsidRDefault="007E6803" w:rsidP="00A75241">
      <w:pPr>
        <w:spacing w:after="0" w:line="480" w:lineRule="auto"/>
        <w:jc w:val="both"/>
        <w:rPr>
          <w:rFonts w:ascii="Arial" w:hAnsi="Arial" w:cs="Arial"/>
          <w:b/>
          <w:sz w:val="32"/>
          <w:szCs w:val="32"/>
          <w:lang w:val="en-US"/>
        </w:rPr>
      </w:pPr>
      <w:r w:rsidRPr="007E6803">
        <w:rPr>
          <w:rFonts w:ascii="Arial" w:hAnsi="Arial" w:cs="Arial"/>
          <w:b/>
          <w:sz w:val="32"/>
          <w:szCs w:val="32"/>
          <w:lang w:val="en-US"/>
        </w:rPr>
        <w:lastRenderedPageBreak/>
        <w:t>Supplementary Table</w:t>
      </w:r>
    </w:p>
    <w:p w14:paraId="6D71BDFE" w14:textId="4091AE29" w:rsidR="007E6803" w:rsidRDefault="007E6803" w:rsidP="00A75241">
      <w:pPr>
        <w:spacing w:after="0"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Supplementary Table 1 </w:t>
      </w:r>
      <w:r w:rsidRPr="007E6803">
        <w:rPr>
          <w:rFonts w:ascii="Arial" w:hAnsi="Arial" w:cs="Arial"/>
          <w:bCs/>
          <w:sz w:val="20"/>
          <w:szCs w:val="20"/>
          <w:lang w:val="en-US"/>
        </w:rPr>
        <w:t>Abbreviations used in the manu</w:t>
      </w:r>
      <w:r>
        <w:rPr>
          <w:rFonts w:ascii="Arial" w:hAnsi="Arial" w:cs="Arial"/>
          <w:bCs/>
          <w:sz w:val="20"/>
          <w:szCs w:val="20"/>
          <w:lang w:val="en-US"/>
        </w:rPr>
        <w:t>s</w:t>
      </w:r>
      <w:r w:rsidRPr="007E6803">
        <w:rPr>
          <w:rFonts w:ascii="Arial" w:hAnsi="Arial" w:cs="Arial"/>
          <w:bCs/>
          <w:sz w:val="20"/>
          <w:szCs w:val="20"/>
          <w:lang w:val="en-US"/>
        </w:rPr>
        <w:t>cript</w:t>
      </w:r>
    </w:p>
    <w:p w14:paraId="0875E2A7" w14:textId="77777777" w:rsidR="003A3ED5" w:rsidRPr="00EC4049" w:rsidRDefault="003A3ED5" w:rsidP="003A3ED5">
      <w:pPr>
        <w:rPr>
          <w:lang w:val="en-US"/>
        </w:rPr>
      </w:pPr>
    </w:p>
    <w:tbl>
      <w:tblPr>
        <w:tblStyle w:val="TableGrid"/>
        <w:tblW w:w="8080" w:type="dxa"/>
        <w:tblLook w:val="04A0" w:firstRow="1" w:lastRow="0" w:firstColumn="1" w:lastColumn="0" w:noHBand="0" w:noVBand="1"/>
      </w:tblPr>
      <w:tblGrid>
        <w:gridCol w:w="2219"/>
        <w:gridCol w:w="5861"/>
      </w:tblGrid>
      <w:tr w:rsidR="003A3ED5" w:rsidRPr="00C5192F" w14:paraId="3B897703" w14:textId="77777777" w:rsidTr="002E3D30">
        <w:trPr>
          <w:trHeight w:val="375"/>
        </w:trPr>
        <w:tc>
          <w:tcPr>
            <w:tcW w:w="2219" w:type="dxa"/>
            <w:noWrap/>
            <w:hideMark/>
          </w:tcPr>
          <w:p w14:paraId="2D84E5E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15d-PGJ2</w:t>
            </w:r>
          </w:p>
        </w:tc>
        <w:tc>
          <w:tcPr>
            <w:tcW w:w="5861" w:type="dxa"/>
            <w:noWrap/>
            <w:hideMark/>
          </w:tcPr>
          <w:p w14:paraId="5E74A276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15-deoxy-</w:t>
            </w:r>
            <w:r w:rsidRPr="00C5192F">
              <w:rPr>
                <w:rFonts w:ascii="Calibri" w:eastAsia="Times New Roman" w:hAnsi="Calibri" w:cs="Calibri"/>
                <w:color w:val="000000"/>
                <w:lang w:eastAsia="de-DE"/>
              </w:rPr>
              <w:t>∆</w:t>
            </w: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12,14-prostaglandin J</w:t>
            </w:r>
            <w:r w:rsidRPr="00C5192F">
              <w:rPr>
                <w:rFonts w:ascii="Arial" w:eastAsia="Times New Roman" w:hAnsi="Arial" w:cs="Arial"/>
                <w:color w:val="000000"/>
                <w:vertAlign w:val="subscript"/>
                <w:lang w:eastAsia="de-DE"/>
              </w:rPr>
              <w:t>2</w:t>
            </w:r>
          </w:p>
        </w:tc>
      </w:tr>
      <w:tr w:rsidR="003A3ED5" w:rsidRPr="00FD1097" w14:paraId="29F17816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23A78861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3G</w:t>
            </w:r>
          </w:p>
        </w:tc>
        <w:tc>
          <w:tcPr>
            <w:tcW w:w="5861" w:type="dxa"/>
            <w:noWrap/>
            <w:hideMark/>
          </w:tcPr>
          <w:p w14:paraId="6D27C65B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>3rd generation of the promoter</w:t>
            </w:r>
          </w:p>
        </w:tc>
      </w:tr>
      <w:tr w:rsidR="003A3ED5" w:rsidRPr="00C5192F" w14:paraId="59B78FAB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2F98B48B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7-AAD</w:t>
            </w:r>
          </w:p>
        </w:tc>
        <w:tc>
          <w:tcPr>
            <w:tcW w:w="5861" w:type="dxa"/>
            <w:noWrap/>
            <w:hideMark/>
          </w:tcPr>
          <w:p w14:paraId="1052F61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7-aminoactinomycin D</w:t>
            </w:r>
          </w:p>
        </w:tc>
      </w:tr>
      <w:tr w:rsidR="003A3ED5" w:rsidRPr="00C5192F" w14:paraId="2369B6E0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720F7F9D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</w:t>
            </w:r>
          </w:p>
        </w:tc>
        <w:tc>
          <w:tcPr>
            <w:tcW w:w="5861" w:type="dxa"/>
            <w:noWrap/>
            <w:hideMark/>
          </w:tcPr>
          <w:p w14:paraId="579FAAD6" w14:textId="0CB4A7E8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rea</w:t>
            </w:r>
          </w:p>
        </w:tc>
      </w:tr>
      <w:tr w:rsidR="003A3ED5" w:rsidRPr="00C5192F" w14:paraId="3D9FE0A7" w14:textId="77777777" w:rsidTr="002E3D30">
        <w:trPr>
          <w:trHeight w:val="300"/>
        </w:trPr>
        <w:tc>
          <w:tcPr>
            <w:tcW w:w="2219" w:type="dxa"/>
            <w:noWrap/>
            <w:hideMark/>
          </w:tcPr>
          <w:p w14:paraId="29996EC4" w14:textId="0E126D71" w:rsidR="003A3ED5" w:rsidRPr="00C5192F" w:rsidRDefault="003A3ED5" w:rsidP="002E3D30">
            <w:pPr>
              <w:rPr>
                <w:rFonts w:ascii="Symbol" w:eastAsia="Times New Roman" w:hAnsi="Symbol" w:cs="Calibri"/>
                <w:color w:val="00000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lang w:eastAsia="de-DE"/>
              </w:rPr>
              <w:t>α</w:t>
            </w:r>
          </w:p>
        </w:tc>
        <w:tc>
          <w:tcPr>
            <w:tcW w:w="5861" w:type="dxa"/>
            <w:noWrap/>
            <w:hideMark/>
          </w:tcPr>
          <w:p w14:paraId="7E3B224D" w14:textId="7845B461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nti</w:t>
            </w:r>
          </w:p>
        </w:tc>
      </w:tr>
      <w:tr w:rsidR="003A3ED5" w:rsidRPr="00C5192F" w14:paraId="06A41EF4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97A4A19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ab</w:t>
            </w:r>
          </w:p>
        </w:tc>
        <w:tc>
          <w:tcPr>
            <w:tcW w:w="5861" w:type="dxa"/>
            <w:noWrap/>
            <w:hideMark/>
          </w:tcPr>
          <w:p w14:paraId="23797C59" w14:textId="3CB7F6D0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ntibody</w:t>
            </w:r>
          </w:p>
        </w:tc>
      </w:tr>
      <w:tr w:rsidR="003A3ED5" w:rsidRPr="00C5192F" w14:paraId="68669961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6144281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AF</w:t>
            </w:r>
          </w:p>
        </w:tc>
        <w:tc>
          <w:tcPr>
            <w:tcW w:w="5861" w:type="dxa"/>
            <w:noWrap/>
            <w:hideMark/>
          </w:tcPr>
          <w:p w14:paraId="0EC2F611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activation function</w:t>
            </w:r>
          </w:p>
        </w:tc>
      </w:tr>
      <w:tr w:rsidR="003A3ED5" w:rsidRPr="00C5192F" w14:paraId="13FFEC4F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431708B6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AF750</w:t>
            </w:r>
          </w:p>
        </w:tc>
        <w:tc>
          <w:tcPr>
            <w:tcW w:w="5861" w:type="dxa"/>
            <w:noWrap/>
            <w:hideMark/>
          </w:tcPr>
          <w:p w14:paraId="65B60C3A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AlexaFluor750</w:t>
            </w:r>
          </w:p>
        </w:tc>
      </w:tr>
      <w:tr w:rsidR="003A3ED5" w:rsidRPr="00C5192F" w14:paraId="521454C0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C194101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ALI</w:t>
            </w:r>
          </w:p>
        </w:tc>
        <w:tc>
          <w:tcPr>
            <w:tcW w:w="5861" w:type="dxa"/>
            <w:noWrap/>
            <w:hideMark/>
          </w:tcPr>
          <w:p w14:paraId="4FDFA6F1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acute lung injury</w:t>
            </w:r>
          </w:p>
        </w:tc>
      </w:tr>
      <w:tr w:rsidR="003A3ED5" w:rsidRPr="00C5192F" w14:paraId="4C50F045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7104247C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A-Ox</w:t>
            </w:r>
          </w:p>
        </w:tc>
        <w:tc>
          <w:tcPr>
            <w:tcW w:w="5861" w:type="dxa"/>
            <w:noWrap/>
            <w:hideMark/>
          </w:tcPr>
          <w:p w14:paraId="46F8A7FA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acyl coenzym A oxidase</w:t>
            </w:r>
          </w:p>
        </w:tc>
      </w:tr>
      <w:tr w:rsidR="003A3ED5" w:rsidRPr="00C5192F" w14:paraId="7B598F14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81E67B9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APC</w:t>
            </w:r>
          </w:p>
        </w:tc>
        <w:tc>
          <w:tcPr>
            <w:tcW w:w="5861" w:type="dxa"/>
            <w:noWrap/>
            <w:hideMark/>
          </w:tcPr>
          <w:p w14:paraId="217E0A30" w14:textId="0BDD4176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llophycocyanin</w:t>
            </w:r>
          </w:p>
        </w:tc>
      </w:tr>
      <w:tr w:rsidR="003A3ED5" w:rsidRPr="00C5192F" w14:paraId="42B2B425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5D2E296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ATCC</w:t>
            </w:r>
          </w:p>
        </w:tc>
        <w:tc>
          <w:tcPr>
            <w:tcW w:w="5861" w:type="dxa"/>
            <w:noWrap/>
            <w:hideMark/>
          </w:tcPr>
          <w:p w14:paraId="764B52C1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American Type Culture Collection</w:t>
            </w:r>
          </w:p>
        </w:tc>
      </w:tr>
      <w:tr w:rsidR="003A3ED5" w:rsidRPr="00C5192F" w14:paraId="4FC4D115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CB5B6FF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BD</w:t>
            </w:r>
          </w:p>
        </w:tc>
        <w:tc>
          <w:tcPr>
            <w:tcW w:w="5861" w:type="dxa"/>
            <w:noWrap/>
            <w:hideMark/>
          </w:tcPr>
          <w:p w14:paraId="423A406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Becton Dickinson</w:t>
            </w:r>
          </w:p>
        </w:tc>
      </w:tr>
      <w:tr w:rsidR="003A3ED5" w:rsidRPr="00C5192F" w14:paraId="46F0677D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4C95F888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bp</w:t>
            </w:r>
          </w:p>
        </w:tc>
        <w:tc>
          <w:tcPr>
            <w:tcW w:w="5861" w:type="dxa"/>
            <w:noWrap/>
            <w:hideMark/>
          </w:tcPr>
          <w:p w14:paraId="306C547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base pair(s)</w:t>
            </w:r>
          </w:p>
        </w:tc>
      </w:tr>
      <w:tr w:rsidR="003A3ED5" w:rsidRPr="00C5192F" w14:paraId="17B0140A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0FBF0A98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CD</w:t>
            </w:r>
          </w:p>
        </w:tc>
        <w:tc>
          <w:tcPr>
            <w:tcW w:w="5861" w:type="dxa"/>
            <w:noWrap/>
            <w:hideMark/>
          </w:tcPr>
          <w:p w14:paraId="2F06171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cluster of differentiation</w:t>
            </w:r>
          </w:p>
        </w:tc>
      </w:tr>
      <w:tr w:rsidR="003A3ED5" w:rsidRPr="00C5192F" w14:paraId="27FE4158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8FD78D5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CLP</w:t>
            </w:r>
          </w:p>
        </w:tc>
        <w:tc>
          <w:tcPr>
            <w:tcW w:w="5861" w:type="dxa"/>
            <w:noWrap/>
            <w:hideMark/>
          </w:tcPr>
          <w:p w14:paraId="0F115BDF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cecal ligation and puncture</w:t>
            </w:r>
          </w:p>
        </w:tc>
      </w:tr>
      <w:tr w:rsidR="003A3ED5" w:rsidRPr="00C5192F" w14:paraId="75B3CCC6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601DA3CF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CMV</w:t>
            </w:r>
          </w:p>
        </w:tc>
        <w:tc>
          <w:tcPr>
            <w:tcW w:w="5861" w:type="dxa"/>
            <w:noWrap/>
            <w:hideMark/>
          </w:tcPr>
          <w:p w14:paraId="6C222A0B" w14:textId="217E57F8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ytomegalovirus</w:t>
            </w:r>
          </w:p>
        </w:tc>
      </w:tr>
      <w:tr w:rsidR="003A3ED5" w:rsidRPr="00C5192F" w14:paraId="2D503C26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0DC3AD9C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COVID</w:t>
            </w:r>
          </w:p>
        </w:tc>
        <w:tc>
          <w:tcPr>
            <w:tcW w:w="5861" w:type="dxa"/>
            <w:noWrap/>
            <w:hideMark/>
          </w:tcPr>
          <w:p w14:paraId="26E7FFE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coronavirus disease</w:t>
            </w:r>
          </w:p>
        </w:tc>
      </w:tr>
      <w:tr w:rsidR="003A3ED5" w:rsidRPr="00C5192F" w14:paraId="74E9871E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7A20365F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COPD</w:t>
            </w:r>
          </w:p>
        </w:tc>
        <w:tc>
          <w:tcPr>
            <w:tcW w:w="5861" w:type="dxa"/>
            <w:noWrap/>
            <w:hideMark/>
          </w:tcPr>
          <w:p w14:paraId="40D2E009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chronic obstructive pulmonary disease</w:t>
            </w:r>
          </w:p>
        </w:tc>
      </w:tr>
      <w:tr w:rsidR="003A3ED5" w:rsidRPr="00C5192F" w14:paraId="1A129A73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DF17F89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CP</w:t>
            </w:r>
          </w:p>
        </w:tc>
        <w:tc>
          <w:tcPr>
            <w:tcW w:w="5861" w:type="dxa"/>
            <w:noWrap/>
            <w:hideMark/>
          </w:tcPr>
          <w:p w14:paraId="74B68B80" w14:textId="6121AC30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ompetition</w:t>
            </w:r>
          </w:p>
        </w:tc>
      </w:tr>
      <w:tr w:rsidR="003A3ED5" w:rsidRPr="00C5192F" w14:paraId="188B8FCA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6BBE57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CPM</w:t>
            </w:r>
          </w:p>
        </w:tc>
        <w:tc>
          <w:tcPr>
            <w:tcW w:w="5861" w:type="dxa"/>
            <w:noWrap/>
            <w:hideMark/>
          </w:tcPr>
          <w:p w14:paraId="015E450C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counts per million</w:t>
            </w:r>
          </w:p>
        </w:tc>
      </w:tr>
      <w:tr w:rsidR="003A3ED5" w:rsidRPr="00C5192F" w14:paraId="15FD1921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D17F53A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CRP</w:t>
            </w:r>
          </w:p>
        </w:tc>
        <w:tc>
          <w:tcPr>
            <w:tcW w:w="5861" w:type="dxa"/>
            <w:noWrap/>
            <w:hideMark/>
          </w:tcPr>
          <w:p w14:paraId="5B2783EE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c-reactive protein</w:t>
            </w:r>
          </w:p>
        </w:tc>
      </w:tr>
      <w:tr w:rsidR="003A3ED5" w:rsidRPr="00FD1097" w14:paraId="3E44D639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29B9CE66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CRTH2</w:t>
            </w:r>
          </w:p>
        </w:tc>
        <w:tc>
          <w:tcPr>
            <w:tcW w:w="5861" w:type="dxa"/>
            <w:noWrap/>
            <w:hideMark/>
          </w:tcPr>
          <w:p w14:paraId="582FD680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>chemoattractant receptor-homologous molecule expressed on T helper type 2 cells</w:t>
            </w:r>
          </w:p>
        </w:tc>
      </w:tr>
      <w:tr w:rsidR="003A3ED5" w:rsidRPr="00C5192F" w14:paraId="11607E5D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71DB2DDC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CTL</w:t>
            </w:r>
          </w:p>
        </w:tc>
        <w:tc>
          <w:tcPr>
            <w:tcW w:w="5861" w:type="dxa"/>
            <w:noWrap/>
            <w:hideMark/>
          </w:tcPr>
          <w:p w14:paraId="007B330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cytotoxic T cells</w:t>
            </w:r>
          </w:p>
        </w:tc>
      </w:tr>
      <w:tr w:rsidR="003A3ED5" w:rsidRPr="00C5192F" w14:paraId="7318C3DF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DDC76D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D</w:t>
            </w:r>
          </w:p>
        </w:tc>
        <w:tc>
          <w:tcPr>
            <w:tcW w:w="5861" w:type="dxa"/>
            <w:noWrap/>
            <w:hideMark/>
          </w:tcPr>
          <w:p w14:paraId="4DC7551B" w14:textId="6216964E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D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eceased</w:t>
            </w:r>
          </w:p>
        </w:tc>
      </w:tr>
      <w:tr w:rsidR="003A3ED5" w:rsidRPr="00C5192F" w14:paraId="79A81535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181F44C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d</w:t>
            </w:r>
          </w:p>
        </w:tc>
        <w:tc>
          <w:tcPr>
            <w:tcW w:w="5861" w:type="dxa"/>
            <w:noWrap/>
            <w:hideMark/>
          </w:tcPr>
          <w:p w14:paraId="029DC556" w14:textId="31C57A17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D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ays</w:t>
            </w:r>
          </w:p>
        </w:tc>
      </w:tr>
      <w:tr w:rsidR="003A3ED5" w:rsidRPr="00C5192F" w14:paraId="46F6D868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40428F76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d/n</w:t>
            </w:r>
          </w:p>
        </w:tc>
        <w:tc>
          <w:tcPr>
            <w:tcW w:w="5861" w:type="dxa"/>
            <w:noWrap/>
            <w:hideMark/>
          </w:tcPr>
          <w:p w14:paraId="5486805A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 xml:space="preserve">dominant negative </w:t>
            </w:r>
          </w:p>
        </w:tc>
      </w:tr>
      <w:tr w:rsidR="003A3ED5" w:rsidRPr="00C5192F" w14:paraId="21F94959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06D8F436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DAMP</w:t>
            </w:r>
          </w:p>
        </w:tc>
        <w:tc>
          <w:tcPr>
            <w:tcW w:w="5861" w:type="dxa"/>
            <w:noWrap/>
            <w:hideMark/>
          </w:tcPr>
          <w:p w14:paraId="4C1D7AB5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damage-assocoated molecular pattern</w:t>
            </w:r>
          </w:p>
        </w:tc>
      </w:tr>
      <w:tr w:rsidR="003A3ED5" w:rsidRPr="00C5192F" w14:paraId="4E710F8F" w14:textId="77777777" w:rsidTr="002E3D30">
        <w:trPr>
          <w:trHeight w:val="375"/>
        </w:trPr>
        <w:tc>
          <w:tcPr>
            <w:tcW w:w="2219" w:type="dxa"/>
            <w:noWrap/>
            <w:hideMark/>
          </w:tcPr>
          <w:p w14:paraId="737F9BC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DK-PGD</w:t>
            </w:r>
            <w:r w:rsidRPr="00C5192F">
              <w:rPr>
                <w:rFonts w:ascii="Arial" w:eastAsia="Times New Roman" w:hAnsi="Arial" w:cs="Arial"/>
                <w:color w:val="000000"/>
                <w:vertAlign w:val="subscript"/>
                <w:lang w:eastAsia="de-DE"/>
              </w:rPr>
              <w:t>2</w:t>
            </w:r>
          </w:p>
        </w:tc>
        <w:tc>
          <w:tcPr>
            <w:tcW w:w="5861" w:type="dxa"/>
            <w:noWrap/>
            <w:hideMark/>
          </w:tcPr>
          <w:p w14:paraId="0187B680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13,14-dihydro-15-keto-PGD</w:t>
            </w:r>
            <w:r w:rsidRPr="00C5192F">
              <w:rPr>
                <w:rFonts w:ascii="Arial" w:eastAsia="Times New Roman" w:hAnsi="Arial" w:cs="Arial"/>
                <w:color w:val="000000"/>
                <w:vertAlign w:val="subscript"/>
                <w:lang w:eastAsia="de-DE"/>
              </w:rPr>
              <w:t>2</w:t>
            </w:r>
          </w:p>
        </w:tc>
      </w:tr>
      <w:tr w:rsidR="003A3ED5" w:rsidRPr="00FD1097" w14:paraId="092481E0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626ED09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DMEM</w:t>
            </w:r>
          </w:p>
        </w:tc>
        <w:tc>
          <w:tcPr>
            <w:tcW w:w="5861" w:type="dxa"/>
            <w:noWrap/>
            <w:hideMark/>
          </w:tcPr>
          <w:p w14:paraId="50452EE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>Dulbecco´s modified eagle medium</w:t>
            </w:r>
          </w:p>
        </w:tc>
      </w:tr>
      <w:tr w:rsidR="003A3ED5" w:rsidRPr="00FD1097" w14:paraId="50B5FF3E" w14:textId="77777777" w:rsidTr="002E3D30">
        <w:trPr>
          <w:trHeight w:val="330"/>
        </w:trPr>
        <w:tc>
          <w:tcPr>
            <w:tcW w:w="2219" w:type="dxa"/>
            <w:noWrap/>
            <w:hideMark/>
          </w:tcPr>
          <w:p w14:paraId="589725D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DPBS</w:t>
            </w:r>
          </w:p>
        </w:tc>
        <w:tc>
          <w:tcPr>
            <w:tcW w:w="5861" w:type="dxa"/>
            <w:noWrap/>
            <w:hideMark/>
          </w:tcPr>
          <w:p w14:paraId="3992D30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>Dulbecco´s phosphate-buffered saline without Ca</w:t>
            </w:r>
            <w:r w:rsidRPr="00C5192F">
              <w:rPr>
                <w:rFonts w:ascii="Arial" w:eastAsia="Times New Roman" w:hAnsi="Arial" w:cs="Arial"/>
                <w:color w:val="000000"/>
                <w:vertAlign w:val="superscript"/>
                <w:lang w:val="en-US" w:eastAsia="de-DE"/>
              </w:rPr>
              <w:t>2+</w:t>
            </w: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>/Mg</w:t>
            </w:r>
            <w:r w:rsidRPr="00C5192F">
              <w:rPr>
                <w:rFonts w:ascii="Arial" w:eastAsia="Times New Roman" w:hAnsi="Arial" w:cs="Arial"/>
                <w:color w:val="000000"/>
                <w:vertAlign w:val="superscript"/>
                <w:lang w:val="en-US" w:eastAsia="de-DE"/>
              </w:rPr>
              <w:t>2+</w:t>
            </w:r>
          </w:p>
        </w:tc>
      </w:tr>
      <w:tr w:rsidR="003A3ED5" w:rsidRPr="00FD1097" w14:paraId="377A3DDE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710DCF9A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DSMZ</w:t>
            </w:r>
          </w:p>
        </w:tc>
        <w:tc>
          <w:tcPr>
            <w:tcW w:w="5861" w:type="dxa"/>
            <w:noWrap/>
            <w:hideMark/>
          </w:tcPr>
          <w:p w14:paraId="39E23E3B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>German Collection of Microorganisms and Cell Cultures GmbH</w:t>
            </w:r>
          </w:p>
        </w:tc>
      </w:tr>
      <w:tr w:rsidR="003A3ED5" w:rsidRPr="00C5192F" w14:paraId="5FAC91CF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67A43EB8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E</w:t>
            </w:r>
          </w:p>
        </w:tc>
        <w:tc>
          <w:tcPr>
            <w:tcW w:w="5861" w:type="dxa"/>
            <w:noWrap/>
            <w:hideMark/>
          </w:tcPr>
          <w:p w14:paraId="2307073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extracorporeal membrane oxygenation</w:t>
            </w:r>
          </w:p>
        </w:tc>
      </w:tr>
      <w:tr w:rsidR="003A3ED5" w:rsidRPr="00C5192F" w14:paraId="322B5BD3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7A62A151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ECMO</w:t>
            </w:r>
          </w:p>
        </w:tc>
        <w:tc>
          <w:tcPr>
            <w:tcW w:w="5861" w:type="dxa"/>
            <w:noWrap/>
            <w:hideMark/>
          </w:tcPr>
          <w:p w14:paraId="34D3889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extracorporeal membrane oxygenation</w:t>
            </w:r>
          </w:p>
        </w:tc>
      </w:tr>
      <w:tr w:rsidR="003A3ED5" w:rsidRPr="00C5192F" w14:paraId="1A45CC1A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446E811F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EGFP</w:t>
            </w:r>
          </w:p>
        </w:tc>
        <w:tc>
          <w:tcPr>
            <w:tcW w:w="5861" w:type="dxa"/>
            <w:noWrap/>
            <w:hideMark/>
          </w:tcPr>
          <w:p w14:paraId="5E5C6970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enhanced green fluorescent protein</w:t>
            </w:r>
          </w:p>
        </w:tc>
      </w:tr>
      <w:tr w:rsidR="003A3ED5" w:rsidRPr="00C5192F" w14:paraId="6EDFB59B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02B3AFD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ENSG…ID</w:t>
            </w:r>
          </w:p>
        </w:tc>
        <w:tc>
          <w:tcPr>
            <w:tcW w:w="5861" w:type="dxa"/>
            <w:noWrap/>
            <w:hideMark/>
          </w:tcPr>
          <w:p w14:paraId="426D1C3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gene anotation in Ensembl</w:t>
            </w:r>
          </w:p>
        </w:tc>
      </w:tr>
      <w:tr w:rsidR="003A3ED5" w:rsidRPr="00C5192F" w14:paraId="3E49DA28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1746ED6D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</w:t>
            </w:r>
          </w:p>
        </w:tc>
        <w:tc>
          <w:tcPr>
            <w:tcW w:w="5861" w:type="dxa"/>
            <w:noWrap/>
            <w:hideMark/>
          </w:tcPr>
          <w:p w14:paraId="170F3AA7" w14:textId="3EB7893C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emale</w:t>
            </w:r>
          </w:p>
        </w:tc>
      </w:tr>
      <w:tr w:rsidR="003A3ED5" w:rsidRPr="00C5192F" w14:paraId="1C58B63E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24300EE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FACS</w:t>
            </w:r>
          </w:p>
        </w:tc>
        <w:tc>
          <w:tcPr>
            <w:tcW w:w="5861" w:type="dxa"/>
            <w:noWrap/>
            <w:hideMark/>
          </w:tcPr>
          <w:p w14:paraId="4F87807A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fluorescent cell sorting</w:t>
            </w:r>
          </w:p>
        </w:tc>
      </w:tr>
      <w:tr w:rsidR="003A3ED5" w:rsidRPr="00C5192F" w14:paraId="2A4764BE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12542DE9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FastQC</w:t>
            </w:r>
          </w:p>
        </w:tc>
        <w:tc>
          <w:tcPr>
            <w:tcW w:w="5861" w:type="dxa"/>
            <w:noWrap/>
            <w:hideMark/>
          </w:tcPr>
          <w:p w14:paraId="4271FEC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fast quality control (software)</w:t>
            </w:r>
          </w:p>
        </w:tc>
      </w:tr>
      <w:tr w:rsidR="003A3ED5" w:rsidRPr="00C5192F" w14:paraId="394257A5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0FF0A811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FCS</w:t>
            </w:r>
          </w:p>
        </w:tc>
        <w:tc>
          <w:tcPr>
            <w:tcW w:w="5861" w:type="dxa"/>
            <w:noWrap/>
            <w:hideMark/>
          </w:tcPr>
          <w:p w14:paraId="1E6C3BE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fetal calf serum</w:t>
            </w:r>
          </w:p>
        </w:tc>
      </w:tr>
      <w:tr w:rsidR="003A3ED5" w:rsidRPr="00C5192F" w14:paraId="674AEA1A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41292929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lastRenderedPageBreak/>
              <w:t>FDR</w:t>
            </w:r>
          </w:p>
        </w:tc>
        <w:tc>
          <w:tcPr>
            <w:tcW w:w="5861" w:type="dxa"/>
            <w:noWrap/>
            <w:hideMark/>
          </w:tcPr>
          <w:p w14:paraId="631CEA0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false discovery rate</w:t>
            </w:r>
          </w:p>
        </w:tc>
      </w:tr>
      <w:tr w:rsidR="003A3ED5" w:rsidRPr="00C5192F" w14:paraId="4CD18A2D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4003E64D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FITC</w:t>
            </w:r>
          </w:p>
        </w:tc>
        <w:tc>
          <w:tcPr>
            <w:tcW w:w="5861" w:type="dxa"/>
            <w:noWrap/>
            <w:hideMark/>
          </w:tcPr>
          <w:p w14:paraId="70A6DF4D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fluorescein-isothiocyanate</w:t>
            </w:r>
          </w:p>
        </w:tc>
      </w:tr>
      <w:tr w:rsidR="003A3ED5" w:rsidRPr="00C5192F" w14:paraId="6F010742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1DAECE45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FL</w:t>
            </w:r>
          </w:p>
        </w:tc>
        <w:tc>
          <w:tcPr>
            <w:tcW w:w="5861" w:type="dxa"/>
            <w:noWrap/>
            <w:hideMark/>
          </w:tcPr>
          <w:p w14:paraId="562BF27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firefly luciferase</w:t>
            </w:r>
          </w:p>
        </w:tc>
      </w:tr>
      <w:tr w:rsidR="003A3ED5" w:rsidRPr="00C5192F" w14:paraId="30879E5F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158054E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FoxP3</w:t>
            </w:r>
          </w:p>
        </w:tc>
        <w:tc>
          <w:tcPr>
            <w:tcW w:w="5861" w:type="dxa"/>
            <w:noWrap/>
            <w:hideMark/>
          </w:tcPr>
          <w:p w14:paraId="774516C6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forkhead box protein P3</w:t>
            </w:r>
          </w:p>
        </w:tc>
      </w:tr>
      <w:tr w:rsidR="003A3ED5" w:rsidRPr="00C5192F" w14:paraId="6E83C235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DD3607A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FSC</w:t>
            </w:r>
          </w:p>
        </w:tc>
        <w:tc>
          <w:tcPr>
            <w:tcW w:w="5861" w:type="dxa"/>
            <w:noWrap/>
            <w:hideMark/>
          </w:tcPr>
          <w:p w14:paraId="11290A7B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forward scatter</w:t>
            </w:r>
          </w:p>
        </w:tc>
      </w:tr>
      <w:tr w:rsidR="003A3ED5" w:rsidRPr="00C5192F" w14:paraId="340AF321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4FBE6DEE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GW9662</w:t>
            </w:r>
          </w:p>
        </w:tc>
        <w:tc>
          <w:tcPr>
            <w:tcW w:w="5861" w:type="dxa"/>
            <w:noWrap/>
            <w:hideMark/>
          </w:tcPr>
          <w:p w14:paraId="578C14E8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2-chloro-5-nitro-N-phenylbenzamide</w:t>
            </w:r>
          </w:p>
        </w:tc>
      </w:tr>
      <w:tr w:rsidR="003A3ED5" w:rsidRPr="00C5192F" w14:paraId="1B43FC3C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231E139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HD</w:t>
            </w:r>
          </w:p>
        </w:tc>
        <w:tc>
          <w:tcPr>
            <w:tcW w:w="5861" w:type="dxa"/>
            <w:noWrap/>
            <w:hideMark/>
          </w:tcPr>
          <w:p w14:paraId="53E1DF65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healthy donors</w:t>
            </w:r>
          </w:p>
        </w:tc>
      </w:tr>
      <w:tr w:rsidR="003A3ED5" w:rsidRPr="00C5192F" w14:paraId="6A1DB055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1A305BC5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HEK</w:t>
            </w:r>
          </w:p>
        </w:tc>
        <w:tc>
          <w:tcPr>
            <w:tcW w:w="5861" w:type="dxa"/>
            <w:noWrap/>
            <w:hideMark/>
          </w:tcPr>
          <w:p w14:paraId="4C3D637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human epithelial kidney</w:t>
            </w:r>
          </w:p>
        </w:tc>
      </w:tr>
      <w:tr w:rsidR="003A3ED5" w:rsidRPr="00C5192F" w14:paraId="0F2C75BC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1002A07F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HGNC</w:t>
            </w:r>
          </w:p>
        </w:tc>
        <w:tc>
          <w:tcPr>
            <w:tcW w:w="5861" w:type="dxa"/>
            <w:noWrap/>
            <w:hideMark/>
          </w:tcPr>
          <w:p w14:paraId="4FD3E60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HUGO Gene Nomenclature Committee</w:t>
            </w:r>
          </w:p>
        </w:tc>
      </w:tr>
      <w:tr w:rsidR="003A3ED5" w:rsidRPr="00C5192F" w14:paraId="1D1BB52B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7AD62F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Hifi</w:t>
            </w:r>
          </w:p>
        </w:tc>
        <w:tc>
          <w:tcPr>
            <w:tcW w:w="5861" w:type="dxa"/>
            <w:noWrap/>
            <w:hideMark/>
          </w:tcPr>
          <w:p w14:paraId="11B9B9DB" w14:textId="25D3642A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H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ifidelity</w:t>
            </w:r>
          </w:p>
        </w:tc>
      </w:tr>
      <w:tr w:rsidR="003A3ED5" w:rsidRPr="00FD1097" w14:paraId="7C198898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4B01E559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HMGB1</w:t>
            </w:r>
          </w:p>
        </w:tc>
        <w:tc>
          <w:tcPr>
            <w:tcW w:w="5861" w:type="dxa"/>
            <w:noWrap/>
            <w:hideMark/>
          </w:tcPr>
          <w:p w14:paraId="22C8600D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>high mobility group protein B1</w:t>
            </w:r>
          </w:p>
        </w:tc>
      </w:tr>
      <w:tr w:rsidR="003A3ED5" w:rsidRPr="00C5192F" w14:paraId="1D1D78E7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7A9A200F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ICU</w:t>
            </w:r>
          </w:p>
        </w:tc>
        <w:tc>
          <w:tcPr>
            <w:tcW w:w="5861" w:type="dxa"/>
            <w:noWrap/>
            <w:hideMark/>
          </w:tcPr>
          <w:p w14:paraId="05CCCE9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intensive care unit</w:t>
            </w:r>
          </w:p>
        </w:tc>
      </w:tr>
      <w:tr w:rsidR="003A3ED5" w:rsidRPr="00C5192F" w14:paraId="56FF971C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0EB402CC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ID</w:t>
            </w:r>
          </w:p>
        </w:tc>
        <w:tc>
          <w:tcPr>
            <w:tcW w:w="5861" w:type="dxa"/>
            <w:noWrap/>
            <w:hideMark/>
          </w:tcPr>
          <w:p w14:paraId="2ADC0D86" w14:textId="24E0ED54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I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dentifier</w:t>
            </w:r>
          </w:p>
        </w:tc>
      </w:tr>
      <w:tr w:rsidR="003A3ED5" w:rsidRPr="00C5192F" w14:paraId="4061CCCB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2654E750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IFN-g</w:t>
            </w:r>
          </w:p>
        </w:tc>
        <w:tc>
          <w:tcPr>
            <w:tcW w:w="5861" w:type="dxa"/>
            <w:noWrap/>
            <w:hideMark/>
          </w:tcPr>
          <w:p w14:paraId="223AAF3F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interferon-gamma</w:t>
            </w:r>
          </w:p>
        </w:tc>
      </w:tr>
      <w:tr w:rsidR="003A3ED5" w:rsidRPr="00C5192F" w14:paraId="1C3F126A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02FA5779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IL</w:t>
            </w:r>
          </w:p>
        </w:tc>
        <w:tc>
          <w:tcPr>
            <w:tcW w:w="5861" w:type="dxa"/>
            <w:noWrap/>
            <w:hideMark/>
          </w:tcPr>
          <w:p w14:paraId="58FA7A9F" w14:textId="0FBC430C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I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nterleukin</w:t>
            </w:r>
          </w:p>
        </w:tc>
      </w:tr>
      <w:tr w:rsidR="003A3ED5" w:rsidRPr="00C5192F" w14:paraId="794A28EF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AB21F29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IHRES</w:t>
            </w:r>
          </w:p>
        </w:tc>
        <w:tc>
          <w:tcPr>
            <w:tcW w:w="5861" w:type="dxa"/>
            <w:noWrap/>
            <w:hideMark/>
          </w:tcPr>
          <w:p w14:paraId="5E6239A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internal ribosomal entry site</w:t>
            </w:r>
          </w:p>
        </w:tc>
      </w:tr>
      <w:tr w:rsidR="003A3ED5" w:rsidRPr="00C5192F" w14:paraId="20A6A134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2D11494B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LDH</w:t>
            </w:r>
          </w:p>
        </w:tc>
        <w:tc>
          <w:tcPr>
            <w:tcW w:w="5861" w:type="dxa"/>
            <w:noWrap/>
            <w:hideMark/>
          </w:tcPr>
          <w:p w14:paraId="0B358E7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lactate dehydrogenase</w:t>
            </w:r>
          </w:p>
        </w:tc>
      </w:tr>
      <w:tr w:rsidR="003A3ED5" w:rsidRPr="00C5192F" w14:paraId="404C7980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383100C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logFC</w:t>
            </w:r>
          </w:p>
        </w:tc>
        <w:tc>
          <w:tcPr>
            <w:tcW w:w="5861" w:type="dxa"/>
            <w:noWrap/>
            <w:hideMark/>
          </w:tcPr>
          <w:p w14:paraId="460B7320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false discovery change</w:t>
            </w:r>
          </w:p>
        </w:tc>
      </w:tr>
      <w:tr w:rsidR="003A3ED5" w:rsidRPr="00C5192F" w14:paraId="045BD536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0DE0C66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LVX</w:t>
            </w:r>
          </w:p>
        </w:tc>
        <w:tc>
          <w:tcPr>
            <w:tcW w:w="5861" w:type="dxa"/>
            <w:noWrap/>
            <w:hideMark/>
          </w:tcPr>
          <w:p w14:paraId="718E8A48" w14:textId="69FA73C7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L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entiviral</w:t>
            </w:r>
          </w:p>
        </w:tc>
      </w:tr>
      <w:tr w:rsidR="003A3ED5" w:rsidRPr="00C5192F" w14:paraId="3DE4BE86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20F1F3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m</w:t>
            </w:r>
          </w:p>
        </w:tc>
        <w:tc>
          <w:tcPr>
            <w:tcW w:w="5861" w:type="dxa"/>
            <w:noWrap/>
            <w:hideMark/>
          </w:tcPr>
          <w:p w14:paraId="292CFCA3" w14:textId="3A0A20FD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M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ale</w:t>
            </w:r>
          </w:p>
        </w:tc>
      </w:tr>
      <w:tr w:rsidR="003A3ED5" w:rsidRPr="00C5192F" w14:paraId="65647350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0B6DF53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MACS</w:t>
            </w:r>
          </w:p>
        </w:tc>
        <w:tc>
          <w:tcPr>
            <w:tcW w:w="5861" w:type="dxa"/>
            <w:noWrap/>
            <w:hideMark/>
          </w:tcPr>
          <w:p w14:paraId="146442D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magnetic cell sorting</w:t>
            </w:r>
          </w:p>
        </w:tc>
      </w:tr>
      <w:tr w:rsidR="003A3ED5" w:rsidRPr="00C5192F" w14:paraId="34B75A4B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9A8BC05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MG132</w:t>
            </w:r>
          </w:p>
        </w:tc>
        <w:tc>
          <w:tcPr>
            <w:tcW w:w="5861" w:type="dxa"/>
            <w:noWrap/>
            <w:hideMark/>
          </w:tcPr>
          <w:p w14:paraId="3942049A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carbobenzoxyl-L-leucyl-L-leucyl-L-leucine</w:t>
            </w:r>
          </w:p>
        </w:tc>
      </w:tr>
      <w:tr w:rsidR="003A3ED5" w:rsidRPr="00C5192F" w14:paraId="5D02D853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790FBA9F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MOF</w:t>
            </w:r>
          </w:p>
        </w:tc>
        <w:tc>
          <w:tcPr>
            <w:tcW w:w="5861" w:type="dxa"/>
            <w:noWrap/>
            <w:hideMark/>
          </w:tcPr>
          <w:p w14:paraId="6B775B9F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multi organ failure</w:t>
            </w:r>
          </w:p>
        </w:tc>
      </w:tr>
      <w:tr w:rsidR="003A3ED5" w:rsidRPr="00FD1097" w14:paraId="28138F86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131C1D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NF-AT</w:t>
            </w:r>
          </w:p>
        </w:tc>
        <w:tc>
          <w:tcPr>
            <w:tcW w:w="5861" w:type="dxa"/>
            <w:noWrap/>
            <w:hideMark/>
          </w:tcPr>
          <w:p w14:paraId="7CE63F3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>nuclear factor of activated T cells</w:t>
            </w:r>
          </w:p>
        </w:tc>
      </w:tr>
      <w:tr w:rsidR="003A3ED5" w:rsidRPr="00FD1097" w14:paraId="4900F93B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1175D53C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NF-κB</w:t>
            </w:r>
          </w:p>
        </w:tc>
        <w:tc>
          <w:tcPr>
            <w:tcW w:w="5861" w:type="dxa"/>
            <w:noWrap/>
            <w:hideMark/>
          </w:tcPr>
          <w:p w14:paraId="7082123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 xml:space="preserve">nuclear factor </w:t>
            </w: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κ</w:t>
            </w: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>-light-chain-enhancer of activated B-cells</w:t>
            </w:r>
          </w:p>
        </w:tc>
      </w:tr>
      <w:tr w:rsidR="003A3ED5" w:rsidRPr="00C5192F" w14:paraId="3344F65E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45662A05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NGS</w:t>
            </w:r>
          </w:p>
        </w:tc>
        <w:tc>
          <w:tcPr>
            <w:tcW w:w="5861" w:type="dxa"/>
            <w:noWrap/>
            <w:hideMark/>
          </w:tcPr>
          <w:p w14:paraId="7B66D6A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next generation sequencing</w:t>
            </w:r>
          </w:p>
        </w:tc>
      </w:tr>
      <w:tr w:rsidR="003A3ED5" w:rsidRPr="00C5192F" w14:paraId="7CDC472B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77AC552D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NV</w:t>
            </w:r>
          </w:p>
        </w:tc>
        <w:tc>
          <w:tcPr>
            <w:tcW w:w="5861" w:type="dxa"/>
            <w:noWrap/>
            <w:hideMark/>
          </w:tcPr>
          <w:p w14:paraId="294CA82B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non-ventilated</w:t>
            </w:r>
          </w:p>
        </w:tc>
      </w:tr>
      <w:tr w:rsidR="003A3ED5" w:rsidRPr="00C5192F" w14:paraId="1D136B65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29A33CC0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OE</w:t>
            </w:r>
          </w:p>
        </w:tc>
        <w:tc>
          <w:tcPr>
            <w:tcW w:w="5861" w:type="dxa"/>
            <w:noWrap/>
            <w:hideMark/>
          </w:tcPr>
          <w:p w14:paraId="765E5C9A" w14:textId="6F36E468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O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verexpression</w:t>
            </w:r>
          </w:p>
        </w:tc>
      </w:tr>
      <w:tr w:rsidR="003A3ED5" w:rsidRPr="00C5192F" w14:paraId="55F877F5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0D0BC77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</w:t>
            </w:r>
          </w:p>
        </w:tc>
        <w:tc>
          <w:tcPr>
            <w:tcW w:w="5861" w:type="dxa"/>
            <w:noWrap/>
            <w:hideMark/>
          </w:tcPr>
          <w:p w14:paraId="17EF64BD" w14:textId="22CFEBF5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lasmid</w:t>
            </w:r>
          </w:p>
        </w:tc>
      </w:tr>
      <w:tr w:rsidR="003A3ED5" w:rsidRPr="00C5192F" w14:paraId="19F006FD" w14:textId="77777777" w:rsidTr="002E3D30">
        <w:trPr>
          <w:trHeight w:val="270"/>
        </w:trPr>
        <w:tc>
          <w:tcPr>
            <w:tcW w:w="2219" w:type="dxa"/>
            <w:noWrap/>
            <w:hideMark/>
          </w:tcPr>
          <w:p w14:paraId="381ECEEA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PCR</w:t>
            </w:r>
          </w:p>
        </w:tc>
        <w:tc>
          <w:tcPr>
            <w:tcW w:w="5861" w:type="dxa"/>
            <w:noWrap/>
            <w:hideMark/>
          </w:tcPr>
          <w:p w14:paraId="10F4C9D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polymerase chain reaction</w:t>
            </w:r>
          </w:p>
        </w:tc>
      </w:tr>
      <w:tr w:rsidR="003A3ED5" w:rsidRPr="00C5192F" w14:paraId="6CC20323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2848CF2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PCT</w:t>
            </w:r>
          </w:p>
        </w:tc>
        <w:tc>
          <w:tcPr>
            <w:tcW w:w="5861" w:type="dxa"/>
            <w:noWrap/>
            <w:hideMark/>
          </w:tcPr>
          <w:p w14:paraId="0C3F202D" w14:textId="7EF7498C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rocalcitonin</w:t>
            </w:r>
          </w:p>
        </w:tc>
      </w:tr>
      <w:tr w:rsidR="003A3ED5" w:rsidRPr="00C5192F" w14:paraId="2265C4B9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69FF36AB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PE</w:t>
            </w:r>
          </w:p>
        </w:tc>
        <w:tc>
          <w:tcPr>
            <w:tcW w:w="5861" w:type="dxa"/>
            <w:noWrap/>
            <w:hideMark/>
          </w:tcPr>
          <w:p w14:paraId="7EE1401E" w14:textId="39189E99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hycoerythrin</w:t>
            </w:r>
          </w:p>
        </w:tc>
      </w:tr>
      <w:tr w:rsidR="003A3ED5" w:rsidRPr="00C5192F" w14:paraId="0DCC9A1A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538B09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PerCP</w:t>
            </w:r>
          </w:p>
        </w:tc>
        <w:tc>
          <w:tcPr>
            <w:tcW w:w="5861" w:type="dxa"/>
            <w:noWrap/>
            <w:hideMark/>
          </w:tcPr>
          <w:p w14:paraId="5ADA8FD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peridinin-chlorophyll-protein</w:t>
            </w:r>
          </w:p>
        </w:tc>
      </w:tr>
      <w:tr w:rsidR="003A3ED5" w:rsidRPr="00C5192F" w14:paraId="536AA341" w14:textId="77777777" w:rsidTr="002E3D30">
        <w:trPr>
          <w:trHeight w:val="375"/>
        </w:trPr>
        <w:tc>
          <w:tcPr>
            <w:tcW w:w="2219" w:type="dxa"/>
            <w:noWrap/>
            <w:hideMark/>
          </w:tcPr>
          <w:p w14:paraId="7D408200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PGD2</w:t>
            </w:r>
          </w:p>
        </w:tc>
        <w:tc>
          <w:tcPr>
            <w:tcW w:w="5861" w:type="dxa"/>
            <w:noWrap/>
            <w:hideMark/>
          </w:tcPr>
          <w:p w14:paraId="2EC840CC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prostaglandin D</w:t>
            </w:r>
            <w:r w:rsidRPr="00C5192F">
              <w:rPr>
                <w:rFonts w:ascii="Arial" w:eastAsia="Times New Roman" w:hAnsi="Arial" w:cs="Arial"/>
                <w:color w:val="000000"/>
                <w:vertAlign w:val="subscript"/>
                <w:lang w:eastAsia="de-DE"/>
              </w:rPr>
              <w:t>2</w:t>
            </w:r>
          </w:p>
        </w:tc>
      </w:tr>
      <w:tr w:rsidR="003A3ED5" w:rsidRPr="00C5192F" w14:paraId="6C4D17D3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D05E9F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PMA</w:t>
            </w:r>
          </w:p>
        </w:tc>
        <w:tc>
          <w:tcPr>
            <w:tcW w:w="5861" w:type="dxa"/>
            <w:noWrap/>
            <w:hideMark/>
          </w:tcPr>
          <w:p w14:paraId="26ECFA5A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phorbol-myristate 13-acetate</w:t>
            </w:r>
          </w:p>
        </w:tc>
      </w:tr>
      <w:tr w:rsidR="003A3ED5" w:rsidRPr="00C5192F" w14:paraId="30CE10EE" w14:textId="77777777" w:rsidTr="002E3D30">
        <w:trPr>
          <w:trHeight w:val="300"/>
        </w:trPr>
        <w:tc>
          <w:tcPr>
            <w:tcW w:w="2219" w:type="dxa"/>
            <w:noWrap/>
            <w:hideMark/>
          </w:tcPr>
          <w:p w14:paraId="6497DE4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PPAR</w:t>
            </w:r>
            <w:r w:rsidRPr="00C5192F">
              <w:rPr>
                <w:rFonts w:ascii="Calibri" w:eastAsia="Times New Roman" w:hAnsi="Calibri" w:cs="Calibri"/>
                <w:color w:val="000000"/>
                <w:lang w:eastAsia="de-DE"/>
              </w:rPr>
              <w:t>γ</w:t>
            </w:r>
          </w:p>
        </w:tc>
        <w:tc>
          <w:tcPr>
            <w:tcW w:w="5861" w:type="dxa"/>
            <w:noWrap/>
            <w:hideMark/>
          </w:tcPr>
          <w:p w14:paraId="313747E6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peroxisome proliferator receptor γ</w:t>
            </w:r>
          </w:p>
        </w:tc>
      </w:tr>
      <w:tr w:rsidR="003A3ED5" w:rsidRPr="00FD1097" w14:paraId="7B05C28C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6C6C5426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PPRE</w:t>
            </w:r>
          </w:p>
        </w:tc>
        <w:tc>
          <w:tcPr>
            <w:tcW w:w="5861" w:type="dxa"/>
            <w:noWrap/>
            <w:hideMark/>
          </w:tcPr>
          <w:p w14:paraId="12E51FE8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>peroxisome proliferator receptor responsive element</w:t>
            </w:r>
          </w:p>
        </w:tc>
      </w:tr>
      <w:tr w:rsidR="003A3ED5" w:rsidRPr="00C5192F" w14:paraId="141DC639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270568B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PTEN</w:t>
            </w:r>
          </w:p>
        </w:tc>
        <w:tc>
          <w:tcPr>
            <w:tcW w:w="5861" w:type="dxa"/>
            <w:noWrap/>
            <w:hideMark/>
          </w:tcPr>
          <w:p w14:paraId="158E6DFA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 xml:space="preserve">phosphatase and tensin homolog </w:t>
            </w:r>
          </w:p>
        </w:tc>
      </w:tr>
      <w:tr w:rsidR="003A3ED5" w:rsidRPr="00C5192F" w14:paraId="0399A3FF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54A273D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RLU</w:t>
            </w:r>
          </w:p>
        </w:tc>
        <w:tc>
          <w:tcPr>
            <w:tcW w:w="5861" w:type="dxa"/>
            <w:noWrap/>
            <w:hideMark/>
          </w:tcPr>
          <w:p w14:paraId="18D02149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Renilla luciferase</w:t>
            </w:r>
          </w:p>
        </w:tc>
      </w:tr>
      <w:tr w:rsidR="003A3ED5" w:rsidRPr="00C5192F" w14:paraId="180E20B2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835232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RLU</w:t>
            </w:r>
          </w:p>
        </w:tc>
        <w:tc>
          <w:tcPr>
            <w:tcW w:w="5861" w:type="dxa"/>
            <w:noWrap/>
            <w:hideMark/>
          </w:tcPr>
          <w:p w14:paraId="6991C3B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relative luciferase units</w:t>
            </w:r>
          </w:p>
        </w:tc>
      </w:tr>
      <w:tr w:rsidR="003A3ED5" w:rsidRPr="00C5192F" w14:paraId="6C5BF779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7108FEA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RNA</w:t>
            </w:r>
          </w:p>
        </w:tc>
        <w:tc>
          <w:tcPr>
            <w:tcW w:w="5861" w:type="dxa"/>
            <w:noWrap/>
            <w:hideMark/>
          </w:tcPr>
          <w:p w14:paraId="011DB95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ribonulceotide acid</w:t>
            </w:r>
          </w:p>
        </w:tc>
      </w:tr>
      <w:tr w:rsidR="003A3ED5" w:rsidRPr="00FD1097" w14:paraId="3B9998B2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1F31D7FE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RPKM</w:t>
            </w:r>
          </w:p>
        </w:tc>
        <w:tc>
          <w:tcPr>
            <w:tcW w:w="5861" w:type="dxa"/>
            <w:noWrap/>
            <w:hideMark/>
          </w:tcPr>
          <w:p w14:paraId="5637F40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>reads per kilobase of exon model per million</w:t>
            </w:r>
          </w:p>
        </w:tc>
      </w:tr>
      <w:tr w:rsidR="003A3ED5" w:rsidRPr="00C5192F" w14:paraId="10FF563F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0E83AA9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RT</w:t>
            </w:r>
          </w:p>
        </w:tc>
        <w:tc>
          <w:tcPr>
            <w:tcW w:w="5861" w:type="dxa"/>
            <w:noWrap/>
            <w:hideMark/>
          </w:tcPr>
          <w:p w14:paraId="6C338EEF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room temperature</w:t>
            </w:r>
          </w:p>
        </w:tc>
      </w:tr>
      <w:tr w:rsidR="003A3ED5" w:rsidRPr="00C5192F" w14:paraId="7DECF334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2E9C664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s</w:t>
            </w:r>
          </w:p>
        </w:tc>
        <w:tc>
          <w:tcPr>
            <w:tcW w:w="5861" w:type="dxa"/>
            <w:noWrap/>
            <w:hideMark/>
          </w:tcPr>
          <w:p w14:paraId="410BD4BB" w14:textId="290AE0A2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S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pecific</w:t>
            </w:r>
          </w:p>
        </w:tc>
      </w:tr>
      <w:tr w:rsidR="003A3ED5" w:rsidRPr="00C5192F" w14:paraId="095AE83E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063B19F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S</w:t>
            </w:r>
          </w:p>
        </w:tc>
        <w:tc>
          <w:tcPr>
            <w:tcW w:w="5861" w:type="dxa"/>
            <w:noWrap/>
            <w:hideMark/>
          </w:tcPr>
          <w:p w14:paraId="245FC6D0" w14:textId="58DB3FAA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S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urviving</w:t>
            </w:r>
          </w:p>
        </w:tc>
      </w:tr>
      <w:tr w:rsidR="003A3ED5" w:rsidRPr="00FD1097" w14:paraId="1996C667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7F8C3B5B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SARS-CoV2</w:t>
            </w:r>
          </w:p>
        </w:tc>
        <w:tc>
          <w:tcPr>
            <w:tcW w:w="5861" w:type="dxa"/>
            <w:noWrap/>
            <w:hideMark/>
          </w:tcPr>
          <w:p w14:paraId="41CE1209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val="en-US"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val="en-US" w:eastAsia="de-DE"/>
              </w:rPr>
              <w:t>severe acute respiratory syndrome coronavirus 2</w:t>
            </w:r>
          </w:p>
        </w:tc>
      </w:tr>
      <w:tr w:rsidR="003A3ED5" w:rsidRPr="00C5192F" w14:paraId="60E7A64A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48461CCF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SD</w:t>
            </w:r>
          </w:p>
        </w:tc>
        <w:tc>
          <w:tcPr>
            <w:tcW w:w="5861" w:type="dxa"/>
            <w:noWrap/>
            <w:hideMark/>
          </w:tcPr>
          <w:p w14:paraId="44CBFE4D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standard deviation</w:t>
            </w:r>
          </w:p>
        </w:tc>
      </w:tr>
      <w:tr w:rsidR="003A3ED5" w:rsidRPr="00C5192F" w14:paraId="52CB5322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1E34850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SE</w:t>
            </w:r>
          </w:p>
        </w:tc>
        <w:tc>
          <w:tcPr>
            <w:tcW w:w="5861" w:type="dxa"/>
            <w:noWrap/>
            <w:hideMark/>
          </w:tcPr>
          <w:p w14:paraId="775A005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standard error</w:t>
            </w:r>
          </w:p>
        </w:tc>
      </w:tr>
      <w:tr w:rsidR="003A3ED5" w:rsidRPr="00C5192F" w14:paraId="2AF2C031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D41173E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lastRenderedPageBreak/>
              <w:t>SSC</w:t>
            </w:r>
          </w:p>
        </w:tc>
        <w:tc>
          <w:tcPr>
            <w:tcW w:w="5861" w:type="dxa"/>
            <w:noWrap/>
            <w:hideMark/>
          </w:tcPr>
          <w:p w14:paraId="252581D6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side scatter</w:t>
            </w:r>
          </w:p>
        </w:tc>
      </w:tr>
      <w:tr w:rsidR="003A3ED5" w:rsidRPr="00C5192F" w14:paraId="370B77CD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3DC3DC49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Th1</w:t>
            </w:r>
          </w:p>
        </w:tc>
        <w:tc>
          <w:tcPr>
            <w:tcW w:w="5861" w:type="dxa"/>
            <w:noWrap/>
            <w:hideMark/>
          </w:tcPr>
          <w:p w14:paraId="1DE6B71C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T helper cells type 1</w:t>
            </w:r>
          </w:p>
        </w:tc>
      </w:tr>
      <w:tr w:rsidR="003A3ED5" w:rsidRPr="00C5192F" w14:paraId="38D69D7F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4DFFCA04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Th2</w:t>
            </w:r>
          </w:p>
        </w:tc>
        <w:tc>
          <w:tcPr>
            <w:tcW w:w="5861" w:type="dxa"/>
            <w:noWrap/>
            <w:hideMark/>
          </w:tcPr>
          <w:p w14:paraId="68F5CD6C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T helper cells type 2</w:t>
            </w:r>
          </w:p>
        </w:tc>
      </w:tr>
      <w:tr w:rsidR="003A3ED5" w:rsidRPr="00C5192F" w14:paraId="58C0482F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1C64F53E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TK</w:t>
            </w:r>
          </w:p>
        </w:tc>
        <w:tc>
          <w:tcPr>
            <w:tcW w:w="5861" w:type="dxa"/>
            <w:noWrap/>
            <w:hideMark/>
          </w:tcPr>
          <w:p w14:paraId="682118C6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thymidin kinase</w:t>
            </w:r>
          </w:p>
        </w:tc>
      </w:tr>
      <w:tr w:rsidR="003A3ED5" w:rsidRPr="00C5192F" w14:paraId="31FEE4A2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639E0E4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TRE</w:t>
            </w:r>
          </w:p>
        </w:tc>
        <w:tc>
          <w:tcPr>
            <w:tcW w:w="5861" w:type="dxa"/>
            <w:noWrap/>
            <w:hideMark/>
          </w:tcPr>
          <w:p w14:paraId="4195FC5A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tetracycline responsive element</w:t>
            </w:r>
          </w:p>
        </w:tc>
      </w:tr>
      <w:tr w:rsidR="003A3ED5" w:rsidRPr="00C5192F" w14:paraId="706675F3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1A95EFD3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Treg</w:t>
            </w:r>
          </w:p>
        </w:tc>
        <w:tc>
          <w:tcPr>
            <w:tcW w:w="5861" w:type="dxa"/>
            <w:noWrap/>
            <w:hideMark/>
          </w:tcPr>
          <w:p w14:paraId="051E246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regulatory T cells</w:t>
            </w:r>
          </w:p>
        </w:tc>
      </w:tr>
      <w:tr w:rsidR="003A3ED5" w:rsidRPr="00C5192F" w14:paraId="793B5BD1" w14:textId="77777777" w:rsidTr="002E3D30">
        <w:trPr>
          <w:trHeight w:val="375"/>
        </w:trPr>
        <w:tc>
          <w:tcPr>
            <w:tcW w:w="2219" w:type="dxa"/>
            <w:noWrap/>
            <w:hideMark/>
          </w:tcPr>
          <w:p w14:paraId="25C7EDE1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TXA</w:t>
            </w:r>
            <w:r w:rsidRPr="00C5192F">
              <w:rPr>
                <w:rFonts w:ascii="Arial" w:eastAsia="Times New Roman" w:hAnsi="Arial" w:cs="Arial"/>
                <w:color w:val="000000"/>
                <w:vertAlign w:val="subscript"/>
                <w:lang w:eastAsia="de-DE"/>
              </w:rPr>
              <w:t>2</w:t>
            </w:r>
          </w:p>
        </w:tc>
        <w:tc>
          <w:tcPr>
            <w:tcW w:w="5861" w:type="dxa"/>
            <w:noWrap/>
            <w:hideMark/>
          </w:tcPr>
          <w:p w14:paraId="01FD9B4C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thromboxan A</w:t>
            </w:r>
            <w:r w:rsidRPr="00C5192F">
              <w:rPr>
                <w:rFonts w:ascii="Arial" w:eastAsia="Times New Roman" w:hAnsi="Arial" w:cs="Arial"/>
                <w:color w:val="000000"/>
                <w:vertAlign w:val="subscript"/>
                <w:lang w:eastAsia="de-DE"/>
              </w:rPr>
              <w:t>2</w:t>
            </w:r>
          </w:p>
        </w:tc>
      </w:tr>
      <w:tr w:rsidR="003A3ED5" w:rsidRPr="00C5192F" w14:paraId="07D4F6A0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753E5D62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U</w:t>
            </w:r>
          </w:p>
        </w:tc>
        <w:tc>
          <w:tcPr>
            <w:tcW w:w="5861" w:type="dxa"/>
            <w:noWrap/>
            <w:hideMark/>
          </w:tcPr>
          <w:p w14:paraId="74915E20" w14:textId="4F91391C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U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nits</w:t>
            </w:r>
          </w:p>
        </w:tc>
      </w:tr>
      <w:tr w:rsidR="003A3ED5" w:rsidRPr="00C5192F" w14:paraId="5D5A0B9B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10061B7D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us</w:t>
            </w:r>
          </w:p>
        </w:tc>
        <w:tc>
          <w:tcPr>
            <w:tcW w:w="5861" w:type="dxa"/>
            <w:noWrap/>
            <w:hideMark/>
          </w:tcPr>
          <w:p w14:paraId="55594933" w14:textId="2D9A735A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U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nspecific</w:t>
            </w:r>
          </w:p>
        </w:tc>
      </w:tr>
      <w:tr w:rsidR="003A3ED5" w:rsidRPr="00C5192F" w14:paraId="14D532BE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627C3098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V</w:t>
            </w:r>
          </w:p>
        </w:tc>
        <w:tc>
          <w:tcPr>
            <w:tcW w:w="5861" w:type="dxa"/>
            <w:noWrap/>
            <w:hideMark/>
          </w:tcPr>
          <w:p w14:paraId="516117A7" w14:textId="7C51BD14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V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entilated</w:t>
            </w:r>
          </w:p>
        </w:tc>
      </w:tr>
      <w:tr w:rsidR="003A3ED5" w:rsidRPr="00C5192F" w14:paraId="771A4D6A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52086B07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wt</w:t>
            </w:r>
          </w:p>
        </w:tc>
        <w:tc>
          <w:tcPr>
            <w:tcW w:w="5861" w:type="dxa"/>
            <w:noWrap/>
            <w:hideMark/>
          </w:tcPr>
          <w:p w14:paraId="27FEDABD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wild type</w:t>
            </w:r>
          </w:p>
        </w:tc>
      </w:tr>
      <w:tr w:rsidR="003A3ED5" w:rsidRPr="00C5192F" w14:paraId="3713659D" w14:textId="77777777" w:rsidTr="002E3D30">
        <w:trPr>
          <w:trHeight w:val="285"/>
        </w:trPr>
        <w:tc>
          <w:tcPr>
            <w:tcW w:w="2219" w:type="dxa"/>
            <w:noWrap/>
            <w:hideMark/>
          </w:tcPr>
          <w:p w14:paraId="4718C3A8" w14:textId="77777777" w:rsidR="003A3ED5" w:rsidRPr="00C5192F" w:rsidRDefault="003A3ED5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yr</w:t>
            </w:r>
          </w:p>
        </w:tc>
        <w:tc>
          <w:tcPr>
            <w:tcW w:w="5861" w:type="dxa"/>
            <w:noWrap/>
            <w:hideMark/>
          </w:tcPr>
          <w:p w14:paraId="1C16F074" w14:textId="482B4D95" w:rsidR="003A3ED5" w:rsidRPr="00C5192F" w:rsidRDefault="000A74F9" w:rsidP="002E3D30">
            <w:pPr>
              <w:rPr>
                <w:rFonts w:ascii="Arial" w:eastAsia="Times New Roman" w:hAnsi="Arial" w:cs="Arial"/>
                <w:color w:val="000000"/>
                <w:lang w:eastAsia="de-DE"/>
              </w:rPr>
            </w:pPr>
            <w:r w:rsidRPr="00C5192F">
              <w:rPr>
                <w:rFonts w:ascii="Arial" w:eastAsia="Times New Roman" w:hAnsi="Arial" w:cs="Arial"/>
                <w:color w:val="000000"/>
                <w:lang w:eastAsia="de-DE"/>
              </w:rPr>
              <w:t>Y</w:t>
            </w:r>
            <w:r w:rsidR="003A3ED5" w:rsidRPr="00C5192F">
              <w:rPr>
                <w:rFonts w:ascii="Arial" w:eastAsia="Times New Roman" w:hAnsi="Arial" w:cs="Arial"/>
                <w:color w:val="000000"/>
                <w:lang w:eastAsia="de-DE"/>
              </w:rPr>
              <w:t>ear</w:t>
            </w:r>
          </w:p>
        </w:tc>
      </w:tr>
    </w:tbl>
    <w:p w14:paraId="7E2DF8D8" w14:textId="77777777" w:rsidR="003A3ED5" w:rsidRDefault="003A3ED5" w:rsidP="003A3ED5"/>
    <w:p w14:paraId="43BEC41A" w14:textId="77777777" w:rsidR="003A3ED5" w:rsidRPr="007E6803" w:rsidRDefault="003A3ED5" w:rsidP="00A75241">
      <w:pPr>
        <w:spacing w:after="0" w:line="480" w:lineRule="auto"/>
        <w:jc w:val="both"/>
        <w:rPr>
          <w:rFonts w:ascii="Arial" w:hAnsi="Arial" w:cs="Arial"/>
          <w:bCs/>
          <w:sz w:val="20"/>
          <w:szCs w:val="20"/>
          <w:lang w:val="en-US"/>
        </w:rPr>
      </w:pPr>
    </w:p>
    <w:sectPr w:rsidR="003A3ED5" w:rsidRPr="007E6803">
      <w:footerReference w:type="even" r:id="rId22"/>
      <w:footerReference w:type="default" r:id="rId23"/>
      <w:footerReference w:type="firs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A205AB" w14:textId="77777777" w:rsidR="00E125D2" w:rsidRDefault="00E125D2" w:rsidP="00D3029F">
      <w:pPr>
        <w:spacing w:after="0" w:line="240" w:lineRule="auto"/>
      </w:pPr>
      <w:r>
        <w:separator/>
      </w:r>
    </w:p>
  </w:endnote>
  <w:endnote w:type="continuationSeparator" w:id="0">
    <w:p w14:paraId="3260A7F9" w14:textId="77777777" w:rsidR="00E125D2" w:rsidRDefault="00E125D2" w:rsidP="00D30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F349B" w14:textId="7B976C52" w:rsidR="00D3029F" w:rsidRDefault="00D3029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B237D99" wp14:editId="43209BE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134280543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CD7C9D" w14:textId="0D3265FC" w:rsidR="00D3029F" w:rsidRPr="00D3029F" w:rsidRDefault="00D3029F" w:rsidP="00D3029F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3029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237D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4.25pt;height:27.1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3e8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" filled="f" stroked="f">
              <v:textbox style="mso-fit-shape-to-text:t" inset="20pt,0,0,15pt">
                <w:txbxContent>
                  <w:p w14:paraId="53CD7C9D" w14:textId="0D3265FC" w:rsidR="00D3029F" w:rsidRPr="00D3029F" w:rsidRDefault="00D3029F" w:rsidP="00D3029F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3029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ACA26" w14:textId="7F1E87C4" w:rsidR="00D3029F" w:rsidRDefault="00D3029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14B6C34" wp14:editId="20FECC1E">
              <wp:simplePos x="901148" y="10071652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158102098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ED7E64" w14:textId="3A1686AA" w:rsidR="00D3029F" w:rsidRPr="00D3029F" w:rsidRDefault="00D3029F" w:rsidP="00D3029F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3029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4B6C3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4.25pt;height:27.1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c/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" filled="f" stroked="f">
              <v:textbox style="mso-fit-shape-to-text:t" inset="20pt,0,0,15pt">
                <w:txbxContent>
                  <w:p w14:paraId="28ED7E64" w14:textId="3A1686AA" w:rsidR="00D3029F" w:rsidRPr="00D3029F" w:rsidRDefault="00D3029F" w:rsidP="00D3029F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3029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A5DDE" w14:textId="05E7EB52" w:rsidR="00D3029F" w:rsidRDefault="00D3029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D3B5D64" wp14:editId="72F2E5D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44805"/>
              <wp:effectExtent l="0" t="0" r="9525" b="0"/>
              <wp:wrapNone/>
              <wp:docPr id="108580101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44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EFDBF9" w14:textId="5DD69CBF" w:rsidR="00D3029F" w:rsidRPr="00D3029F" w:rsidRDefault="00D3029F" w:rsidP="00D3029F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D3029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3B5D6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4.25pt;height:27.1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R9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" filled="f" stroked="f">
              <v:textbox style="mso-fit-shape-to-text:t" inset="20pt,0,0,15pt">
                <w:txbxContent>
                  <w:p w14:paraId="05EFDBF9" w14:textId="5DD69CBF" w:rsidR="00D3029F" w:rsidRPr="00D3029F" w:rsidRDefault="00D3029F" w:rsidP="00D3029F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D3029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3A3885" w14:textId="77777777" w:rsidR="00E125D2" w:rsidRDefault="00E125D2" w:rsidP="00D3029F">
      <w:pPr>
        <w:spacing w:after="0" w:line="240" w:lineRule="auto"/>
      </w:pPr>
      <w:r>
        <w:separator/>
      </w:r>
    </w:p>
  </w:footnote>
  <w:footnote w:type="continuationSeparator" w:id="0">
    <w:p w14:paraId="72EB278D" w14:textId="77777777" w:rsidR="00E125D2" w:rsidRDefault="00E125D2" w:rsidP="00D302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998651293">
    <w:abstractNumId w:val="0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 w16cid:durableId="202183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F56"/>
    <w:rsid w:val="000008ED"/>
    <w:rsid w:val="00001FAA"/>
    <w:rsid w:val="00065D00"/>
    <w:rsid w:val="000850DB"/>
    <w:rsid w:val="0009632C"/>
    <w:rsid w:val="00096868"/>
    <w:rsid w:val="000A74F9"/>
    <w:rsid w:val="001011C8"/>
    <w:rsid w:val="00103B69"/>
    <w:rsid w:val="00111BA6"/>
    <w:rsid w:val="0016084F"/>
    <w:rsid w:val="00161633"/>
    <w:rsid w:val="00177231"/>
    <w:rsid w:val="001901F4"/>
    <w:rsid w:val="001A3FCC"/>
    <w:rsid w:val="001C748A"/>
    <w:rsid w:val="001D66F2"/>
    <w:rsid w:val="001E5DBF"/>
    <w:rsid w:val="00224573"/>
    <w:rsid w:val="002F6508"/>
    <w:rsid w:val="003020F5"/>
    <w:rsid w:val="0032281B"/>
    <w:rsid w:val="00337601"/>
    <w:rsid w:val="00342805"/>
    <w:rsid w:val="00367854"/>
    <w:rsid w:val="00372714"/>
    <w:rsid w:val="00373133"/>
    <w:rsid w:val="00376F4E"/>
    <w:rsid w:val="00381F5C"/>
    <w:rsid w:val="003878F2"/>
    <w:rsid w:val="003963D2"/>
    <w:rsid w:val="003A3ED5"/>
    <w:rsid w:val="003C282E"/>
    <w:rsid w:val="003E5867"/>
    <w:rsid w:val="00421C8F"/>
    <w:rsid w:val="004558F9"/>
    <w:rsid w:val="00457975"/>
    <w:rsid w:val="00466515"/>
    <w:rsid w:val="004666F9"/>
    <w:rsid w:val="00481061"/>
    <w:rsid w:val="004B78FC"/>
    <w:rsid w:val="004C3A8F"/>
    <w:rsid w:val="00531680"/>
    <w:rsid w:val="00532196"/>
    <w:rsid w:val="00542F65"/>
    <w:rsid w:val="00557CDE"/>
    <w:rsid w:val="005604B4"/>
    <w:rsid w:val="00564278"/>
    <w:rsid w:val="00576838"/>
    <w:rsid w:val="00583648"/>
    <w:rsid w:val="005875B1"/>
    <w:rsid w:val="00592F87"/>
    <w:rsid w:val="005B4264"/>
    <w:rsid w:val="005B6589"/>
    <w:rsid w:val="005D11E2"/>
    <w:rsid w:val="005D5DB1"/>
    <w:rsid w:val="005E3643"/>
    <w:rsid w:val="005F18E0"/>
    <w:rsid w:val="0063330B"/>
    <w:rsid w:val="00643F67"/>
    <w:rsid w:val="00650175"/>
    <w:rsid w:val="00650F32"/>
    <w:rsid w:val="00653417"/>
    <w:rsid w:val="0065674E"/>
    <w:rsid w:val="006905C0"/>
    <w:rsid w:val="006A48EF"/>
    <w:rsid w:val="006B043B"/>
    <w:rsid w:val="006B3C0D"/>
    <w:rsid w:val="006D18CF"/>
    <w:rsid w:val="006D4713"/>
    <w:rsid w:val="006E3938"/>
    <w:rsid w:val="006F0E40"/>
    <w:rsid w:val="007319EE"/>
    <w:rsid w:val="00753851"/>
    <w:rsid w:val="00781E20"/>
    <w:rsid w:val="0079351F"/>
    <w:rsid w:val="007C26A8"/>
    <w:rsid w:val="007C7A69"/>
    <w:rsid w:val="007E5D5E"/>
    <w:rsid w:val="007E6803"/>
    <w:rsid w:val="007F2D01"/>
    <w:rsid w:val="00813EDA"/>
    <w:rsid w:val="00826F72"/>
    <w:rsid w:val="00831BE0"/>
    <w:rsid w:val="00834163"/>
    <w:rsid w:val="00840A3A"/>
    <w:rsid w:val="00867B01"/>
    <w:rsid w:val="00875E3B"/>
    <w:rsid w:val="008C5CAC"/>
    <w:rsid w:val="008E02E5"/>
    <w:rsid w:val="008F7324"/>
    <w:rsid w:val="00903F56"/>
    <w:rsid w:val="009078E6"/>
    <w:rsid w:val="009148A9"/>
    <w:rsid w:val="00917092"/>
    <w:rsid w:val="009268BB"/>
    <w:rsid w:val="00952096"/>
    <w:rsid w:val="009761FD"/>
    <w:rsid w:val="009822DB"/>
    <w:rsid w:val="009B35F9"/>
    <w:rsid w:val="009C0908"/>
    <w:rsid w:val="009C4A9F"/>
    <w:rsid w:val="009D58AF"/>
    <w:rsid w:val="009E4DD7"/>
    <w:rsid w:val="009F7E9B"/>
    <w:rsid w:val="00A00C68"/>
    <w:rsid w:val="00A1059E"/>
    <w:rsid w:val="00A1547A"/>
    <w:rsid w:val="00A414B6"/>
    <w:rsid w:val="00A75241"/>
    <w:rsid w:val="00AA159B"/>
    <w:rsid w:val="00AA65D4"/>
    <w:rsid w:val="00AA7659"/>
    <w:rsid w:val="00AB605D"/>
    <w:rsid w:val="00AC13B2"/>
    <w:rsid w:val="00AE34A4"/>
    <w:rsid w:val="00AF263D"/>
    <w:rsid w:val="00B1269C"/>
    <w:rsid w:val="00B167BA"/>
    <w:rsid w:val="00B34093"/>
    <w:rsid w:val="00B35D17"/>
    <w:rsid w:val="00B37A15"/>
    <w:rsid w:val="00B4610B"/>
    <w:rsid w:val="00B71627"/>
    <w:rsid w:val="00B967E6"/>
    <w:rsid w:val="00BA086E"/>
    <w:rsid w:val="00BA0D67"/>
    <w:rsid w:val="00BD5A9C"/>
    <w:rsid w:val="00BE5F03"/>
    <w:rsid w:val="00BF54A1"/>
    <w:rsid w:val="00C31D6D"/>
    <w:rsid w:val="00C64E61"/>
    <w:rsid w:val="00C65F1D"/>
    <w:rsid w:val="00C66995"/>
    <w:rsid w:val="00CB03CE"/>
    <w:rsid w:val="00CB6417"/>
    <w:rsid w:val="00CE4A5C"/>
    <w:rsid w:val="00CE7218"/>
    <w:rsid w:val="00D04397"/>
    <w:rsid w:val="00D3029F"/>
    <w:rsid w:val="00D5441D"/>
    <w:rsid w:val="00D6156E"/>
    <w:rsid w:val="00D61F54"/>
    <w:rsid w:val="00D745B1"/>
    <w:rsid w:val="00DB3A75"/>
    <w:rsid w:val="00DE6C76"/>
    <w:rsid w:val="00E07E51"/>
    <w:rsid w:val="00E125D2"/>
    <w:rsid w:val="00E35C2C"/>
    <w:rsid w:val="00E4784D"/>
    <w:rsid w:val="00E91B72"/>
    <w:rsid w:val="00EC4296"/>
    <w:rsid w:val="00EE1D0F"/>
    <w:rsid w:val="00EF18A1"/>
    <w:rsid w:val="00F10353"/>
    <w:rsid w:val="00F11127"/>
    <w:rsid w:val="00F201E8"/>
    <w:rsid w:val="00F232E4"/>
    <w:rsid w:val="00F352E9"/>
    <w:rsid w:val="00F42B03"/>
    <w:rsid w:val="00F7345E"/>
    <w:rsid w:val="00F7521A"/>
    <w:rsid w:val="00F76545"/>
    <w:rsid w:val="00F7664D"/>
    <w:rsid w:val="00FA043A"/>
    <w:rsid w:val="00FB230A"/>
    <w:rsid w:val="00FD1097"/>
    <w:rsid w:val="00FE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11B5F"/>
  <w15:docId w15:val="{AEE0BEE3-F829-4871-9058-A90A8C275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2"/>
    <w:qFormat/>
    <w:rsid w:val="000850DB"/>
    <w:pPr>
      <w:numPr>
        <w:numId w:val="1"/>
      </w:numPr>
      <w:spacing w:before="240" w:after="240" w:line="240" w:lineRule="auto"/>
      <w:contextualSpacing w:val="0"/>
      <w:outlineLvl w:val="0"/>
    </w:pPr>
    <w:rPr>
      <w:rFonts w:ascii="Times New Roman" w:eastAsia="Cambria" w:hAnsi="Times New Roman" w:cs="Times New Roman"/>
      <w:b/>
      <w:sz w:val="24"/>
      <w:szCs w:val="24"/>
      <w:lang w:val="en-US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0850DB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0850DB"/>
    <w:pPr>
      <w:keepNext/>
      <w:keepLines/>
      <w:numPr>
        <w:ilvl w:val="2"/>
        <w:numId w:val="1"/>
      </w:numPr>
      <w:spacing w:before="40" w:after="120" w:line="240" w:lineRule="auto"/>
      <w:outlineLvl w:val="2"/>
    </w:pPr>
    <w:rPr>
      <w:rFonts w:ascii="Times New Roman" w:eastAsiaTheme="majorEastAsia" w:hAnsi="Times New Roman" w:cstheme="majorBidi"/>
      <w:b/>
      <w:sz w:val="24"/>
      <w:szCs w:val="24"/>
      <w:lang w:val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0850DB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0850DB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2D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D0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0850DB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0850DB"/>
    <w:rPr>
      <w:rFonts w:ascii="Times New Roman" w:eastAsia="Cambria" w:hAnsi="Times New Roman" w:cs="Times New Roman"/>
      <w:b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0850DB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0850DB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0850DB"/>
    <w:rPr>
      <w:rFonts w:ascii="Times New Roman" w:eastAsiaTheme="majorEastAsia" w:hAnsi="Times New Roman" w:cstheme="majorBidi"/>
      <w:b/>
      <w:iCs/>
      <w:sz w:val="24"/>
      <w:szCs w:val="24"/>
      <w:lang w:val="en-US"/>
    </w:rPr>
  </w:style>
  <w:style w:type="numbering" w:customStyle="1" w:styleId="Headings">
    <w:name w:val="Headings"/>
    <w:uiPriority w:val="99"/>
    <w:rsid w:val="000850DB"/>
    <w:pPr>
      <w:numPr>
        <w:numId w:val="2"/>
      </w:numPr>
    </w:pPr>
  </w:style>
  <w:style w:type="paragraph" w:styleId="ListParagraph">
    <w:name w:val="List Paragraph"/>
    <w:basedOn w:val="Normal"/>
    <w:uiPriority w:val="34"/>
    <w:qFormat/>
    <w:rsid w:val="000850D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302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29F"/>
  </w:style>
  <w:style w:type="character" w:styleId="CommentReference">
    <w:name w:val="annotation reference"/>
    <w:basedOn w:val="DefaultParagraphFont"/>
    <w:uiPriority w:val="99"/>
    <w:semiHidden/>
    <w:unhideWhenUsed/>
    <w:rsid w:val="00381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1F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1F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1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1F5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A3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538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2182</Words>
  <Characters>12438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KGU</Company>
  <LinksUpToDate>false</LinksUpToDate>
  <CharactersWithSpaces>14591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von Knethen</dc:creator>
  <cp:keywords/>
  <dc:description/>
  <cp:lastModifiedBy>Pratt, Lucas</cp:lastModifiedBy>
  <cp:revision>2</cp:revision>
  <cp:lastPrinted>2022-08-03T13:36:00Z</cp:lastPrinted>
  <dcterms:created xsi:type="dcterms:W3CDTF">2024-10-28T22:01:00Z</dcterms:created>
  <dcterms:modified xsi:type="dcterms:W3CDTF">2024-10-28T22:01:00Z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2024-01-09T08:05:30Z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e9da4ac1-f26f-485f-83ae-d88639088028</vt:lpwstr>
  </property>
  <property fmtid="{D5CDD505-2E9C-101B-9397-08002B2CF9AE}" pid="7" name="MSIP_Label_defa4170-0d19-0005-0004-bc88714345d2_ActionId">
    <vt:lpwstr>253bb50e-0753-49ed-8d44-788621f13038</vt:lpwstr>
  </property>
  <property fmtid="{D5CDD505-2E9C-101B-9397-08002B2CF9AE}" pid="8" name="MSIP_Label_defa4170-0d19-0005-0004-bc88714345d2_ContentBits">
    <vt:lpwstr>0</vt:lpwstr>
  </property>
  <property fmtid="{D5CDD505-2E9C-101B-9397-08002B2CF9AE}" pid="9" name="ClassificationContentMarkingFooterShapeIds">
    <vt:lpwstr>40b80238,500995bc,5e3c7739</vt:lpwstr>
  </property>
  <property fmtid="{D5CDD505-2E9C-101B-9397-08002B2CF9AE}" pid="10" name="ClassificationContentMarkingFooterFontProps">
    <vt:lpwstr>#0078d7,9,Rockwell</vt:lpwstr>
  </property>
  <property fmtid="{D5CDD505-2E9C-101B-9397-08002B2CF9AE}" pid="11" name="ClassificationContentMarkingFooterText">
    <vt:lpwstr>Information Classification: General</vt:lpwstr>
  </property>
  <property fmtid="{D5CDD505-2E9C-101B-9397-08002B2CF9AE}" pid="12" name="MSIP_Label_2bbab825-a111-45e4-86a1-18cee0005896_Enabled">
    <vt:lpwstr>true</vt:lpwstr>
  </property>
  <property fmtid="{D5CDD505-2E9C-101B-9397-08002B2CF9AE}" pid="13" name="MSIP_Label_2bbab825-a111-45e4-86a1-18cee0005896_SetDate">
    <vt:lpwstr>2024-06-13T00:47:33Z</vt:lpwstr>
  </property>
  <property fmtid="{D5CDD505-2E9C-101B-9397-08002B2CF9AE}" pid="14" name="MSIP_Label_2bbab825-a111-45e4-86a1-18cee0005896_Method">
    <vt:lpwstr>Standard</vt:lpwstr>
  </property>
  <property fmtid="{D5CDD505-2E9C-101B-9397-08002B2CF9AE}" pid="15" name="MSIP_Label_2bbab825-a111-45e4-86a1-18cee0005896_Name">
    <vt:lpwstr>2bbab825-a111-45e4-86a1-18cee0005896</vt:lpwstr>
  </property>
  <property fmtid="{D5CDD505-2E9C-101B-9397-08002B2CF9AE}" pid="16" name="MSIP_Label_2bbab825-a111-45e4-86a1-18cee0005896_SiteId">
    <vt:lpwstr>2567d566-604c-408a-8a60-55d0dc9d9d6b</vt:lpwstr>
  </property>
  <property fmtid="{D5CDD505-2E9C-101B-9397-08002B2CF9AE}" pid="17" name="MSIP_Label_2bbab825-a111-45e4-86a1-18cee0005896_ActionId">
    <vt:lpwstr>5e634d32-9b75-45a0-ad7f-14a2dd7817eb</vt:lpwstr>
  </property>
  <property fmtid="{D5CDD505-2E9C-101B-9397-08002B2CF9AE}" pid="18" name="MSIP_Label_2bbab825-a111-45e4-86a1-18cee0005896_ContentBits">
    <vt:lpwstr>2</vt:lpwstr>
  </property>
</Properties>
</file>