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531" w:rsidRDefault="00134531" w:rsidP="00134531">
      <w:pPr>
        <w:spacing w:line="480" w:lineRule="auto"/>
        <w:jc w:val="both"/>
        <w:rPr>
          <w:rFonts w:ascii="Arial" w:hAnsi="Arial" w:cs="Arial"/>
        </w:rPr>
      </w:pPr>
      <w:r w:rsidRPr="008435B8">
        <w:rPr>
          <w:rFonts w:ascii="Arial" w:hAnsi="Arial" w:cs="Arial"/>
          <w:b/>
          <w:bCs/>
        </w:rPr>
        <w:t>Supplementary Figure S1</w:t>
      </w:r>
      <w:r>
        <w:rPr>
          <w:rFonts w:ascii="Arial" w:hAnsi="Arial" w:cs="Arial"/>
          <w:b/>
          <w:bCs/>
          <w:lang w:val="en-US"/>
        </w:rPr>
        <w:t>.</w:t>
      </w:r>
      <w:r w:rsidRPr="008435B8">
        <w:rPr>
          <w:rFonts w:ascii="Arial" w:hAnsi="Arial" w:cs="Arial"/>
        </w:rPr>
        <w:t xml:space="preserve"> Maps of mRNA vaccine constructs. (A) The map of pT7AG-RBD-mC3-pA. This construct was for RBD-mC3 mRNA production. (B) The map of pT7AG-RBD-mFc-pA. This construct was for RBD-mFc mRNA production. (C) The map of pT7AG-RBD-pA. This construct was for RBD mRNA production. Every construct involves a T7 promoter, a 5’UTR, an open reading frame, a 3’UTR, and a segmented polyA tail.</w:t>
      </w:r>
    </w:p>
    <w:p w:rsidR="00134531" w:rsidRDefault="00134531" w:rsidP="00134531">
      <w:pPr>
        <w:spacing w:line="480" w:lineRule="auto"/>
        <w:jc w:val="both"/>
        <w:rPr>
          <w:rFonts w:ascii="Arial" w:hAnsi="Arial" w:cs="Arial"/>
        </w:rPr>
      </w:pPr>
    </w:p>
    <w:p w:rsidR="00134531" w:rsidRPr="008435B8" w:rsidRDefault="00134531" w:rsidP="00134531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807E062" wp14:editId="5137E7B7">
            <wp:extent cx="5943600" cy="2187575"/>
            <wp:effectExtent l="0" t="0" r="0" b="0"/>
            <wp:docPr id="583605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05002" name="Picture 5836050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31" w:rsidRDefault="00134531" w:rsidP="005F3EFC">
      <w:pPr>
        <w:spacing w:line="480" w:lineRule="auto"/>
        <w:rPr>
          <w:rFonts w:ascii="Arial" w:hAnsi="Arial" w:cs="Arial"/>
          <w:b/>
          <w:bCs/>
        </w:rPr>
      </w:pPr>
    </w:p>
    <w:p w:rsidR="00134531" w:rsidRDefault="001345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AB2A60" w:rsidRDefault="002B77C8" w:rsidP="005F3EFC">
      <w:pPr>
        <w:spacing w:line="480" w:lineRule="auto"/>
        <w:rPr>
          <w:rFonts w:ascii="Arial" w:hAnsi="Arial" w:cs="Arial"/>
          <w:lang w:val="en-US"/>
        </w:rPr>
      </w:pPr>
      <w:r w:rsidRPr="00C92CEA">
        <w:rPr>
          <w:rFonts w:ascii="Arial" w:hAnsi="Arial" w:cs="Arial"/>
          <w:b/>
          <w:bCs/>
        </w:rPr>
        <w:lastRenderedPageBreak/>
        <w:t>S</w:t>
      </w:r>
      <w:proofErr w:type="spellStart"/>
      <w:r w:rsidR="0066246E">
        <w:rPr>
          <w:rFonts w:ascii="Arial" w:hAnsi="Arial" w:cs="Arial"/>
          <w:b/>
          <w:bCs/>
          <w:lang w:val="en-US"/>
        </w:rPr>
        <w:t>u</w:t>
      </w:r>
      <w:r w:rsidRPr="00C92CEA">
        <w:rPr>
          <w:rFonts w:ascii="Arial" w:hAnsi="Arial" w:cs="Arial"/>
          <w:b/>
          <w:bCs/>
          <w:lang w:val="en-US"/>
        </w:rPr>
        <w:t>pplement</w:t>
      </w:r>
      <w:r w:rsidR="00B34D9D">
        <w:rPr>
          <w:rFonts w:ascii="Arial" w:hAnsi="Arial" w:cs="Arial"/>
          <w:b/>
          <w:bCs/>
          <w:lang w:val="en-US"/>
        </w:rPr>
        <w:t>a</w:t>
      </w:r>
      <w:r w:rsidR="0066246E">
        <w:rPr>
          <w:rFonts w:ascii="Arial" w:hAnsi="Arial" w:cs="Arial"/>
          <w:b/>
          <w:bCs/>
          <w:lang w:val="en-US"/>
        </w:rPr>
        <w:t>ry</w:t>
      </w:r>
      <w:proofErr w:type="spellEnd"/>
      <w:r w:rsidRPr="00C92CEA">
        <w:rPr>
          <w:rFonts w:ascii="Arial" w:hAnsi="Arial" w:cs="Arial"/>
          <w:b/>
          <w:bCs/>
          <w:lang w:val="en-US"/>
        </w:rPr>
        <w:t xml:space="preserve"> Table </w:t>
      </w:r>
      <w:r w:rsidR="00CB06DF">
        <w:rPr>
          <w:rFonts w:ascii="Arial" w:hAnsi="Arial" w:cs="Arial"/>
          <w:b/>
          <w:bCs/>
          <w:lang w:val="en-US"/>
        </w:rPr>
        <w:t>S</w:t>
      </w:r>
      <w:r w:rsidRPr="00C92CEA">
        <w:rPr>
          <w:rFonts w:ascii="Arial" w:hAnsi="Arial" w:cs="Arial"/>
          <w:b/>
          <w:bCs/>
          <w:lang w:val="en-US"/>
        </w:rPr>
        <w:t>1</w:t>
      </w:r>
      <w:r w:rsidR="00134531">
        <w:rPr>
          <w:rFonts w:ascii="Arial" w:hAnsi="Arial" w:cs="Arial"/>
          <w:b/>
          <w:bCs/>
          <w:lang w:val="en-US"/>
        </w:rPr>
        <w:t>.</w:t>
      </w:r>
      <w:r w:rsidRPr="00C92CEA">
        <w:rPr>
          <w:rFonts w:ascii="Arial" w:hAnsi="Arial" w:cs="Arial"/>
          <w:lang w:val="en-US"/>
        </w:rPr>
        <w:t xml:space="preserve"> </w:t>
      </w:r>
      <w:r w:rsidR="00887AE0" w:rsidRPr="00C92CEA">
        <w:rPr>
          <w:rFonts w:ascii="Arial" w:hAnsi="Arial" w:cs="Arial"/>
          <w:lang w:val="en-US"/>
        </w:rPr>
        <w:t xml:space="preserve">Encapsulation efficiency of mRNA-LNP. </w:t>
      </w:r>
      <w:r w:rsidR="00011FD3" w:rsidRPr="00011FD3">
        <w:rPr>
          <w:rFonts w:ascii="Arial" w:hAnsi="Arial" w:cs="Arial"/>
          <w:lang w:val="en-US"/>
        </w:rPr>
        <w:t xml:space="preserve">The amount of RBD mRNA was quantified before encapsulation into LNPs (input). </w:t>
      </w:r>
      <w:r w:rsidR="00011FD3">
        <w:rPr>
          <w:rFonts w:ascii="Arial" w:hAnsi="Arial" w:cs="Arial"/>
          <w:lang w:val="en-US"/>
        </w:rPr>
        <w:t>Then</w:t>
      </w:r>
      <w:r w:rsidR="00011FD3" w:rsidRPr="00011FD3">
        <w:rPr>
          <w:rFonts w:ascii="Arial" w:hAnsi="Arial" w:cs="Arial"/>
          <w:lang w:val="en-US"/>
        </w:rPr>
        <w:t>, the mRNA was extracted and purified from the LNPs, and its quantity was measured again (output). Encapsulation efficiency was calculated as the ratio of output to input and expressed as a percentage. Eight batches of mRNA-LNP were used to determine encapsulation efficiency.</w:t>
      </w:r>
    </w:p>
    <w:p w:rsidR="00134531" w:rsidRDefault="00134531" w:rsidP="005F3EFC">
      <w:pPr>
        <w:spacing w:line="480" w:lineRule="auto"/>
        <w:rPr>
          <w:rFonts w:ascii="Arial" w:hAnsi="Arial" w:cs="Arial"/>
          <w:lang w:val="en-US"/>
        </w:rPr>
      </w:pPr>
    </w:p>
    <w:p w:rsidR="00134531" w:rsidRDefault="00134531" w:rsidP="005F3EFC">
      <w:pPr>
        <w:spacing w:line="480" w:lineRule="auto"/>
        <w:rPr>
          <w:rFonts w:ascii="Arial" w:hAnsi="Arial" w:cs="Arial"/>
          <w:lang w:val="en-US"/>
        </w:rPr>
      </w:pPr>
    </w:p>
    <w:tbl>
      <w:tblPr>
        <w:tblpPr w:leftFromText="180" w:rightFromText="180" w:vertAnchor="page" w:horzAnchor="margin" w:tblpXSpec="center" w:tblpY="5309"/>
        <w:tblW w:w="9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840"/>
        <w:gridCol w:w="2060"/>
        <w:gridCol w:w="3280"/>
      </w:tblGrid>
      <w:tr w:rsidR="00134531" w:rsidRPr="002B77C8" w:rsidTr="00134531">
        <w:trPr>
          <w:trHeight w:val="680"/>
        </w:trPr>
        <w:tc>
          <w:tcPr>
            <w:tcW w:w="198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C92CEA">
              <w:rPr>
                <w:rFonts w:ascii="Arial" w:hAnsi="Arial" w:cs="Arial"/>
                <w:b/>
                <w:bCs/>
                <w:lang w:val="en-US"/>
              </w:rPr>
              <w:t>Batch</w:t>
            </w:r>
          </w:p>
        </w:tc>
        <w:tc>
          <w:tcPr>
            <w:tcW w:w="184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Input</w:t>
            </w:r>
          </w:p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(µg)</w:t>
            </w:r>
          </w:p>
        </w:tc>
        <w:tc>
          <w:tcPr>
            <w:tcW w:w="206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Output</w:t>
            </w:r>
          </w:p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(µg)</w:t>
            </w:r>
          </w:p>
        </w:tc>
        <w:tc>
          <w:tcPr>
            <w:tcW w:w="328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Encapsulation efficiency</w:t>
            </w:r>
          </w:p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(%)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#1</w:t>
            </w:r>
          </w:p>
        </w:tc>
        <w:tc>
          <w:tcPr>
            <w:tcW w:w="184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8.0</w:t>
            </w:r>
          </w:p>
        </w:tc>
        <w:tc>
          <w:tcPr>
            <w:tcW w:w="206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8.0</w:t>
            </w:r>
          </w:p>
        </w:tc>
        <w:tc>
          <w:tcPr>
            <w:tcW w:w="328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100.0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8.0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7.9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98.8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4.0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3.9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97.5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4.0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3.8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95.0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4.0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3.9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97.5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4.0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3.9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97.5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1.9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95.0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  <w:lang w:val="en-US"/>
              </w:rPr>
              <w:t>#8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8.0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7.9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lang w:val="en-US"/>
              </w:rPr>
              <w:t>98.8</w:t>
            </w:r>
          </w:p>
        </w:tc>
      </w:tr>
      <w:tr w:rsidR="00134531" w:rsidRPr="002B77C8" w:rsidTr="00134531">
        <w:trPr>
          <w:trHeight w:val="680"/>
        </w:trPr>
        <w:tc>
          <w:tcPr>
            <w:tcW w:w="1980" w:type="dxa"/>
            <w:tcBorders>
              <w:top w:val="single" w:sz="8" w:space="0" w:color="AFABAB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</w:rPr>
              <w:t>Average</w:t>
            </w:r>
          </w:p>
        </w:tc>
        <w:tc>
          <w:tcPr>
            <w:tcW w:w="1840" w:type="dxa"/>
            <w:tcBorders>
              <w:top w:val="single" w:sz="8" w:space="0" w:color="AFABAB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C92CEA">
              <w:rPr>
                <w:rFonts w:ascii="Arial" w:hAnsi="Arial" w:cs="Arial"/>
              </w:rPr>
              <w:t>5</w:t>
            </w:r>
            <w:r w:rsidRPr="00C92CEA">
              <w:rPr>
                <w:rFonts w:ascii="Arial" w:hAnsi="Arial" w:cs="Arial"/>
                <w:lang w:val="en-US"/>
              </w:rPr>
              <w:t>.25</w:t>
            </w:r>
          </w:p>
        </w:tc>
        <w:tc>
          <w:tcPr>
            <w:tcW w:w="2060" w:type="dxa"/>
            <w:tcBorders>
              <w:top w:val="single" w:sz="8" w:space="0" w:color="AFABAB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C92CEA">
              <w:rPr>
                <w:rFonts w:ascii="Arial" w:hAnsi="Arial" w:cs="Arial"/>
              </w:rPr>
              <w:t>5</w:t>
            </w:r>
            <w:r w:rsidRPr="00C92CEA">
              <w:rPr>
                <w:rFonts w:ascii="Arial" w:hAnsi="Arial" w:cs="Arial"/>
                <w:lang w:val="en-US"/>
              </w:rPr>
              <w:t>.15</w:t>
            </w:r>
          </w:p>
        </w:tc>
        <w:tc>
          <w:tcPr>
            <w:tcW w:w="3280" w:type="dxa"/>
            <w:tcBorders>
              <w:top w:val="single" w:sz="8" w:space="0" w:color="AFABAB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4531" w:rsidRPr="002B77C8" w:rsidRDefault="00134531" w:rsidP="00134531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2B77C8">
              <w:rPr>
                <w:rFonts w:ascii="Arial" w:hAnsi="Arial" w:cs="Arial"/>
                <w:b/>
                <w:bCs/>
              </w:rPr>
              <w:t>98.1</w:t>
            </w:r>
          </w:p>
        </w:tc>
      </w:tr>
    </w:tbl>
    <w:p w:rsidR="00134531" w:rsidRPr="00C92CEA" w:rsidRDefault="00134531" w:rsidP="005F3EFC">
      <w:pPr>
        <w:spacing w:line="480" w:lineRule="auto"/>
        <w:rPr>
          <w:rFonts w:ascii="Arial" w:hAnsi="Arial" w:cs="Arial"/>
          <w:lang w:val="en-US"/>
        </w:rPr>
      </w:pPr>
    </w:p>
    <w:sectPr w:rsidR="00134531" w:rsidRPr="00C92CEA" w:rsidSect="001345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5445B"/>
    <w:multiLevelType w:val="multilevel"/>
    <w:tmpl w:val="4192F53E"/>
    <w:styleLink w:val="thesis"/>
    <w:lvl w:ilvl="0">
      <w:start w:val="1"/>
      <w:numFmt w:val="none"/>
      <w:suff w:val="space"/>
      <w:lvlText w:val="%1"/>
      <w:lvlJc w:val="left"/>
      <w:pPr>
        <w:ind w:left="425" w:hanging="425"/>
      </w:pPr>
      <w:rPr>
        <w:rFonts w:hint="eastAsia"/>
        <w:b/>
        <w:color w:val="auto"/>
        <w:sz w:val="24"/>
      </w:rPr>
    </w:lvl>
    <w:lvl w:ilvl="1">
      <w:start w:val="1"/>
      <w:numFmt w:val="decimal"/>
      <w:suff w:val="space"/>
      <w:lvlText w:val="%1%2."/>
      <w:lvlJc w:val="left"/>
      <w:pPr>
        <w:ind w:left="567" w:hanging="567"/>
      </w:pPr>
      <w:rPr>
        <w:rFonts w:hint="eastAsia"/>
        <w:b/>
        <w:sz w:val="24"/>
      </w:rPr>
    </w:lvl>
    <w:lvl w:ilvl="2">
      <w:start w:val="1"/>
      <w:numFmt w:val="decimal"/>
      <w:suff w:val="space"/>
      <w:lvlText w:val="%1%2.%3."/>
      <w:lvlJc w:val="left"/>
      <w:pPr>
        <w:ind w:left="709" w:hanging="709"/>
      </w:pPr>
      <w:rPr>
        <w:rFonts w:hint="eastAsia"/>
        <w:sz w:val="24"/>
      </w:rPr>
    </w:lvl>
    <w:lvl w:ilvl="3">
      <w:start w:val="1"/>
      <w:numFmt w:val="decimal"/>
      <w:suff w:val="space"/>
      <w:lvlText w:val="%1%2.%3.%4."/>
      <w:lvlJc w:val="left"/>
      <w:pPr>
        <w:ind w:left="851" w:hanging="851"/>
      </w:pPr>
      <w:rPr>
        <w:rFonts w:hint="eastAsia"/>
        <w:sz w:val="24"/>
      </w:rPr>
    </w:lvl>
    <w:lvl w:ilvl="4">
      <w:start w:val="1"/>
      <w:numFmt w:val="decimal"/>
      <w:suff w:val="space"/>
      <w:lvlText w:val="%1%2.%3.%4.%5."/>
      <w:lvlJc w:val="left"/>
      <w:pPr>
        <w:ind w:left="992" w:hanging="992"/>
      </w:pPr>
      <w:rPr>
        <w:rFonts w:hint="eastAsia"/>
        <w:sz w:val="24"/>
      </w:rPr>
    </w:lvl>
    <w:lvl w:ilvl="5">
      <w:start w:val="1"/>
      <w:numFmt w:val="decimal"/>
      <w:suff w:val="space"/>
      <w:lvlText w:val="%1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suff w:val="space"/>
      <w:lvlText w:val="%1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suff w:val="space"/>
      <w:lvlText w:val="%1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suff w:val="space"/>
      <w:lvlText w:val="%1%2.%3.%4.%5.%6.%7.%8.%9."/>
      <w:lvlJc w:val="left"/>
      <w:pPr>
        <w:ind w:left="1559" w:hanging="1559"/>
      </w:pPr>
      <w:rPr>
        <w:rFonts w:hint="eastAsia"/>
      </w:rPr>
    </w:lvl>
  </w:abstractNum>
  <w:num w:numId="1" w16cid:durableId="69496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C8"/>
    <w:rsid w:val="00011FD3"/>
    <w:rsid w:val="000A28BD"/>
    <w:rsid w:val="00134531"/>
    <w:rsid w:val="0015222B"/>
    <w:rsid w:val="00170E9F"/>
    <w:rsid w:val="0017355B"/>
    <w:rsid w:val="00183B3A"/>
    <w:rsid w:val="0019194C"/>
    <w:rsid w:val="00193857"/>
    <w:rsid w:val="001B3918"/>
    <w:rsid w:val="00287D05"/>
    <w:rsid w:val="002B77C8"/>
    <w:rsid w:val="0033132F"/>
    <w:rsid w:val="003458F0"/>
    <w:rsid w:val="003727B7"/>
    <w:rsid w:val="00384F27"/>
    <w:rsid w:val="004369C2"/>
    <w:rsid w:val="004811A8"/>
    <w:rsid w:val="0052345B"/>
    <w:rsid w:val="00544DB7"/>
    <w:rsid w:val="00555CC0"/>
    <w:rsid w:val="0057041D"/>
    <w:rsid w:val="00572C8D"/>
    <w:rsid w:val="005F3EFC"/>
    <w:rsid w:val="00604964"/>
    <w:rsid w:val="0066246E"/>
    <w:rsid w:val="0076167C"/>
    <w:rsid w:val="00887AE0"/>
    <w:rsid w:val="009066B2"/>
    <w:rsid w:val="00A22065"/>
    <w:rsid w:val="00A80924"/>
    <w:rsid w:val="00A96B64"/>
    <w:rsid w:val="00AB2A60"/>
    <w:rsid w:val="00B34D9D"/>
    <w:rsid w:val="00B44633"/>
    <w:rsid w:val="00B531A4"/>
    <w:rsid w:val="00B979B1"/>
    <w:rsid w:val="00BD06A1"/>
    <w:rsid w:val="00BE2AFA"/>
    <w:rsid w:val="00C63589"/>
    <w:rsid w:val="00C92CEA"/>
    <w:rsid w:val="00CB06DF"/>
    <w:rsid w:val="00D72FB5"/>
    <w:rsid w:val="00D96A23"/>
    <w:rsid w:val="00DE0E2B"/>
    <w:rsid w:val="00DE5DB5"/>
    <w:rsid w:val="00EA749A"/>
    <w:rsid w:val="00EC76DA"/>
    <w:rsid w:val="00F836DF"/>
    <w:rsid w:val="00F8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9854C9"/>
  <w15:chartTrackingRefBased/>
  <w15:docId w15:val="{4552C17F-752E-B840-A0B3-0F95832E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7C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7C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7C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7C8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7C8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7C8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7C8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esis">
    <w:name w:val="thesis"/>
    <w:uiPriority w:val="99"/>
    <w:rsid w:val="00170E9F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B77C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7C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7C8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7C8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77C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7C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7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7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7C8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F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8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Winni Chen</cp:lastModifiedBy>
  <cp:revision>2</cp:revision>
  <dcterms:created xsi:type="dcterms:W3CDTF">2024-07-10T05:36:00Z</dcterms:created>
  <dcterms:modified xsi:type="dcterms:W3CDTF">2024-07-10T05:36:00Z</dcterms:modified>
</cp:coreProperties>
</file>