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1638B" w14:textId="76BB66AD" w:rsidR="00A25915" w:rsidRPr="00947DA7" w:rsidRDefault="00947DA7" w:rsidP="00E073D4">
      <w:pPr>
        <w:spacing w:line="360" w:lineRule="auto"/>
        <w:rPr>
          <w:rFonts w:ascii="Arial" w:hAnsi="Arial" w:cs="Arial"/>
          <w:b/>
          <w:bCs/>
          <w:color w:val="000000"/>
          <w:sz w:val="32"/>
          <w:szCs w:val="32"/>
        </w:rPr>
      </w:pPr>
      <w:r w:rsidRPr="00947DA7">
        <w:rPr>
          <w:rFonts w:ascii="Arial" w:hAnsi="Arial" w:cs="Arial"/>
          <w:b/>
          <w:bCs/>
          <w:color w:val="000000"/>
          <w:sz w:val="32"/>
          <w:szCs w:val="32"/>
        </w:rPr>
        <w:t xml:space="preserve">Supplementary </w:t>
      </w:r>
      <w:r w:rsidR="009868DE" w:rsidRPr="00947DA7">
        <w:rPr>
          <w:rFonts w:ascii="Arial" w:hAnsi="Arial" w:cs="Arial"/>
          <w:b/>
          <w:bCs/>
          <w:color w:val="000000"/>
          <w:sz w:val="32"/>
          <w:szCs w:val="32"/>
        </w:rPr>
        <w:t>Experimental Section</w:t>
      </w:r>
      <w:r w:rsidRPr="00947DA7">
        <w:rPr>
          <w:rFonts w:ascii="Arial" w:hAnsi="Arial" w:cs="Arial"/>
          <w:b/>
          <w:bCs/>
          <w:color w:val="000000"/>
          <w:sz w:val="32"/>
          <w:szCs w:val="32"/>
        </w:rPr>
        <w:t xml:space="preserve"> 1</w:t>
      </w:r>
    </w:p>
    <w:p w14:paraId="6A388932" w14:textId="15F420E7" w:rsidR="00294CED" w:rsidRPr="00947DA7" w:rsidRDefault="00E14DCA" w:rsidP="00E073D4">
      <w:pPr>
        <w:spacing w:line="360" w:lineRule="auto"/>
        <w:rPr>
          <w:rFonts w:ascii="Arial" w:hAnsi="Arial" w:cs="Arial"/>
          <w:color w:val="000000"/>
          <w:sz w:val="20"/>
          <w:szCs w:val="20"/>
        </w:rPr>
      </w:pPr>
      <w:r w:rsidRPr="00947DA7">
        <w:rPr>
          <w:rFonts w:ascii="Arial" w:hAnsi="Arial" w:cs="Arial"/>
          <w:color w:val="000000"/>
          <w:sz w:val="20"/>
          <w:szCs w:val="20"/>
        </w:rPr>
        <w:t>Chemicals:</w:t>
      </w:r>
      <w:r w:rsidR="00B54D65" w:rsidRPr="00947DA7">
        <w:rPr>
          <w:rFonts w:ascii="Arial" w:hAnsi="Arial" w:cs="Arial"/>
          <w:color w:val="000000"/>
          <w:sz w:val="20"/>
          <w:szCs w:val="20"/>
        </w:rPr>
        <w:t xml:space="preserve"> </w:t>
      </w:r>
      <w:r w:rsidR="00A3419F" w:rsidRPr="00947DA7">
        <w:rPr>
          <w:rFonts w:ascii="Arial" w:hAnsi="Arial" w:cs="Arial"/>
          <w:color w:val="000000"/>
          <w:sz w:val="20"/>
          <w:szCs w:val="20"/>
        </w:rPr>
        <w:t>Na</w:t>
      </w:r>
      <w:r w:rsidR="00A3419F" w:rsidRPr="00947DA7">
        <w:rPr>
          <w:rFonts w:ascii="Arial" w:hAnsi="Arial" w:cs="Arial"/>
          <w:color w:val="000000"/>
          <w:sz w:val="20"/>
          <w:szCs w:val="20"/>
          <w:vertAlign w:val="subscript"/>
        </w:rPr>
        <w:t>2</w:t>
      </w:r>
      <w:r w:rsidR="00A3419F" w:rsidRPr="00947DA7">
        <w:rPr>
          <w:rFonts w:ascii="Arial" w:hAnsi="Arial" w:cs="Arial"/>
          <w:color w:val="000000"/>
          <w:sz w:val="20"/>
          <w:szCs w:val="20"/>
        </w:rPr>
        <w:t>PdCl</w:t>
      </w:r>
      <w:r w:rsidR="00A3419F" w:rsidRPr="00947DA7">
        <w:rPr>
          <w:rFonts w:ascii="Arial" w:hAnsi="Arial" w:cs="Arial"/>
          <w:color w:val="000000"/>
          <w:sz w:val="20"/>
          <w:szCs w:val="20"/>
          <w:vertAlign w:val="subscript"/>
        </w:rPr>
        <w:t>4</w:t>
      </w:r>
      <w:r w:rsidR="0032313F" w:rsidRPr="00947DA7">
        <w:rPr>
          <w:rFonts w:ascii="Arial" w:hAnsi="Arial" w:cs="Arial"/>
          <w:color w:val="000000"/>
          <w:sz w:val="20"/>
          <w:szCs w:val="20"/>
        </w:rPr>
        <w:t xml:space="preserve"> (98%)</w:t>
      </w:r>
      <w:r w:rsidR="00A3419F" w:rsidRPr="00947DA7">
        <w:rPr>
          <w:rFonts w:ascii="Arial" w:hAnsi="Arial" w:cs="Arial"/>
          <w:color w:val="000000"/>
          <w:sz w:val="20"/>
          <w:szCs w:val="20"/>
        </w:rPr>
        <w:t xml:space="preserve">, </w:t>
      </w:r>
      <w:r w:rsidR="00F476CE" w:rsidRPr="00947DA7">
        <w:rPr>
          <w:rFonts w:ascii="Arial" w:hAnsi="Arial" w:cs="Arial"/>
          <w:color w:val="000000"/>
          <w:sz w:val="20"/>
          <w:szCs w:val="20"/>
        </w:rPr>
        <w:t>Cu</w:t>
      </w:r>
      <w:r w:rsidR="00BC1444" w:rsidRPr="00947DA7">
        <w:rPr>
          <w:rFonts w:ascii="Arial" w:hAnsi="Arial" w:cs="Arial"/>
          <w:color w:val="000000"/>
          <w:sz w:val="20"/>
          <w:szCs w:val="20"/>
        </w:rPr>
        <w:t>(acac)</w:t>
      </w:r>
      <w:r w:rsidR="00F476CE" w:rsidRPr="00947DA7">
        <w:rPr>
          <w:rFonts w:ascii="Arial" w:hAnsi="Arial" w:cs="Arial"/>
          <w:color w:val="000000"/>
          <w:sz w:val="20"/>
          <w:szCs w:val="20"/>
          <w:vertAlign w:val="subscript"/>
        </w:rPr>
        <w:t>2</w:t>
      </w:r>
      <w:r w:rsidR="0032313F" w:rsidRPr="00947DA7">
        <w:rPr>
          <w:rFonts w:ascii="Arial" w:hAnsi="Arial" w:cs="Arial"/>
          <w:color w:val="000000"/>
          <w:sz w:val="20"/>
          <w:szCs w:val="20"/>
        </w:rPr>
        <w:t xml:space="preserve"> (99.99%)</w:t>
      </w:r>
      <w:r w:rsidR="000034CD" w:rsidRPr="00947DA7">
        <w:rPr>
          <w:rFonts w:ascii="Arial" w:hAnsi="Arial" w:cs="Arial"/>
          <w:color w:val="000000"/>
          <w:sz w:val="20"/>
          <w:szCs w:val="20"/>
        </w:rPr>
        <w:t xml:space="preserve"> and</w:t>
      </w:r>
      <w:r w:rsidR="00F476CE" w:rsidRPr="00947DA7">
        <w:rPr>
          <w:rFonts w:ascii="Arial" w:hAnsi="Arial" w:cs="Arial"/>
          <w:color w:val="000000"/>
          <w:sz w:val="20"/>
          <w:szCs w:val="20"/>
        </w:rPr>
        <w:t xml:space="preserve"> NaBH</w:t>
      </w:r>
      <w:r w:rsidR="00F476CE" w:rsidRPr="00947DA7">
        <w:rPr>
          <w:rFonts w:ascii="Arial" w:hAnsi="Arial" w:cs="Arial"/>
          <w:color w:val="000000"/>
          <w:sz w:val="20"/>
          <w:szCs w:val="20"/>
          <w:vertAlign w:val="subscript"/>
        </w:rPr>
        <w:t>4</w:t>
      </w:r>
      <w:r w:rsidR="000034CD" w:rsidRPr="00947DA7">
        <w:rPr>
          <w:rFonts w:ascii="Arial" w:hAnsi="Arial" w:cs="Arial"/>
          <w:color w:val="000000"/>
          <w:sz w:val="20"/>
          <w:szCs w:val="20"/>
        </w:rPr>
        <w:t xml:space="preserve"> (95%) </w:t>
      </w:r>
      <w:r w:rsidR="00394938" w:rsidRPr="00947DA7">
        <w:rPr>
          <w:rFonts w:ascii="Arial" w:hAnsi="Arial" w:cs="Arial"/>
          <w:color w:val="000000"/>
          <w:sz w:val="20"/>
          <w:szCs w:val="20"/>
        </w:rPr>
        <w:t>were purchased from Aladdin (Shanghai, China)</w:t>
      </w:r>
      <w:r w:rsidR="00F476CE" w:rsidRPr="00947DA7">
        <w:rPr>
          <w:rFonts w:ascii="Arial" w:hAnsi="Arial" w:cs="Arial"/>
          <w:color w:val="000000"/>
          <w:sz w:val="20"/>
          <w:szCs w:val="20"/>
        </w:rPr>
        <w:t>.</w:t>
      </w:r>
      <w:r w:rsidR="00176AF5" w:rsidRPr="00947DA7">
        <w:rPr>
          <w:rFonts w:ascii="Arial" w:hAnsi="Arial" w:cs="Arial"/>
          <w:color w:val="000000"/>
          <w:sz w:val="20"/>
          <w:szCs w:val="20"/>
        </w:rPr>
        <w:t xml:space="preserve"> </w:t>
      </w:r>
      <w:r w:rsidR="003B4055" w:rsidRPr="00947DA7">
        <w:rPr>
          <w:rFonts w:ascii="Arial" w:hAnsi="Arial" w:cs="Arial"/>
          <w:color w:val="000000"/>
          <w:sz w:val="20"/>
          <w:szCs w:val="20"/>
        </w:rPr>
        <w:t>Cell counting kit 8 (CCK8) was obtained from KeyGEN (Jiangsu, China)</w:t>
      </w:r>
      <w:r w:rsidR="008827BC" w:rsidRPr="00947DA7">
        <w:rPr>
          <w:rFonts w:ascii="Arial" w:hAnsi="Arial" w:cs="Arial"/>
          <w:color w:val="000000"/>
          <w:sz w:val="20"/>
          <w:szCs w:val="20"/>
        </w:rPr>
        <w:t>. Phosphate buffered saline, Dulbecco's modification of eagle's medium (DMEM) and fetal bovine serum (FBS) were purchased from Gibco (USA).</w:t>
      </w:r>
      <w:r w:rsidR="00B64396" w:rsidRPr="00947DA7">
        <w:rPr>
          <w:rFonts w:ascii="Arial" w:hAnsi="Arial" w:cs="Arial"/>
          <w:color w:val="000000"/>
          <w:sz w:val="20"/>
          <w:szCs w:val="20"/>
        </w:rPr>
        <w:t xml:space="preserve"> All reagents </w:t>
      </w:r>
      <w:r w:rsidR="00294CED" w:rsidRPr="00947DA7">
        <w:rPr>
          <w:rFonts w:ascii="Arial" w:hAnsi="Arial" w:cs="Arial"/>
          <w:color w:val="000000"/>
          <w:sz w:val="20"/>
          <w:szCs w:val="20"/>
        </w:rPr>
        <w:t>were used without further purification.</w:t>
      </w:r>
    </w:p>
    <w:p w14:paraId="13466322" w14:textId="553F0D5D" w:rsidR="00E14DCA" w:rsidRPr="00947DA7" w:rsidRDefault="006363FB" w:rsidP="00E073D4">
      <w:pPr>
        <w:spacing w:line="360" w:lineRule="auto"/>
        <w:rPr>
          <w:rFonts w:ascii="Arial" w:hAnsi="Arial" w:cs="Arial"/>
          <w:color w:val="000000"/>
          <w:sz w:val="20"/>
          <w:szCs w:val="20"/>
        </w:rPr>
      </w:pPr>
      <w:r w:rsidRPr="00947DA7">
        <w:rPr>
          <w:rFonts w:ascii="Arial" w:hAnsi="Arial" w:cs="Arial"/>
          <w:color w:val="000000"/>
          <w:sz w:val="20"/>
          <w:szCs w:val="20"/>
        </w:rPr>
        <w:t>Characterization:</w:t>
      </w:r>
      <w:r w:rsidR="00F476CE" w:rsidRPr="00947DA7">
        <w:rPr>
          <w:rFonts w:ascii="Arial" w:hAnsi="Arial" w:cs="Arial"/>
          <w:color w:val="000000"/>
          <w:sz w:val="20"/>
          <w:szCs w:val="20"/>
        </w:rPr>
        <w:t xml:space="preserve"> </w:t>
      </w:r>
      <w:r w:rsidR="0096221A" w:rsidRPr="00947DA7">
        <w:rPr>
          <w:rFonts w:ascii="Arial" w:hAnsi="Arial" w:cs="Arial"/>
          <w:color w:val="000000"/>
          <w:sz w:val="20"/>
          <w:szCs w:val="20"/>
        </w:rPr>
        <w:t xml:space="preserve">The </w:t>
      </w:r>
      <w:r w:rsidR="004E5391" w:rsidRPr="00947DA7">
        <w:rPr>
          <w:rFonts w:ascii="Arial" w:hAnsi="Arial" w:cs="Arial"/>
          <w:color w:val="000000"/>
          <w:sz w:val="20"/>
          <w:szCs w:val="20"/>
        </w:rPr>
        <w:t xml:space="preserve">morphology was observed on a </w:t>
      </w:r>
      <w:r w:rsidR="00F56D20" w:rsidRPr="00947DA7">
        <w:rPr>
          <w:rFonts w:ascii="Arial" w:hAnsi="Arial" w:cs="Arial"/>
          <w:color w:val="000000"/>
          <w:sz w:val="20"/>
          <w:szCs w:val="20"/>
        </w:rPr>
        <w:t xml:space="preserve">transmission electron microscope </w:t>
      </w:r>
      <w:r w:rsidR="004E5391" w:rsidRPr="00947DA7">
        <w:rPr>
          <w:rFonts w:ascii="Arial" w:hAnsi="Arial" w:cs="Arial"/>
          <w:color w:val="000000"/>
          <w:sz w:val="20"/>
          <w:szCs w:val="20"/>
        </w:rPr>
        <w:t>(</w:t>
      </w:r>
      <w:r w:rsidR="00F476CE" w:rsidRPr="00947DA7">
        <w:rPr>
          <w:rFonts w:ascii="Arial" w:hAnsi="Arial" w:cs="Arial"/>
          <w:color w:val="000000"/>
          <w:sz w:val="20"/>
          <w:szCs w:val="20"/>
        </w:rPr>
        <w:t>TEM</w:t>
      </w:r>
      <w:r w:rsidR="004E5391" w:rsidRPr="00947DA7">
        <w:rPr>
          <w:rFonts w:ascii="Arial" w:hAnsi="Arial" w:cs="Arial"/>
          <w:color w:val="000000"/>
          <w:sz w:val="20"/>
          <w:szCs w:val="20"/>
        </w:rPr>
        <w:t>, JEOL JEM-F200).</w:t>
      </w:r>
      <w:r w:rsidR="00F476CE" w:rsidRPr="00947DA7">
        <w:rPr>
          <w:rFonts w:ascii="Arial" w:hAnsi="Arial" w:cs="Arial"/>
          <w:color w:val="000000"/>
          <w:sz w:val="20"/>
          <w:szCs w:val="20"/>
        </w:rPr>
        <w:t xml:space="preserve"> </w:t>
      </w:r>
      <w:r w:rsidR="00DD60C8" w:rsidRPr="00947DA7">
        <w:rPr>
          <w:rFonts w:ascii="Arial" w:hAnsi="Arial" w:cs="Arial"/>
          <w:color w:val="000000"/>
          <w:sz w:val="20"/>
          <w:szCs w:val="20"/>
        </w:rPr>
        <w:t>The surface elements state was assessed by x</w:t>
      </w:r>
      <w:r w:rsidR="00C4316D" w:rsidRPr="00947DA7">
        <w:rPr>
          <w:rFonts w:ascii="Arial" w:hAnsi="Arial" w:cs="Arial"/>
          <w:color w:val="000000"/>
          <w:sz w:val="20"/>
          <w:szCs w:val="20"/>
        </w:rPr>
        <w:t>-ray photoelectron spectroscopy (</w:t>
      </w:r>
      <w:r w:rsidR="00F476CE" w:rsidRPr="00947DA7">
        <w:rPr>
          <w:rFonts w:ascii="Arial" w:hAnsi="Arial" w:cs="Arial"/>
          <w:color w:val="000000"/>
          <w:sz w:val="20"/>
          <w:szCs w:val="20"/>
        </w:rPr>
        <w:t>XPS</w:t>
      </w:r>
      <w:r w:rsidR="00C4316D" w:rsidRPr="00947DA7">
        <w:rPr>
          <w:rFonts w:ascii="Arial" w:hAnsi="Arial" w:cs="Arial"/>
          <w:color w:val="000000"/>
          <w:sz w:val="20"/>
          <w:szCs w:val="20"/>
        </w:rPr>
        <w:t>, Thermo Scientific K-Alpha)</w:t>
      </w:r>
      <w:r w:rsidR="00DD60C8" w:rsidRPr="00947DA7">
        <w:rPr>
          <w:rFonts w:ascii="Arial" w:hAnsi="Arial" w:cs="Arial"/>
          <w:color w:val="000000"/>
          <w:sz w:val="20"/>
          <w:szCs w:val="20"/>
        </w:rPr>
        <w:t xml:space="preserve">. The </w:t>
      </w:r>
      <w:r w:rsidR="00D02C38" w:rsidRPr="00947DA7">
        <w:rPr>
          <w:rFonts w:ascii="Arial" w:hAnsi="Arial" w:cs="Arial"/>
          <w:color w:val="000000"/>
          <w:sz w:val="20"/>
          <w:szCs w:val="20"/>
        </w:rPr>
        <w:t>zeta potential</w:t>
      </w:r>
      <w:r w:rsidR="004978C4" w:rsidRPr="00947DA7">
        <w:rPr>
          <w:rFonts w:ascii="Arial" w:hAnsi="Arial" w:cs="Arial"/>
          <w:color w:val="000000"/>
          <w:sz w:val="20"/>
          <w:szCs w:val="20"/>
        </w:rPr>
        <w:t xml:space="preserve"> was tested on a Nano Zetasizer from Malvern. A UV-visible spectrophotometer (UV-2600) was applied to record the absorption spectra of the solutions.</w:t>
      </w:r>
    </w:p>
    <w:p w14:paraId="4901BEB2" w14:textId="1831A630" w:rsidR="002B2692" w:rsidRPr="00947DA7" w:rsidRDefault="006363FB" w:rsidP="00E073D4">
      <w:pPr>
        <w:spacing w:line="360" w:lineRule="auto"/>
        <w:rPr>
          <w:rFonts w:ascii="Arial" w:hAnsi="Arial" w:cs="Arial"/>
          <w:color w:val="000000"/>
          <w:sz w:val="20"/>
          <w:szCs w:val="20"/>
        </w:rPr>
      </w:pPr>
      <w:r w:rsidRPr="00947DA7">
        <w:rPr>
          <w:rFonts w:ascii="Arial" w:hAnsi="Arial" w:cs="Arial"/>
          <w:color w:val="000000"/>
          <w:sz w:val="20"/>
          <w:szCs w:val="20"/>
        </w:rPr>
        <w:t>Fabrication of CPC</w:t>
      </w:r>
      <w:r w:rsidR="00081930" w:rsidRPr="00947DA7">
        <w:rPr>
          <w:rFonts w:ascii="Arial" w:hAnsi="Arial" w:cs="Arial"/>
          <w:color w:val="000000"/>
          <w:sz w:val="20"/>
          <w:szCs w:val="20"/>
        </w:rPr>
        <w:t xml:space="preserve"> NPs</w:t>
      </w:r>
      <w:r w:rsidRPr="00947DA7">
        <w:rPr>
          <w:rFonts w:ascii="Arial" w:hAnsi="Arial" w:cs="Arial"/>
          <w:color w:val="000000"/>
          <w:sz w:val="20"/>
          <w:szCs w:val="20"/>
        </w:rPr>
        <w:t>:</w:t>
      </w:r>
      <w:r w:rsidR="0096221A" w:rsidRPr="00947DA7">
        <w:rPr>
          <w:rFonts w:ascii="Arial" w:hAnsi="Arial" w:cs="Arial"/>
          <w:color w:val="000000"/>
          <w:sz w:val="20"/>
          <w:szCs w:val="20"/>
        </w:rPr>
        <w:t xml:space="preserve"> First, </w:t>
      </w:r>
      <w:r w:rsidR="004978C4" w:rsidRPr="00947DA7">
        <w:rPr>
          <w:rFonts w:ascii="Arial" w:hAnsi="Arial" w:cs="Arial"/>
          <w:color w:val="000000"/>
          <w:sz w:val="20"/>
          <w:szCs w:val="20"/>
        </w:rPr>
        <w:t xml:space="preserve">20 mg was dissolved in </w:t>
      </w:r>
      <w:r w:rsidR="002B2692" w:rsidRPr="00947DA7">
        <w:rPr>
          <w:rFonts w:ascii="Arial" w:hAnsi="Arial" w:cs="Arial"/>
          <w:color w:val="000000"/>
          <w:sz w:val="20"/>
          <w:szCs w:val="20"/>
        </w:rPr>
        <w:t>10 mL of absolute ethanol in a beaker. Next, 50 ml of ethanol was added to another 50 ml of ethanol, then 0.1 g of Cu(acac)</w:t>
      </w:r>
      <w:r w:rsidR="002B2692" w:rsidRPr="00947DA7">
        <w:rPr>
          <w:rFonts w:ascii="Arial" w:hAnsi="Arial" w:cs="Arial"/>
          <w:color w:val="000000"/>
          <w:sz w:val="20"/>
          <w:szCs w:val="20"/>
          <w:vertAlign w:val="subscript"/>
        </w:rPr>
        <w:t>2</w:t>
      </w:r>
      <w:r w:rsidR="002B2692" w:rsidRPr="00947DA7">
        <w:rPr>
          <w:rFonts w:ascii="Arial" w:hAnsi="Arial" w:cs="Arial"/>
          <w:color w:val="000000"/>
          <w:sz w:val="20"/>
          <w:szCs w:val="20"/>
        </w:rPr>
        <w:t xml:space="preserve"> was dispersed in the ethanol. These two solutions were then stirred at room temperature for 30 min to form a uniform solution. Next, 100 mL of NaBH</w:t>
      </w:r>
      <w:r w:rsidR="002B2692" w:rsidRPr="00947DA7">
        <w:rPr>
          <w:rFonts w:ascii="Arial" w:hAnsi="Arial" w:cs="Arial"/>
          <w:color w:val="000000"/>
          <w:sz w:val="20"/>
          <w:szCs w:val="20"/>
          <w:vertAlign w:val="subscript"/>
        </w:rPr>
        <w:t>4</w:t>
      </w:r>
      <w:r w:rsidR="002B2692" w:rsidRPr="00947DA7">
        <w:rPr>
          <w:rFonts w:ascii="Arial" w:hAnsi="Arial" w:cs="Arial"/>
          <w:color w:val="000000"/>
          <w:sz w:val="20"/>
          <w:szCs w:val="20"/>
        </w:rPr>
        <w:t xml:space="preserve"> (0.1 M) was added drop by drop into this uniform solution to react for 2 h at room temperature. Then the solution was al-lowed to stand overnight. After the supernatant was removed, the precipitation was collected by centrifugation. The obtained product was then resuspended in ethanol and washed three to four times. At last, the black product was dried under 80 °C to obtain the CP NPs.</w:t>
      </w:r>
    </w:p>
    <w:p w14:paraId="7DF495D6" w14:textId="3CEDCAE2" w:rsidR="0096221A" w:rsidRPr="00947DA7" w:rsidRDefault="002B2692" w:rsidP="00E073D4">
      <w:pPr>
        <w:spacing w:line="360" w:lineRule="auto"/>
        <w:rPr>
          <w:rFonts w:ascii="Arial" w:hAnsi="Arial" w:cs="Arial"/>
          <w:color w:val="000000"/>
          <w:sz w:val="20"/>
          <w:szCs w:val="20"/>
        </w:rPr>
      </w:pPr>
      <w:r w:rsidRPr="00947DA7">
        <w:rPr>
          <w:rFonts w:ascii="Arial" w:hAnsi="Arial" w:cs="Arial"/>
          <w:color w:val="000000"/>
          <w:sz w:val="20"/>
          <w:szCs w:val="20"/>
        </w:rPr>
        <w:t xml:space="preserve">Next, 10 mg CP-NPs were dispersed in 50 mL of ethanol. Then 2 mg of cysteamine were dis-solved in absolute ethanol under sonication. These two solutions were then mixed to form uniform solution and kept reaction under sonication for 4 h. The black precipitation was collected by centrifugation, followed by rinse with ethanol for several times to remove the excessive cysteamine. CPC NPs were then obtained by dried 40 </w:t>
      </w:r>
      <w:r w:rsidR="0002293F" w:rsidRPr="00947DA7">
        <w:rPr>
          <w:rFonts w:ascii="Arial" w:hAnsi="Arial" w:cs="Arial"/>
          <w:color w:val="000000"/>
          <w:sz w:val="20"/>
          <w:szCs w:val="20"/>
        </w:rPr>
        <w:t>°C</w:t>
      </w:r>
      <w:r w:rsidRPr="00947DA7">
        <w:rPr>
          <w:rFonts w:ascii="Arial" w:hAnsi="Arial" w:cs="Arial"/>
          <w:color w:val="000000"/>
          <w:sz w:val="20"/>
          <w:szCs w:val="20"/>
        </w:rPr>
        <w:t xml:space="preserve"> overnight.</w:t>
      </w:r>
    </w:p>
    <w:p w14:paraId="23D4E845" w14:textId="291C1F5F" w:rsidR="00B64A67" w:rsidRPr="00947DA7" w:rsidRDefault="00B64A67" w:rsidP="00E073D4">
      <w:pPr>
        <w:spacing w:line="360" w:lineRule="auto"/>
        <w:rPr>
          <w:rFonts w:ascii="Arial" w:hAnsi="Arial" w:cs="Arial"/>
          <w:color w:val="000000"/>
          <w:sz w:val="20"/>
          <w:szCs w:val="20"/>
        </w:rPr>
      </w:pPr>
      <w:r w:rsidRPr="00947DA7">
        <w:rPr>
          <w:rFonts w:ascii="Arial" w:hAnsi="Arial" w:cs="Arial"/>
          <w:color w:val="000000"/>
          <w:sz w:val="20"/>
          <w:szCs w:val="20"/>
        </w:rPr>
        <w:t xml:space="preserve">Enzyme mimicking properties evaluation: </w:t>
      </w:r>
      <w:r w:rsidR="00C84F82" w:rsidRPr="00947DA7">
        <w:rPr>
          <w:rFonts w:ascii="Arial" w:hAnsi="Arial" w:cs="Arial"/>
          <w:color w:val="000000"/>
          <w:sz w:val="20"/>
          <w:szCs w:val="20"/>
        </w:rPr>
        <w:t xml:space="preserve">The GSH consumption by CPC NPs was assessed by DTNB. Therefore, 100 μg/mL CPC </w:t>
      </w:r>
      <w:r w:rsidR="00081930" w:rsidRPr="00947DA7">
        <w:rPr>
          <w:rFonts w:ascii="Arial" w:hAnsi="Arial" w:cs="Arial"/>
          <w:color w:val="000000"/>
          <w:sz w:val="20"/>
          <w:szCs w:val="20"/>
        </w:rPr>
        <w:t xml:space="preserve">NPs </w:t>
      </w:r>
      <w:r w:rsidR="00C84F82" w:rsidRPr="00947DA7">
        <w:rPr>
          <w:rFonts w:ascii="Arial" w:hAnsi="Arial" w:cs="Arial"/>
          <w:color w:val="000000"/>
          <w:sz w:val="20"/>
          <w:szCs w:val="20"/>
        </w:rPr>
        <w:t xml:space="preserve">was added with 2 mm DTNB. Then the absorbance at 412 nm at a time dependent manner was evaluated </w:t>
      </w:r>
      <w:r w:rsidR="001B53E0" w:rsidRPr="00947DA7">
        <w:rPr>
          <w:rFonts w:ascii="Arial" w:hAnsi="Arial" w:cs="Arial"/>
          <w:color w:val="000000"/>
          <w:sz w:val="20"/>
          <w:szCs w:val="20"/>
        </w:rPr>
        <w:t xml:space="preserve">on a UV-vis spectrophotometer. </w:t>
      </w:r>
      <w:r w:rsidR="00B40654" w:rsidRPr="00947DA7">
        <w:rPr>
          <w:rFonts w:ascii="Arial" w:hAnsi="Arial" w:cs="Arial"/>
          <w:color w:val="000000"/>
          <w:sz w:val="20"/>
          <w:szCs w:val="20"/>
        </w:rPr>
        <w:t>Next, the CAT-like activity of CPC</w:t>
      </w:r>
      <w:r w:rsidR="00081930" w:rsidRPr="00947DA7">
        <w:rPr>
          <w:rFonts w:ascii="Arial" w:hAnsi="Arial" w:cs="Arial"/>
          <w:color w:val="000000"/>
          <w:sz w:val="20"/>
          <w:szCs w:val="20"/>
        </w:rPr>
        <w:t xml:space="preserve"> NPs</w:t>
      </w:r>
      <w:r w:rsidR="00B40654" w:rsidRPr="00947DA7">
        <w:rPr>
          <w:rFonts w:ascii="Arial" w:hAnsi="Arial" w:cs="Arial"/>
          <w:color w:val="000000"/>
          <w:sz w:val="20"/>
          <w:szCs w:val="20"/>
        </w:rPr>
        <w:t xml:space="preserve"> was assessed by</w:t>
      </w:r>
      <w:r w:rsidR="0062234C" w:rsidRPr="00947DA7">
        <w:rPr>
          <w:rFonts w:ascii="Arial" w:hAnsi="Arial" w:cs="Arial"/>
          <w:color w:val="000000"/>
          <w:sz w:val="20"/>
          <w:szCs w:val="20"/>
        </w:rPr>
        <w:t xml:space="preserve"> evaluating O</w:t>
      </w:r>
      <w:r w:rsidR="0062234C" w:rsidRPr="00947DA7">
        <w:rPr>
          <w:rFonts w:ascii="Arial" w:hAnsi="Arial" w:cs="Arial"/>
          <w:color w:val="000000"/>
          <w:sz w:val="20"/>
          <w:szCs w:val="20"/>
          <w:vertAlign w:val="subscript"/>
        </w:rPr>
        <w:t>2</w:t>
      </w:r>
      <w:r w:rsidR="0062234C" w:rsidRPr="00947DA7">
        <w:rPr>
          <w:rFonts w:ascii="Arial" w:hAnsi="Arial" w:cs="Arial"/>
          <w:color w:val="000000"/>
          <w:sz w:val="20"/>
          <w:szCs w:val="20"/>
        </w:rPr>
        <w:t xml:space="preserve"> content in H</w:t>
      </w:r>
      <w:r w:rsidR="0062234C" w:rsidRPr="00947DA7">
        <w:rPr>
          <w:rFonts w:ascii="Arial" w:hAnsi="Arial" w:cs="Arial"/>
          <w:color w:val="000000"/>
          <w:sz w:val="20"/>
          <w:szCs w:val="20"/>
          <w:vertAlign w:val="subscript"/>
        </w:rPr>
        <w:t>2</w:t>
      </w:r>
      <w:r w:rsidR="0062234C" w:rsidRPr="00947DA7">
        <w:rPr>
          <w:rFonts w:ascii="Arial" w:hAnsi="Arial" w:cs="Arial"/>
          <w:color w:val="000000"/>
          <w:sz w:val="20"/>
          <w:szCs w:val="20"/>
        </w:rPr>
        <w:t>O</w:t>
      </w:r>
      <w:r w:rsidR="0062234C" w:rsidRPr="00947DA7">
        <w:rPr>
          <w:rFonts w:ascii="Arial" w:hAnsi="Arial" w:cs="Arial"/>
          <w:color w:val="000000"/>
          <w:sz w:val="20"/>
          <w:szCs w:val="20"/>
          <w:vertAlign w:val="subscript"/>
        </w:rPr>
        <w:t>2</w:t>
      </w:r>
      <w:r w:rsidR="0062234C" w:rsidRPr="00947DA7">
        <w:rPr>
          <w:rFonts w:ascii="Arial" w:hAnsi="Arial" w:cs="Arial"/>
          <w:color w:val="000000"/>
          <w:sz w:val="20"/>
          <w:szCs w:val="20"/>
        </w:rPr>
        <w:t xml:space="preserve"> (0.3 mM)</w:t>
      </w:r>
      <w:r w:rsidR="00133DBB" w:rsidRPr="00947DA7">
        <w:rPr>
          <w:rFonts w:ascii="Arial" w:hAnsi="Arial" w:cs="Arial"/>
          <w:color w:val="000000"/>
          <w:sz w:val="20"/>
          <w:szCs w:val="20"/>
        </w:rPr>
        <w:t xml:space="preserve"> by a</w:t>
      </w:r>
      <w:r w:rsidR="00B40654" w:rsidRPr="00947DA7">
        <w:rPr>
          <w:rFonts w:ascii="Arial" w:hAnsi="Arial" w:cs="Arial"/>
          <w:color w:val="000000"/>
          <w:sz w:val="20"/>
          <w:szCs w:val="20"/>
        </w:rPr>
        <w:t xml:space="preserve"> dissolved oxygen meter.</w:t>
      </w:r>
      <w:r w:rsidR="000A23F4" w:rsidRPr="00947DA7">
        <w:rPr>
          <w:rFonts w:ascii="Arial" w:hAnsi="Arial" w:cs="Arial"/>
          <w:color w:val="000000"/>
          <w:sz w:val="20"/>
          <w:szCs w:val="20"/>
        </w:rPr>
        <w:t xml:space="preserve"> Next, TMB was applied to </w:t>
      </w:r>
      <w:r w:rsidR="00F32E24" w:rsidRPr="00947DA7">
        <w:rPr>
          <w:rFonts w:ascii="Arial" w:hAnsi="Arial" w:cs="Arial"/>
          <w:color w:val="000000"/>
          <w:sz w:val="20"/>
          <w:szCs w:val="20"/>
        </w:rPr>
        <w:t xml:space="preserve">detect the generated ·OH by CPC </w:t>
      </w:r>
      <w:r w:rsidR="00081930" w:rsidRPr="00947DA7">
        <w:rPr>
          <w:rFonts w:ascii="Arial" w:hAnsi="Arial" w:cs="Arial"/>
          <w:color w:val="000000"/>
          <w:sz w:val="20"/>
          <w:szCs w:val="20"/>
        </w:rPr>
        <w:t xml:space="preserve">NPs </w:t>
      </w:r>
      <w:r w:rsidR="00F32E24" w:rsidRPr="00947DA7">
        <w:rPr>
          <w:rFonts w:ascii="Arial" w:hAnsi="Arial" w:cs="Arial"/>
          <w:color w:val="000000"/>
          <w:sz w:val="20"/>
          <w:szCs w:val="20"/>
        </w:rPr>
        <w:t xml:space="preserve">in </w:t>
      </w:r>
      <w:r w:rsidR="00F32E24" w:rsidRPr="00947DA7">
        <w:rPr>
          <w:rFonts w:ascii="Arial" w:hAnsi="Arial" w:cs="Arial"/>
          <w:color w:val="000000"/>
          <w:sz w:val="20"/>
          <w:szCs w:val="20"/>
        </w:rPr>
        <w:lastRenderedPageBreak/>
        <w:t>the presence of H</w:t>
      </w:r>
      <w:r w:rsidR="00F32E24" w:rsidRPr="00947DA7">
        <w:rPr>
          <w:rFonts w:ascii="Arial" w:hAnsi="Arial" w:cs="Arial"/>
          <w:color w:val="000000"/>
          <w:sz w:val="20"/>
          <w:szCs w:val="20"/>
          <w:vertAlign w:val="subscript"/>
        </w:rPr>
        <w:t>2</w:t>
      </w:r>
      <w:r w:rsidR="00F32E24" w:rsidRPr="00947DA7">
        <w:rPr>
          <w:rFonts w:ascii="Arial" w:hAnsi="Arial" w:cs="Arial"/>
          <w:color w:val="000000"/>
          <w:sz w:val="20"/>
          <w:szCs w:val="20"/>
        </w:rPr>
        <w:t>O</w:t>
      </w:r>
      <w:r w:rsidR="00F32E24" w:rsidRPr="00947DA7">
        <w:rPr>
          <w:rFonts w:ascii="Arial" w:hAnsi="Arial" w:cs="Arial"/>
          <w:color w:val="000000"/>
          <w:sz w:val="20"/>
          <w:szCs w:val="20"/>
          <w:vertAlign w:val="subscript"/>
        </w:rPr>
        <w:t>2</w:t>
      </w:r>
      <w:r w:rsidR="00F32E24" w:rsidRPr="00947DA7">
        <w:rPr>
          <w:rFonts w:ascii="Arial" w:hAnsi="Arial" w:cs="Arial"/>
          <w:color w:val="000000"/>
          <w:sz w:val="20"/>
          <w:szCs w:val="20"/>
        </w:rPr>
        <w:t>.</w:t>
      </w:r>
    </w:p>
    <w:p w14:paraId="398050B2" w14:textId="13AFE970" w:rsidR="006363FB" w:rsidRPr="00947DA7" w:rsidRDefault="006363FB" w:rsidP="00E073D4">
      <w:pPr>
        <w:spacing w:line="360" w:lineRule="auto"/>
        <w:rPr>
          <w:rFonts w:ascii="Arial" w:hAnsi="Arial" w:cs="Arial"/>
          <w:color w:val="000000"/>
          <w:sz w:val="20"/>
          <w:szCs w:val="20"/>
        </w:rPr>
      </w:pPr>
      <w:r w:rsidRPr="00947DA7">
        <w:rPr>
          <w:rFonts w:ascii="Arial" w:hAnsi="Arial" w:cs="Arial"/>
          <w:color w:val="000000"/>
          <w:sz w:val="20"/>
          <w:szCs w:val="20"/>
        </w:rPr>
        <w:t>Cell culture:</w:t>
      </w:r>
      <w:r w:rsidR="00324832" w:rsidRPr="00947DA7">
        <w:rPr>
          <w:rFonts w:ascii="Arial" w:hAnsi="Arial" w:cs="Arial"/>
          <w:color w:val="000000"/>
          <w:sz w:val="20"/>
          <w:szCs w:val="20"/>
        </w:rPr>
        <w:t xml:space="preserve"> MB49 cells were obtained from Cell Bank of Chinese Academy of Sciences (Shanghai, China)</w:t>
      </w:r>
      <w:r w:rsidR="0069087C" w:rsidRPr="00947DA7">
        <w:rPr>
          <w:rFonts w:ascii="Arial" w:hAnsi="Arial" w:cs="Arial"/>
          <w:color w:val="000000"/>
          <w:sz w:val="20"/>
          <w:szCs w:val="20"/>
        </w:rPr>
        <w:t xml:space="preserve"> and cultured in </w:t>
      </w:r>
      <w:r w:rsidR="00FA1454" w:rsidRPr="00947DA7">
        <w:rPr>
          <w:rFonts w:ascii="Arial" w:hAnsi="Arial" w:cs="Arial"/>
          <w:color w:val="000000"/>
          <w:sz w:val="20"/>
          <w:szCs w:val="20"/>
        </w:rPr>
        <w:t xml:space="preserve">DMEM </w:t>
      </w:r>
      <w:r w:rsidR="006B65B3" w:rsidRPr="00947DA7">
        <w:rPr>
          <w:rFonts w:ascii="Arial" w:hAnsi="Arial" w:cs="Arial"/>
          <w:color w:val="000000"/>
          <w:sz w:val="20"/>
          <w:szCs w:val="20"/>
        </w:rPr>
        <w:t>with 10 %</w:t>
      </w:r>
      <w:r w:rsidR="00FA1454" w:rsidRPr="00947DA7">
        <w:rPr>
          <w:rFonts w:ascii="Arial" w:hAnsi="Arial" w:cs="Arial"/>
          <w:color w:val="000000"/>
          <w:sz w:val="20"/>
          <w:szCs w:val="20"/>
        </w:rPr>
        <w:t xml:space="preserve"> FBS in an atmosphere with CO</w:t>
      </w:r>
      <w:r w:rsidR="00FA1454" w:rsidRPr="00947DA7">
        <w:rPr>
          <w:rFonts w:ascii="Arial" w:hAnsi="Arial" w:cs="Arial"/>
          <w:color w:val="000000"/>
          <w:sz w:val="20"/>
          <w:szCs w:val="20"/>
          <w:vertAlign w:val="subscript"/>
        </w:rPr>
        <w:t>2</w:t>
      </w:r>
      <w:r w:rsidR="00FA1454" w:rsidRPr="00947DA7">
        <w:rPr>
          <w:rFonts w:ascii="Arial" w:hAnsi="Arial" w:cs="Arial"/>
          <w:color w:val="000000"/>
          <w:sz w:val="20"/>
          <w:szCs w:val="20"/>
        </w:rPr>
        <w:t xml:space="preserve"> (5 %) at 37 °C. </w:t>
      </w:r>
    </w:p>
    <w:p w14:paraId="7D39A2B4" w14:textId="65C4AD92" w:rsidR="004E0709" w:rsidRPr="00947DA7" w:rsidRDefault="004E0709" w:rsidP="00E073D4">
      <w:pPr>
        <w:spacing w:line="360" w:lineRule="auto"/>
        <w:rPr>
          <w:rFonts w:ascii="Arial" w:hAnsi="Arial" w:cs="Arial"/>
          <w:color w:val="000000"/>
          <w:sz w:val="20"/>
          <w:szCs w:val="20"/>
        </w:rPr>
      </w:pPr>
      <w:r w:rsidRPr="00947DA7">
        <w:rPr>
          <w:rFonts w:ascii="Arial" w:hAnsi="Arial" w:cs="Arial"/>
          <w:color w:val="000000"/>
          <w:sz w:val="20"/>
          <w:szCs w:val="20"/>
        </w:rPr>
        <w:t>Cell viability evaluation on CCK 8 assay:</w:t>
      </w:r>
      <w:r w:rsidR="00B37C52" w:rsidRPr="00947DA7">
        <w:rPr>
          <w:rFonts w:ascii="Arial" w:hAnsi="Arial" w:cs="Arial"/>
          <w:color w:val="000000"/>
          <w:sz w:val="20"/>
          <w:szCs w:val="20"/>
        </w:rPr>
        <w:t xml:space="preserve"> </w:t>
      </w:r>
      <w:r w:rsidR="00AB61EE" w:rsidRPr="00947DA7">
        <w:rPr>
          <w:rFonts w:ascii="Arial" w:hAnsi="Arial" w:cs="Arial"/>
          <w:color w:val="000000"/>
          <w:sz w:val="20"/>
          <w:szCs w:val="20"/>
        </w:rPr>
        <w:t xml:space="preserve">To assess the biocompatibility, MB49 cells were seeded in </w:t>
      </w:r>
      <w:r w:rsidR="00A125E5" w:rsidRPr="00947DA7">
        <w:rPr>
          <w:rFonts w:ascii="Arial" w:hAnsi="Arial" w:cs="Arial"/>
          <w:color w:val="000000"/>
          <w:sz w:val="20"/>
          <w:szCs w:val="20"/>
        </w:rPr>
        <w:t xml:space="preserve">96-well plate. Next, CPC NPs </w:t>
      </w:r>
      <w:r w:rsidR="00F52D35" w:rsidRPr="00947DA7">
        <w:rPr>
          <w:rFonts w:ascii="Arial" w:hAnsi="Arial" w:cs="Arial"/>
          <w:color w:val="000000"/>
          <w:sz w:val="20"/>
          <w:szCs w:val="20"/>
        </w:rPr>
        <w:t>with or without H</w:t>
      </w:r>
      <w:r w:rsidR="00F52D35" w:rsidRPr="00947DA7">
        <w:rPr>
          <w:rFonts w:ascii="Arial" w:hAnsi="Arial" w:cs="Arial"/>
          <w:color w:val="000000"/>
          <w:sz w:val="20"/>
          <w:szCs w:val="20"/>
          <w:vertAlign w:val="subscript"/>
        </w:rPr>
        <w:t>2</w:t>
      </w:r>
      <w:r w:rsidR="00F52D35" w:rsidRPr="00947DA7">
        <w:rPr>
          <w:rFonts w:ascii="Arial" w:hAnsi="Arial" w:cs="Arial"/>
          <w:color w:val="000000"/>
          <w:sz w:val="20"/>
          <w:szCs w:val="20"/>
        </w:rPr>
        <w:t>O</w:t>
      </w:r>
      <w:r w:rsidR="00F52D35" w:rsidRPr="00947DA7">
        <w:rPr>
          <w:rFonts w:ascii="Arial" w:hAnsi="Arial" w:cs="Arial"/>
          <w:color w:val="000000"/>
          <w:sz w:val="20"/>
          <w:szCs w:val="20"/>
          <w:vertAlign w:val="subscript"/>
        </w:rPr>
        <w:t>2</w:t>
      </w:r>
      <w:r w:rsidR="00F52D35" w:rsidRPr="00947DA7">
        <w:rPr>
          <w:rFonts w:ascii="Arial" w:hAnsi="Arial" w:cs="Arial"/>
          <w:color w:val="000000"/>
          <w:sz w:val="20"/>
          <w:szCs w:val="20"/>
        </w:rPr>
        <w:t xml:space="preserve"> (100 μM)</w:t>
      </w:r>
      <w:r w:rsidR="00A125E5" w:rsidRPr="00947DA7">
        <w:rPr>
          <w:rFonts w:ascii="Arial" w:hAnsi="Arial" w:cs="Arial"/>
          <w:color w:val="000000"/>
          <w:sz w:val="20"/>
          <w:szCs w:val="20"/>
        </w:rPr>
        <w:t xml:space="preserve">at various concentrations were added. After 24 h, CCK 8 was added into the medium for cell viability assessment. </w:t>
      </w:r>
      <w:r w:rsidR="00B37C52" w:rsidRPr="00947DA7">
        <w:rPr>
          <w:rFonts w:ascii="Arial" w:hAnsi="Arial" w:cs="Arial"/>
          <w:color w:val="000000"/>
          <w:sz w:val="20"/>
          <w:szCs w:val="20"/>
        </w:rPr>
        <w:t>For the cell viability tests, MB49 cells were seeded into 96-well plates and incubated for 24 h at 37 °C in 5 % CO</w:t>
      </w:r>
      <w:r w:rsidR="00B37C52" w:rsidRPr="00947DA7">
        <w:rPr>
          <w:rFonts w:ascii="Arial" w:hAnsi="Arial" w:cs="Arial"/>
          <w:color w:val="000000"/>
          <w:sz w:val="20"/>
          <w:szCs w:val="20"/>
          <w:vertAlign w:val="subscript"/>
        </w:rPr>
        <w:t>2</w:t>
      </w:r>
      <w:r w:rsidR="00B37C52" w:rsidRPr="00947DA7">
        <w:rPr>
          <w:rFonts w:ascii="Arial" w:hAnsi="Arial" w:cs="Arial"/>
          <w:color w:val="000000"/>
          <w:sz w:val="20"/>
          <w:szCs w:val="20"/>
        </w:rPr>
        <w:t xml:space="preserve">. Then the medium was replaced by DMEM with various concentrations of CP NPs or CPC NPs and incubated for 4 h. Then, the cells were subjected to </w:t>
      </w:r>
      <w:r w:rsidR="003312B0" w:rsidRPr="00947DA7">
        <w:rPr>
          <w:rFonts w:ascii="Arial" w:hAnsi="Arial" w:cs="Arial"/>
          <w:color w:val="000000"/>
          <w:sz w:val="20"/>
          <w:szCs w:val="20"/>
        </w:rPr>
        <w:t>RT (8 Gy) or not</w:t>
      </w:r>
      <w:r w:rsidR="00B37C52" w:rsidRPr="00947DA7">
        <w:rPr>
          <w:rFonts w:ascii="Arial" w:hAnsi="Arial" w:cs="Arial"/>
          <w:color w:val="000000"/>
          <w:sz w:val="20"/>
          <w:szCs w:val="20"/>
        </w:rPr>
        <w:t>. After 24 h of incubation, a CCK-8 assay was used to evaluate the cell viability.</w:t>
      </w:r>
    </w:p>
    <w:p w14:paraId="6D6D516C" w14:textId="407C2EF0" w:rsidR="007F4B6D" w:rsidRPr="00947DA7" w:rsidRDefault="007F4B6D" w:rsidP="00E073D4">
      <w:pPr>
        <w:spacing w:line="360" w:lineRule="auto"/>
        <w:rPr>
          <w:rFonts w:ascii="Arial" w:hAnsi="Arial" w:cs="Arial"/>
          <w:color w:val="000000"/>
          <w:sz w:val="20"/>
          <w:szCs w:val="20"/>
        </w:rPr>
      </w:pPr>
      <w:r w:rsidRPr="00947DA7">
        <w:rPr>
          <w:rFonts w:ascii="Arial" w:hAnsi="Arial" w:cs="Arial"/>
          <w:color w:val="000000"/>
          <w:sz w:val="20"/>
          <w:szCs w:val="20"/>
        </w:rPr>
        <w:t>Hypoxia alleviation in vitro:</w:t>
      </w:r>
      <w:r w:rsidR="00B37C52" w:rsidRPr="00947DA7">
        <w:rPr>
          <w:rFonts w:ascii="Arial" w:hAnsi="Arial" w:cs="Arial"/>
          <w:color w:val="000000"/>
          <w:sz w:val="20"/>
          <w:szCs w:val="20"/>
        </w:rPr>
        <w:t xml:space="preserve"> </w:t>
      </w:r>
      <w:r w:rsidR="00057525" w:rsidRPr="00947DA7">
        <w:rPr>
          <w:rFonts w:ascii="Arial" w:hAnsi="Arial" w:cs="Arial"/>
          <w:color w:val="000000"/>
          <w:sz w:val="20"/>
          <w:szCs w:val="20"/>
        </w:rPr>
        <w:t xml:space="preserve">MB49 cells were seeded on the </w:t>
      </w:r>
      <w:r w:rsidR="00655034" w:rsidRPr="00947DA7">
        <w:rPr>
          <w:rFonts w:ascii="Arial" w:hAnsi="Arial" w:cs="Arial"/>
          <w:color w:val="000000"/>
          <w:sz w:val="20"/>
          <w:szCs w:val="20"/>
        </w:rPr>
        <w:t xml:space="preserve">petri-dishes and cultured in a hypoxia atmosphere. </w:t>
      </w:r>
      <w:r w:rsidR="00DF7F7B" w:rsidRPr="00947DA7">
        <w:rPr>
          <w:rFonts w:ascii="Arial" w:hAnsi="Arial" w:cs="Arial"/>
          <w:color w:val="000000"/>
          <w:sz w:val="20"/>
          <w:szCs w:val="20"/>
        </w:rPr>
        <w:t>Next, CPC NPs were added on</w:t>
      </w:r>
      <w:r w:rsidR="00B97EB9" w:rsidRPr="00947DA7">
        <w:rPr>
          <w:rFonts w:ascii="Arial" w:hAnsi="Arial" w:cs="Arial"/>
          <w:color w:val="000000"/>
          <w:sz w:val="20"/>
          <w:szCs w:val="20"/>
        </w:rPr>
        <w:t xml:space="preserve"> MB49 (100 μg/mL). </w:t>
      </w:r>
      <w:r w:rsidR="00E00BEF" w:rsidRPr="00947DA7">
        <w:rPr>
          <w:rFonts w:ascii="Arial" w:hAnsi="Arial" w:cs="Arial"/>
          <w:color w:val="000000"/>
          <w:sz w:val="20"/>
          <w:szCs w:val="20"/>
        </w:rPr>
        <w:t>Then HIF-1α staining was conducted to observe the hypoxia status.</w:t>
      </w:r>
    </w:p>
    <w:p w14:paraId="0E79F89D" w14:textId="2C0099F5" w:rsidR="004E0709" w:rsidRPr="00947DA7" w:rsidRDefault="004E0709" w:rsidP="00E073D4">
      <w:pPr>
        <w:spacing w:line="360" w:lineRule="auto"/>
        <w:rPr>
          <w:rFonts w:ascii="Arial" w:hAnsi="Arial" w:cs="Arial"/>
          <w:color w:val="000000"/>
          <w:sz w:val="20"/>
          <w:szCs w:val="20"/>
        </w:rPr>
      </w:pPr>
      <w:r w:rsidRPr="00947DA7">
        <w:rPr>
          <w:rFonts w:ascii="Arial" w:hAnsi="Arial" w:cs="Arial"/>
          <w:color w:val="000000"/>
          <w:sz w:val="20"/>
          <w:szCs w:val="20"/>
        </w:rPr>
        <w:t>ROS and γ</w:t>
      </w:r>
      <w:r w:rsidR="007C1068" w:rsidRPr="00947DA7">
        <w:rPr>
          <w:rFonts w:ascii="Arial" w:hAnsi="Arial" w:cs="Arial"/>
          <w:color w:val="000000"/>
          <w:sz w:val="20"/>
          <w:szCs w:val="20"/>
        </w:rPr>
        <w:t>-</w:t>
      </w:r>
      <w:r w:rsidRPr="00947DA7">
        <w:rPr>
          <w:rFonts w:ascii="Arial" w:hAnsi="Arial" w:cs="Arial"/>
          <w:color w:val="000000"/>
          <w:sz w:val="20"/>
          <w:szCs w:val="20"/>
        </w:rPr>
        <w:t>H</w:t>
      </w:r>
      <w:r w:rsidRPr="00947DA7">
        <w:rPr>
          <w:rFonts w:ascii="Arial" w:hAnsi="Arial" w:cs="Arial"/>
          <w:color w:val="000000"/>
          <w:sz w:val="20"/>
          <w:szCs w:val="20"/>
          <w:vertAlign w:val="subscript"/>
        </w:rPr>
        <w:t>2</w:t>
      </w:r>
      <w:r w:rsidRPr="00947DA7">
        <w:rPr>
          <w:rFonts w:ascii="Arial" w:hAnsi="Arial" w:cs="Arial"/>
          <w:color w:val="000000"/>
          <w:sz w:val="20"/>
          <w:szCs w:val="20"/>
        </w:rPr>
        <w:t>AX staining:</w:t>
      </w:r>
      <w:r w:rsidR="00B37C52" w:rsidRPr="00947DA7">
        <w:rPr>
          <w:rFonts w:ascii="Arial" w:hAnsi="Arial" w:cs="Arial"/>
          <w:color w:val="000000"/>
          <w:sz w:val="20"/>
          <w:szCs w:val="20"/>
        </w:rPr>
        <w:t xml:space="preserve"> MB49 cells were seeded in culture dishes for 24 h. Then the cells were treated with PBS or CP</w:t>
      </w:r>
      <w:r w:rsidR="00E00BEF" w:rsidRPr="00947DA7">
        <w:rPr>
          <w:rFonts w:ascii="Arial" w:hAnsi="Arial" w:cs="Arial"/>
          <w:color w:val="000000"/>
          <w:sz w:val="20"/>
          <w:szCs w:val="20"/>
        </w:rPr>
        <w:t>C</w:t>
      </w:r>
      <w:r w:rsidR="00B37C52" w:rsidRPr="00947DA7">
        <w:rPr>
          <w:rFonts w:ascii="Arial" w:hAnsi="Arial" w:cs="Arial"/>
          <w:color w:val="000000"/>
          <w:sz w:val="20"/>
          <w:szCs w:val="20"/>
        </w:rPr>
        <w:t xml:space="preserve"> NPs (100 μg/mL) </w:t>
      </w:r>
      <w:r w:rsidR="00F52D35" w:rsidRPr="00947DA7">
        <w:rPr>
          <w:rFonts w:ascii="Arial" w:hAnsi="Arial" w:cs="Arial"/>
          <w:color w:val="000000"/>
          <w:sz w:val="20"/>
          <w:szCs w:val="20"/>
        </w:rPr>
        <w:t>with H</w:t>
      </w:r>
      <w:r w:rsidR="00F52D35" w:rsidRPr="00947DA7">
        <w:rPr>
          <w:rFonts w:ascii="Arial" w:hAnsi="Arial" w:cs="Arial"/>
          <w:color w:val="000000"/>
          <w:sz w:val="20"/>
          <w:szCs w:val="20"/>
          <w:vertAlign w:val="subscript"/>
        </w:rPr>
        <w:t>2</w:t>
      </w:r>
      <w:r w:rsidR="00F52D35" w:rsidRPr="00947DA7">
        <w:rPr>
          <w:rFonts w:ascii="Arial" w:hAnsi="Arial" w:cs="Arial"/>
          <w:color w:val="000000"/>
          <w:sz w:val="20"/>
          <w:szCs w:val="20"/>
        </w:rPr>
        <w:t>O</w:t>
      </w:r>
      <w:r w:rsidR="00F52D35" w:rsidRPr="00947DA7">
        <w:rPr>
          <w:rFonts w:ascii="Arial" w:hAnsi="Arial" w:cs="Arial"/>
          <w:color w:val="000000"/>
          <w:sz w:val="20"/>
          <w:szCs w:val="20"/>
          <w:vertAlign w:val="subscript"/>
        </w:rPr>
        <w:t>2</w:t>
      </w:r>
      <w:r w:rsidR="00F52D35" w:rsidRPr="00947DA7">
        <w:rPr>
          <w:rFonts w:ascii="Arial" w:hAnsi="Arial" w:cs="Arial"/>
          <w:color w:val="000000"/>
          <w:sz w:val="20"/>
          <w:szCs w:val="20"/>
        </w:rPr>
        <w:t xml:space="preserve"> (100 μM) </w:t>
      </w:r>
      <w:r w:rsidR="00B37C52" w:rsidRPr="00947DA7">
        <w:rPr>
          <w:rFonts w:ascii="Arial" w:hAnsi="Arial" w:cs="Arial"/>
          <w:color w:val="000000"/>
          <w:sz w:val="20"/>
          <w:szCs w:val="20"/>
        </w:rPr>
        <w:t xml:space="preserve">for 4 h. </w:t>
      </w:r>
      <w:r w:rsidR="00E00BEF" w:rsidRPr="00947DA7">
        <w:rPr>
          <w:rFonts w:ascii="Arial" w:hAnsi="Arial" w:cs="Arial"/>
          <w:color w:val="000000"/>
          <w:sz w:val="20"/>
          <w:szCs w:val="20"/>
        </w:rPr>
        <w:t xml:space="preserve">Next, </w:t>
      </w:r>
      <w:r w:rsidR="002012A0" w:rsidRPr="00947DA7">
        <w:rPr>
          <w:rFonts w:ascii="Arial" w:hAnsi="Arial" w:cs="Arial"/>
          <w:color w:val="000000"/>
          <w:sz w:val="20"/>
          <w:szCs w:val="20"/>
        </w:rPr>
        <w:t xml:space="preserve">MB49 cells were subjected to RT or not. </w:t>
      </w:r>
      <w:r w:rsidR="00B37C52" w:rsidRPr="00947DA7">
        <w:rPr>
          <w:rFonts w:ascii="Arial" w:hAnsi="Arial" w:cs="Arial"/>
          <w:color w:val="000000"/>
          <w:sz w:val="20"/>
          <w:szCs w:val="20"/>
        </w:rPr>
        <w:t>Then the cells were washed with PBS and incubated with 1 μL DCFH-DA (10 mM). After 15 min cells was washed with PBS and fluorescence imaging was performed by CLSM.</w:t>
      </w:r>
    </w:p>
    <w:p w14:paraId="5FB8EAB2" w14:textId="2E6C193B" w:rsidR="004E0709" w:rsidRPr="00947DA7" w:rsidRDefault="007C1068" w:rsidP="00E073D4">
      <w:pPr>
        <w:spacing w:line="360" w:lineRule="auto"/>
        <w:rPr>
          <w:rFonts w:ascii="Arial" w:hAnsi="Arial" w:cs="Arial"/>
          <w:color w:val="000000"/>
          <w:sz w:val="20"/>
          <w:szCs w:val="20"/>
        </w:rPr>
      </w:pPr>
      <w:r w:rsidRPr="00947DA7">
        <w:rPr>
          <w:rFonts w:ascii="Arial" w:hAnsi="Arial" w:cs="Arial"/>
          <w:color w:val="000000"/>
          <w:sz w:val="20"/>
          <w:szCs w:val="20"/>
        </w:rPr>
        <w:t>Clonogenic assay:</w:t>
      </w:r>
      <w:r w:rsidR="00550577" w:rsidRPr="00947DA7">
        <w:rPr>
          <w:rFonts w:ascii="Arial" w:hAnsi="Arial" w:cs="Arial"/>
          <w:color w:val="000000"/>
          <w:sz w:val="20"/>
          <w:szCs w:val="20"/>
        </w:rPr>
        <w:t xml:space="preserve"> </w:t>
      </w:r>
      <w:r w:rsidR="00870558" w:rsidRPr="00947DA7">
        <w:rPr>
          <w:rFonts w:ascii="Arial" w:hAnsi="Arial" w:cs="Arial"/>
          <w:color w:val="000000"/>
          <w:sz w:val="20"/>
          <w:szCs w:val="20"/>
        </w:rPr>
        <w:t xml:space="preserve">Single </w:t>
      </w:r>
      <w:r w:rsidR="00550577" w:rsidRPr="00947DA7">
        <w:rPr>
          <w:rFonts w:ascii="Arial" w:hAnsi="Arial" w:cs="Arial"/>
          <w:color w:val="000000"/>
          <w:sz w:val="20"/>
          <w:szCs w:val="20"/>
        </w:rPr>
        <w:t>MB49 cell</w:t>
      </w:r>
      <w:r w:rsidR="00870558" w:rsidRPr="00947DA7">
        <w:rPr>
          <w:rFonts w:ascii="Arial" w:hAnsi="Arial" w:cs="Arial"/>
          <w:color w:val="000000"/>
          <w:sz w:val="20"/>
          <w:szCs w:val="20"/>
        </w:rPr>
        <w:t>s</w:t>
      </w:r>
      <w:r w:rsidR="00550577" w:rsidRPr="00947DA7">
        <w:rPr>
          <w:rFonts w:ascii="Arial" w:hAnsi="Arial" w:cs="Arial"/>
          <w:color w:val="000000"/>
          <w:sz w:val="20"/>
          <w:szCs w:val="20"/>
        </w:rPr>
        <w:t xml:space="preserve"> were seeded </w:t>
      </w:r>
      <w:r w:rsidR="00870558" w:rsidRPr="00947DA7">
        <w:rPr>
          <w:rFonts w:ascii="Arial" w:hAnsi="Arial" w:cs="Arial"/>
          <w:color w:val="000000"/>
          <w:sz w:val="20"/>
          <w:szCs w:val="20"/>
        </w:rPr>
        <w:t>on the 6-well plates at density of 1000/cell. After addition of PBS or CPC NPs (100 μg/mL)</w:t>
      </w:r>
      <w:r w:rsidR="008D0B72" w:rsidRPr="00947DA7">
        <w:rPr>
          <w:rFonts w:ascii="Arial" w:hAnsi="Arial" w:cs="Arial"/>
          <w:color w:val="000000"/>
          <w:sz w:val="20"/>
          <w:szCs w:val="20"/>
        </w:rPr>
        <w:t xml:space="preserve"> with H</w:t>
      </w:r>
      <w:r w:rsidR="008D0B72" w:rsidRPr="00947DA7">
        <w:rPr>
          <w:rFonts w:ascii="Arial" w:hAnsi="Arial" w:cs="Arial"/>
          <w:color w:val="000000"/>
          <w:sz w:val="20"/>
          <w:szCs w:val="20"/>
          <w:vertAlign w:val="subscript"/>
        </w:rPr>
        <w:t>2</w:t>
      </w:r>
      <w:r w:rsidR="008D0B72" w:rsidRPr="00947DA7">
        <w:rPr>
          <w:rFonts w:ascii="Arial" w:hAnsi="Arial" w:cs="Arial"/>
          <w:color w:val="000000"/>
          <w:sz w:val="20"/>
          <w:szCs w:val="20"/>
        </w:rPr>
        <w:t>O</w:t>
      </w:r>
      <w:r w:rsidR="008D0B72" w:rsidRPr="00947DA7">
        <w:rPr>
          <w:rFonts w:ascii="Arial" w:hAnsi="Arial" w:cs="Arial"/>
          <w:color w:val="000000"/>
          <w:sz w:val="20"/>
          <w:szCs w:val="20"/>
          <w:vertAlign w:val="subscript"/>
        </w:rPr>
        <w:t>2</w:t>
      </w:r>
      <w:r w:rsidR="008D0B72" w:rsidRPr="00947DA7">
        <w:rPr>
          <w:rFonts w:ascii="Arial" w:hAnsi="Arial" w:cs="Arial"/>
          <w:color w:val="000000"/>
          <w:sz w:val="20"/>
          <w:szCs w:val="20"/>
        </w:rPr>
        <w:t xml:space="preserve"> (100 μM)</w:t>
      </w:r>
      <w:r w:rsidR="00870558" w:rsidRPr="00947DA7">
        <w:rPr>
          <w:rFonts w:ascii="Arial" w:hAnsi="Arial" w:cs="Arial"/>
          <w:color w:val="000000"/>
          <w:sz w:val="20"/>
          <w:szCs w:val="20"/>
        </w:rPr>
        <w:t xml:space="preserve">, cells were </w:t>
      </w:r>
      <w:r w:rsidR="00B901A8" w:rsidRPr="00947DA7">
        <w:rPr>
          <w:rFonts w:ascii="Arial" w:hAnsi="Arial" w:cs="Arial"/>
          <w:color w:val="000000"/>
          <w:sz w:val="20"/>
          <w:szCs w:val="20"/>
        </w:rPr>
        <w:t xml:space="preserve">subjected to </w:t>
      </w:r>
      <w:r w:rsidR="000E4A32" w:rsidRPr="00947DA7">
        <w:rPr>
          <w:rFonts w:ascii="Arial" w:hAnsi="Arial" w:cs="Arial"/>
          <w:color w:val="000000"/>
          <w:sz w:val="20"/>
          <w:szCs w:val="20"/>
        </w:rPr>
        <w:t xml:space="preserve">ionizing irradiation from 0 Gy to 8 Gy. </w:t>
      </w:r>
      <w:r w:rsidR="00BF7F34" w:rsidRPr="00947DA7">
        <w:rPr>
          <w:rFonts w:ascii="Arial" w:hAnsi="Arial" w:cs="Arial"/>
          <w:color w:val="000000"/>
          <w:sz w:val="20"/>
          <w:szCs w:val="20"/>
        </w:rPr>
        <w:t>After 24 h, cell medium was replaced with fresh medium and cultured for 15 days. Then the colonies were stained with purple crystal.</w:t>
      </w:r>
    </w:p>
    <w:p w14:paraId="06557AD7" w14:textId="6B6243E8" w:rsidR="007C1068" w:rsidRPr="00947DA7" w:rsidRDefault="001A2283" w:rsidP="00E073D4">
      <w:pPr>
        <w:spacing w:line="360" w:lineRule="auto"/>
        <w:rPr>
          <w:rFonts w:ascii="Arial" w:hAnsi="Arial" w:cs="Arial"/>
          <w:color w:val="000000"/>
          <w:sz w:val="20"/>
          <w:szCs w:val="20"/>
        </w:rPr>
      </w:pPr>
      <w:r w:rsidRPr="00947DA7">
        <w:rPr>
          <w:rFonts w:ascii="Arial" w:hAnsi="Arial" w:cs="Arial"/>
          <w:color w:val="000000"/>
          <w:sz w:val="20"/>
          <w:szCs w:val="20"/>
        </w:rPr>
        <w:t>WB analysis:</w:t>
      </w:r>
      <w:r w:rsidR="00BF7F34" w:rsidRPr="00947DA7">
        <w:rPr>
          <w:rFonts w:ascii="Arial" w:hAnsi="Arial" w:cs="Arial"/>
          <w:color w:val="000000"/>
          <w:sz w:val="20"/>
          <w:szCs w:val="20"/>
        </w:rPr>
        <w:t xml:space="preserve"> </w:t>
      </w:r>
      <w:r w:rsidR="000568F2" w:rsidRPr="00947DA7">
        <w:rPr>
          <w:rFonts w:ascii="Arial" w:hAnsi="Arial" w:cs="Arial"/>
          <w:color w:val="000000"/>
          <w:sz w:val="20"/>
          <w:szCs w:val="20"/>
        </w:rPr>
        <w:t>After various treatment, MB49 cells were digested and collected. Total protein was extracted for protein analysis of Tubulin, Cleaved-caspase-3, HIF-1</w:t>
      </w:r>
      <w:r w:rsidR="00605A44" w:rsidRPr="00947DA7">
        <w:rPr>
          <w:rFonts w:ascii="Arial" w:hAnsi="Arial" w:cs="Arial"/>
          <w:color w:val="000000"/>
          <w:sz w:val="20"/>
          <w:szCs w:val="20"/>
        </w:rPr>
        <w:t>α</w:t>
      </w:r>
      <w:r w:rsidR="000568F2" w:rsidRPr="00947DA7">
        <w:rPr>
          <w:rFonts w:ascii="Arial" w:hAnsi="Arial" w:cs="Arial"/>
          <w:color w:val="000000"/>
          <w:sz w:val="20"/>
          <w:szCs w:val="20"/>
        </w:rPr>
        <w:t xml:space="preserve"> and Bcl2.</w:t>
      </w:r>
    </w:p>
    <w:p w14:paraId="5AEC9994" w14:textId="2242C128" w:rsidR="001A2283" w:rsidRPr="00947DA7" w:rsidRDefault="007F4B6D" w:rsidP="00E073D4">
      <w:pPr>
        <w:spacing w:line="360" w:lineRule="auto"/>
        <w:rPr>
          <w:rFonts w:ascii="Arial" w:hAnsi="Arial" w:cs="Arial"/>
          <w:color w:val="000000"/>
          <w:sz w:val="20"/>
          <w:szCs w:val="20"/>
        </w:rPr>
      </w:pPr>
      <w:r w:rsidRPr="00947DA7">
        <w:rPr>
          <w:rFonts w:ascii="Arial" w:hAnsi="Arial" w:cs="Arial"/>
          <w:color w:val="000000"/>
          <w:sz w:val="20"/>
          <w:szCs w:val="20"/>
        </w:rPr>
        <w:t>Biosafety:</w:t>
      </w:r>
      <w:r w:rsidR="000568F2" w:rsidRPr="00947DA7">
        <w:rPr>
          <w:rFonts w:ascii="Arial" w:hAnsi="Arial" w:cs="Arial"/>
          <w:color w:val="000000"/>
          <w:sz w:val="20"/>
          <w:szCs w:val="20"/>
        </w:rPr>
        <w:t xml:space="preserve"> To test the CPC NPs biosafety, mice aged 6 weeks </w:t>
      </w:r>
      <w:r w:rsidR="00032547" w:rsidRPr="00947DA7">
        <w:rPr>
          <w:rFonts w:ascii="Arial" w:hAnsi="Arial" w:cs="Arial"/>
          <w:color w:val="000000"/>
          <w:sz w:val="20"/>
          <w:szCs w:val="20"/>
        </w:rPr>
        <w:t xml:space="preserve">received intravenous </w:t>
      </w:r>
      <w:r w:rsidR="00F41A70" w:rsidRPr="00947DA7">
        <w:rPr>
          <w:rFonts w:ascii="Arial" w:hAnsi="Arial" w:cs="Arial"/>
          <w:color w:val="000000"/>
          <w:sz w:val="20"/>
          <w:szCs w:val="20"/>
        </w:rPr>
        <w:t xml:space="preserve">(i.v.) </w:t>
      </w:r>
      <w:r w:rsidR="00032547" w:rsidRPr="00947DA7">
        <w:rPr>
          <w:rFonts w:ascii="Arial" w:hAnsi="Arial" w:cs="Arial"/>
          <w:color w:val="000000"/>
          <w:sz w:val="20"/>
          <w:szCs w:val="20"/>
        </w:rPr>
        <w:t xml:space="preserve">injection of PBS or CPC NPs. </w:t>
      </w:r>
      <w:r w:rsidR="00210A01" w:rsidRPr="00947DA7">
        <w:rPr>
          <w:rFonts w:ascii="Arial" w:hAnsi="Arial" w:cs="Arial"/>
          <w:color w:val="000000"/>
          <w:sz w:val="20"/>
          <w:szCs w:val="20"/>
        </w:rPr>
        <w:t xml:space="preserve">15 days later, main organs including heart, liver, spleen, lung and </w:t>
      </w:r>
      <w:r w:rsidR="00140A51" w:rsidRPr="00947DA7">
        <w:rPr>
          <w:rFonts w:ascii="Arial" w:hAnsi="Arial" w:cs="Arial"/>
          <w:color w:val="000000"/>
          <w:sz w:val="20"/>
          <w:szCs w:val="20"/>
        </w:rPr>
        <w:t>kidney</w:t>
      </w:r>
      <w:r w:rsidR="00F1768E" w:rsidRPr="00947DA7">
        <w:rPr>
          <w:rFonts w:ascii="Arial" w:hAnsi="Arial" w:cs="Arial"/>
          <w:color w:val="000000"/>
          <w:sz w:val="20"/>
          <w:szCs w:val="20"/>
        </w:rPr>
        <w:t xml:space="preserve"> as well as blood samples were collected. </w:t>
      </w:r>
      <w:r w:rsidR="00C604A8" w:rsidRPr="00947DA7">
        <w:rPr>
          <w:rFonts w:ascii="Arial" w:hAnsi="Arial" w:cs="Arial"/>
          <w:color w:val="000000"/>
          <w:sz w:val="20"/>
          <w:szCs w:val="20"/>
        </w:rPr>
        <w:t xml:space="preserve">Main organs were fixed in </w:t>
      </w:r>
      <w:r w:rsidR="00811437" w:rsidRPr="00947DA7">
        <w:rPr>
          <w:rFonts w:ascii="Arial" w:hAnsi="Arial" w:cs="Arial"/>
          <w:color w:val="000000"/>
          <w:sz w:val="20"/>
          <w:szCs w:val="20"/>
        </w:rPr>
        <w:t>4</w:t>
      </w:r>
      <w:r w:rsidR="00C604A8" w:rsidRPr="00947DA7">
        <w:rPr>
          <w:rFonts w:ascii="Arial" w:hAnsi="Arial" w:cs="Arial"/>
          <w:color w:val="000000"/>
          <w:sz w:val="20"/>
          <w:szCs w:val="20"/>
        </w:rPr>
        <w:t xml:space="preserve">% paraformaldehyde for HE staining. </w:t>
      </w:r>
      <w:r w:rsidR="00811437" w:rsidRPr="00947DA7">
        <w:rPr>
          <w:rFonts w:ascii="Arial" w:hAnsi="Arial" w:cs="Arial"/>
          <w:color w:val="000000"/>
          <w:sz w:val="20"/>
          <w:szCs w:val="20"/>
        </w:rPr>
        <w:t>Blood samples in two groups were sent for b</w:t>
      </w:r>
      <w:r w:rsidR="001A2283" w:rsidRPr="00947DA7">
        <w:rPr>
          <w:rFonts w:ascii="Arial" w:hAnsi="Arial" w:cs="Arial"/>
          <w:color w:val="000000"/>
          <w:sz w:val="20"/>
          <w:szCs w:val="20"/>
        </w:rPr>
        <w:t xml:space="preserve">lood </w:t>
      </w:r>
      <w:r w:rsidRPr="00947DA7">
        <w:rPr>
          <w:rFonts w:ascii="Arial" w:hAnsi="Arial" w:cs="Arial"/>
          <w:color w:val="000000"/>
          <w:sz w:val="20"/>
          <w:szCs w:val="20"/>
        </w:rPr>
        <w:t>biochemical analysis and blood routine analysis</w:t>
      </w:r>
      <w:r w:rsidR="00811437" w:rsidRPr="00947DA7">
        <w:rPr>
          <w:rFonts w:ascii="Arial" w:hAnsi="Arial" w:cs="Arial"/>
          <w:color w:val="000000"/>
          <w:sz w:val="20"/>
          <w:szCs w:val="20"/>
        </w:rPr>
        <w:t>.</w:t>
      </w:r>
    </w:p>
    <w:p w14:paraId="0DB13DF8" w14:textId="325F678F" w:rsidR="00B37C52" w:rsidRPr="00947DA7" w:rsidRDefault="007F4B6D" w:rsidP="00E073D4">
      <w:pPr>
        <w:spacing w:line="360" w:lineRule="auto"/>
        <w:rPr>
          <w:rFonts w:ascii="Arial" w:hAnsi="Arial" w:cs="Arial"/>
          <w:color w:val="000000"/>
          <w:sz w:val="20"/>
          <w:szCs w:val="20"/>
        </w:rPr>
      </w:pPr>
      <w:r w:rsidRPr="00947DA7">
        <w:rPr>
          <w:rFonts w:ascii="Arial" w:hAnsi="Arial" w:cs="Arial"/>
          <w:color w:val="000000"/>
          <w:sz w:val="20"/>
          <w:szCs w:val="20"/>
        </w:rPr>
        <w:lastRenderedPageBreak/>
        <w:t>Animals model:</w:t>
      </w:r>
      <w:r w:rsidR="00B37C52" w:rsidRPr="00947DA7">
        <w:rPr>
          <w:rFonts w:ascii="Arial" w:hAnsi="Arial" w:cs="Arial"/>
          <w:color w:val="000000"/>
          <w:sz w:val="20"/>
          <w:szCs w:val="20"/>
        </w:rPr>
        <w:t xml:space="preserve"> </w:t>
      </w:r>
      <w:r w:rsidR="004B46F6" w:rsidRPr="00947DA7">
        <w:rPr>
          <w:rFonts w:ascii="Arial" w:hAnsi="Arial" w:cs="Arial"/>
          <w:color w:val="000000"/>
          <w:sz w:val="20"/>
          <w:szCs w:val="20"/>
        </w:rPr>
        <w:t>6</w:t>
      </w:r>
      <w:r w:rsidR="00B37C52" w:rsidRPr="00947DA7">
        <w:rPr>
          <w:rFonts w:ascii="Arial" w:hAnsi="Arial" w:cs="Arial"/>
          <w:color w:val="000000"/>
          <w:sz w:val="20"/>
          <w:szCs w:val="20"/>
        </w:rPr>
        <w:t>-week-old female C57BL/6 mice were purchased from Beijing Vital River Laboratories. All mice received care in terms of the guidelines for</w:t>
      </w:r>
      <w:r w:rsidR="00DB122A" w:rsidRPr="00947DA7">
        <w:rPr>
          <w:rFonts w:ascii="Arial" w:hAnsi="Arial" w:cs="Arial"/>
          <w:color w:val="000000"/>
          <w:sz w:val="20"/>
          <w:szCs w:val="20"/>
        </w:rPr>
        <w:t xml:space="preserve"> </w:t>
      </w:r>
      <w:r w:rsidR="00B37C52" w:rsidRPr="00947DA7">
        <w:rPr>
          <w:rFonts w:ascii="Arial" w:hAnsi="Arial" w:cs="Arial"/>
          <w:color w:val="000000"/>
          <w:sz w:val="20"/>
          <w:szCs w:val="20"/>
        </w:rPr>
        <w:t>the Care and Use of Laboratory Animals and were used in terms of the Institutional Animal Care regulations and Use Committee (IACUC) of Jilin University. All animal experiments were approved by the Administration Committee of Experimental Animals in Jilin Province and the Ethic Committee of Jilin University.</w:t>
      </w:r>
    </w:p>
    <w:p w14:paraId="710122B5" w14:textId="2054A882" w:rsidR="00B37C52" w:rsidRPr="00947DA7" w:rsidRDefault="00B37C52" w:rsidP="00E073D4">
      <w:pPr>
        <w:spacing w:line="360" w:lineRule="auto"/>
        <w:rPr>
          <w:rFonts w:ascii="Arial" w:hAnsi="Arial" w:cs="Arial"/>
          <w:color w:val="000000"/>
          <w:sz w:val="20"/>
          <w:szCs w:val="20"/>
        </w:rPr>
      </w:pPr>
      <w:r w:rsidRPr="00947DA7">
        <w:rPr>
          <w:rFonts w:ascii="Arial" w:hAnsi="Arial" w:cs="Arial"/>
          <w:color w:val="000000"/>
          <w:sz w:val="20"/>
          <w:szCs w:val="20"/>
        </w:rPr>
        <w:t>Antitumor efficacy:</w:t>
      </w:r>
      <w:r w:rsidR="00F41A70" w:rsidRPr="00947DA7">
        <w:rPr>
          <w:rFonts w:ascii="Arial" w:hAnsi="Arial" w:cs="Arial"/>
          <w:color w:val="000000"/>
          <w:sz w:val="20"/>
          <w:szCs w:val="20"/>
        </w:rPr>
        <w:t xml:space="preserve"> </w:t>
      </w:r>
      <w:r w:rsidRPr="00947DA7">
        <w:rPr>
          <w:rFonts w:ascii="Arial" w:hAnsi="Arial" w:cs="Arial"/>
          <w:color w:val="000000"/>
          <w:sz w:val="20"/>
          <w:szCs w:val="20"/>
        </w:rPr>
        <w:t>C57BL/6 mice were transplanted subcutaneously in the</w:t>
      </w:r>
      <w:r w:rsidR="00DB122A" w:rsidRPr="00947DA7">
        <w:rPr>
          <w:rFonts w:ascii="Arial" w:hAnsi="Arial" w:cs="Arial"/>
          <w:color w:val="000000"/>
          <w:sz w:val="20"/>
          <w:szCs w:val="20"/>
        </w:rPr>
        <w:t xml:space="preserve"> right lap</w:t>
      </w:r>
      <w:r w:rsidRPr="00947DA7">
        <w:rPr>
          <w:rFonts w:ascii="Arial" w:hAnsi="Arial" w:cs="Arial"/>
          <w:color w:val="000000"/>
          <w:sz w:val="20"/>
          <w:szCs w:val="20"/>
        </w:rPr>
        <w:t xml:space="preserve"> with 1 × 10</w:t>
      </w:r>
      <w:r w:rsidRPr="00947DA7">
        <w:rPr>
          <w:rFonts w:ascii="Arial" w:hAnsi="Arial" w:cs="Arial"/>
          <w:color w:val="000000"/>
          <w:sz w:val="20"/>
          <w:szCs w:val="20"/>
          <w:vertAlign w:val="superscript"/>
        </w:rPr>
        <w:t>6</w:t>
      </w:r>
      <w:r w:rsidRPr="00947DA7">
        <w:rPr>
          <w:rFonts w:ascii="Arial" w:hAnsi="Arial" w:cs="Arial"/>
          <w:color w:val="000000"/>
          <w:sz w:val="20"/>
          <w:szCs w:val="20"/>
        </w:rPr>
        <w:t xml:space="preserve"> MB49 cells. When the tumor size of the mice was </w:t>
      </w:r>
      <w:r w:rsidR="008E2549" w:rsidRPr="00947DA7">
        <w:rPr>
          <w:rFonts w:ascii="Arial" w:hAnsi="Arial" w:cs="Arial"/>
          <w:color w:val="000000"/>
          <w:sz w:val="20"/>
          <w:szCs w:val="20"/>
        </w:rPr>
        <w:t>1</w:t>
      </w:r>
      <w:r w:rsidRPr="00947DA7">
        <w:rPr>
          <w:rFonts w:ascii="Arial" w:hAnsi="Arial" w:cs="Arial"/>
          <w:color w:val="000000"/>
          <w:sz w:val="20"/>
          <w:szCs w:val="20"/>
        </w:rPr>
        <w:t>00 mm</w:t>
      </w:r>
      <w:r w:rsidRPr="00947DA7">
        <w:rPr>
          <w:rFonts w:ascii="Arial" w:hAnsi="Arial" w:cs="Arial"/>
          <w:color w:val="000000"/>
          <w:sz w:val="20"/>
          <w:szCs w:val="20"/>
          <w:vertAlign w:val="superscript"/>
        </w:rPr>
        <w:t>3</w:t>
      </w:r>
      <w:r w:rsidRPr="00947DA7">
        <w:rPr>
          <w:rFonts w:ascii="Arial" w:hAnsi="Arial" w:cs="Arial"/>
          <w:color w:val="000000"/>
          <w:sz w:val="20"/>
          <w:szCs w:val="20"/>
        </w:rPr>
        <w:t xml:space="preserve">, the mice were divided randomly into 4 groups (n = 5) and subjected to various treatments: (i) </w:t>
      </w:r>
      <w:r w:rsidR="00F41A70" w:rsidRPr="00947DA7">
        <w:rPr>
          <w:rFonts w:ascii="Arial" w:hAnsi="Arial" w:cs="Arial"/>
          <w:color w:val="000000"/>
          <w:sz w:val="20"/>
          <w:szCs w:val="20"/>
        </w:rPr>
        <w:t>PBS</w:t>
      </w:r>
      <w:r w:rsidRPr="00947DA7">
        <w:rPr>
          <w:rFonts w:ascii="Arial" w:hAnsi="Arial" w:cs="Arial"/>
          <w:color w:val="000000"/>
          <w:sz w:val="20"/>
          <w:szCs w:val="20"/>
        </w:rPr>
        <w:t xml:space="preserve"> (i.v. injection, 100 μL); (ii) </w:t>
      </w:r>
      <w:r w:rsidR="002507BA" w:rsidRPr="00947DA7">
        <w:rPr>
          <w:rFonts w:ascii="Arial" w:hAnsi="Arial" w:cs="Arial"/>
          <w:color w:val="000000"/>
          <w:sz w:val="20"/>
          <w:szCs w:val="20"/>
        </w:rPr>
        <w:t>RT</w:t>
      </w:r>
      <w:r w:rsidRPr="00947DA7">
        <w:rPr>
          <w:rFonts w:ascii="Arial" w:hAnsi="Arial" w:cs="Arial"/>
          <w:color w:val="000000"/>
          <w:sz w:val="20"/>
          <w:szCs w:val="20"/>
        </w:rPr>
        <w:t xml:space="preserve"> (8</w:t>
      </w:r>
      <w:r w:rsidR="001E0D43" w:rsidRPr="00947DA7">
        <w:rPr>
          <w:rFonts w:ascii="Arial" w:hAnsi="Arial" w:cs="Arial"/>
          <w:color w:val="000000"/>
          <w:sz w:val="20"/>
          <w:szCs w:val="20"/>
        </w:rPr>
        <w:t xml:space="preserve"> Gy</w:t>
      </w:r>
      <w:r w:rsidRPr="00947DA7">
        <w:rPr>
          <w:rFonts w:ascii="Arial" w:hAnsi="Arial" w:cs="Arial"/>
          <w:color w:val="000000"/>
          <w:sz w:val="20"/>
          <w:szCs w:val="20"/>
        </w:rPr>
        <w:t>); (iii) CPC NPs (i.v. injection, 100 μL, 1.5 mg/kg) without irradiation; (iv) CPC NPs (i.v. injection, 100 μL, 1.5 mg/kg) + laser (8</w:t>
      </w:r>
      <w:r w:rsidR="001E0D43" w:rsidRPr="00947DA7">
        <w:rPr>
          <w:rFonts w:ascii="Arial" w:hAnsi="Arial" w:cs="Arial"/>
          <w:color w:val="000000"/>
          <w:sz w:val="20"/>
          <w:szCs w:val="20"/>
        </w:rPr>
        <w:t xml:space="preserve"> Gy</w:t>
      </w:r>
      <w:r w:rsidRPr="00947DA7">
        <w:rPr>
          <w:rFonts w:ascii="Arial" w:hAnsi="Arial" w:cs="Arial"/>
          <w:color w:val="000000"/>
          <w:sz w:val="20"/>
          <w:szCs w:val="20"/>
        </w:rPr>
        <w:t>). The tumor volume and body weight of the mice in each group were measured and recorded. After the mice were executed, the tumor mice in all groups were collected and dissected for dihydroethydium (DHE) staining</w:t>
      </w:r>
      <w:r w:rsidR="00415B61" w:rsidRPr="00947DA7">
        <w:rPr>
          <w:rFonts w:ascii="Arial" w:hAnsi="Arial" w:cs="Arial"/>
          <w:color w:val="000000"/>
          <w:sz w:val="20"/>
          <w:szCs w:val="20"/>
        </w:rPr>
        <w:t>, Ki67 and TUNEL</w:t>
      </w:r>
      <w:r w:rsidRPr="00947DA7">
        <w:rPr>
          <w:rFonts w:ascii="Arial" w:hAnsi="Arial" w:cs="Arial"/>
          <w:color w:val="000000"/>
          <w:sz w:val="20"/>
          <w:szCs w:val="20"/>
        </w:rPr>
        <w:t xml:space="preserve"> staining. The tumor inhibition rate (TGI) was calculated according to the following formula:</w:t>
      </w:r>
      <w:r w:rsidRPr="00947DA7">
        <w:rPr>
          <w:rFonts w:ascii="Arial" w:hAnsi="Arial" w:cs="Arial"/>
          <w:i/>
          <w:color w:val="000000"/>
          <w:sz w:val="20"/>
          <w:szCs w:val="20"/>
        </w:rPr>
        <w:br/>
      </w:r>
      <m:oMathPara>
        <m:oMath>
          <m:r>
            <w:rPr>
              <w:rFonts w:ascii="Cambria Math" w:hAnsi="Cambria Math" w:cs="Arial"/>
              <w:color w:val="000000"/>
              <w:sz w:val="20"/>
              <w:szCs w:val="20"/>
            </w:rPr>
            <m:t xml:space="preserve">      TGI=</m:t>
          </m:r>
          <m:d>
            <m:dPr>
              <m:ctrlPr>
                <w:rPr>
                  <w:rFonts w:ascii="Cambria Math" w:hAnsi="Cambria Math" w:cs="Arial"/>
                  <w:i/>
                  <w:color w:val="000000"/>
                  <w:sz w:val="20"/>
                  <w:szCs w:val="20"/>
                </w:rPr>
              </m:ctrlPr>
            </m:dPr>
            <m:e>
              <m:r>
                <w:rPr>
                  <w:rFonts w:ascii="Cambria Math" w:hAnsi="Cambria Math" w:cs="Arial"/>
                  <w:color w:val="000000"/>
                  <w:sz w:val="20"/>
                  <w:szCs w:val="20"/>
                </w:rPr>
                <m:t>1-</m:t>
              </m:r>
              <m:f>
                <m:fPr>
                  <m:ctrlPr>
                    <w:rPr>
                      <w:rFonts w:ascii="Cambria Math" w:hAnsi="Cambria Math" w:cs="Arial"/>
                      <w:i/>
                      <w:color w:val="000000"/>
                      <w:sz w:val="20"/>
                      <w:szCs w:val="20"/>
                    </w:rPr>
                  </m:ctrlPr>
                </m:fPr>
                <m:num>
                  <m:sSub>
                    <m:sSubPr>
                      <m:ctrlPr>
                        <w:rPr>
                          <w:rFonts w:ascii="Cambria Math" w:hAnsi="Cambria Math" w:cs="Arial"/>
                          <w:i/>
                          <w:color w:val="000000"/>
                          <w:sz w:val="20"/>
                          <w:szCs w:val="20"/>
                        </w:rPr>
                      </m:ctrlPr>
                    </m:sSubPr>
                    <m:e>
                      <m:r>
                        <w:rPr>
                          <w:rFonts w:ascii="Cambria Math" w:hAnsi="Cambria Math" w:cs="Arial"/>
                          <w:color w:val="000000"/>
                          <w:sz w:val="20"/>
                          <w:szCs w:val="20"/>
                        </w:rPr>
                        <m:t>V</m:t>
                      </m:r>
                    </m:e>
                    <m:sub>
                      <m:r>
                        <w:rPr>
                          <w:rFonts w:ascii="Cambria Math" w:hAnsi="Cambria Math" w:cs="Arial"/>
                          <w:color w:val="000000"/>
                          <w:sz w:val="20"/>
                          <w:szCs w:val="20"/>
                        </w:rPr>
                        <m:t>1</m:t>
                      </m:r>
                    </m:sub>
                  </m:sSub>
                </m:num>
                <m:den>
                  <m:sSub>
                    <m:sSubPr>
                      <m:ctrlPr>
                        <w:rPr>
                          <w:rFonts w:ascii="Cambria Math" w:hAnsi="Cambria Math" w:cs="Arial"/>
                          <w:i/>
                          <w:color w:val="000000"/>
                          <w:sz w:val="20"/>
                          <w:szCs w:val="20"/>
                        </w:rPr>
                      </m:ctrlPr>
                    </m:sSubPr>
                    <m:e>
                      <m:r>
                        <w:rPr>
                          <w:rFonts w:ascii="Cambria Math" w:hAnsi="Cambria Math" w:cs="Arial"/>
                          <w:color w:val="000000"/>
                          <w:sz w:val="20"/>
                          <w:szCs w:val="20"/>
                        </w:rPr>
                        <m:t>V</m:t>
                      </m:r>
                    </m:e>
                    <m:sub>
                      <m:r>
                        <w:rPr>
                          <w:rFonts w:ascii="Cambria Math" w:hAnsi="Cambria Math" w:cs="Arial"/>
                          <w:color w:val="000000"/>
                          <w:sz w:val="20"/>
                          <w:szCs w:val="20"/>
                        </w:rPr>
                        <m:t>2</m:t>
                      </m:r>
                    </m:sub>
                  </m:sSub>
                </m:den>
              </m:f>
            </m:e>
          </m:d>
          <m:r>
            <w:rPr>
              <w:rFonts w:ascii="Cambria Math" w:hAnsi="Cambria Math" w:cs="Arial"/>
              <w:color w:val="000000"/>
              <w:sz w:val="20"/>
              <w:szCs w:val="20"/>
            </w:rPr>
            <m:t>×100 %</m:t>
          </m:r>
        </m:oMath>
      </m:oMathPara>
    </w:p>
    <w:p w14:paraId="1CEC5FBE" w14:textId="539D62BA" w:rsidR="007F4B6D" w:rsidRPr="00947DA7" w:rsidRDefault="00B37C52" w:rsidP="00E073D4">
      <w:pPr>
        <w:spacing w:line="360" w:lineRule="auto"/>
        <w:rPr>
          <w:rFonts w:ascii="Arial" w:hAnsi="Arial" w:cs="Arial"/>
          <w:color w:val="000000"/>
          <w:sz w:val="20"/>
          <w:szCs w:val="20"/>
        </w:rPr>
      </w:pPr>
      <w:r w:rsidRPr="00947DA7">
        <w:rPr>
          <w:rFonts w:ascii="Arial" w:hAnsi="Arial" w:cs="Arial"/>
          <w:color w:val="000000"/>
          <w:sz w:val="20"/>
          <w:szCs w:val="20"/>
        </w:rPr>
        <w:t xml:space="preserve">Where </w:t>
      </w:r>
      <w:r w:rsidRPr="00947DA7">
        <w:rPr>
          <w:rFonts w:ascii="Arial" w:hAnsi="Arial" w:cs="Arial"/>
          <w:i/>
          <w:iCs/>
          <w:color w:val="000000"/>
          <w:sz w:val="20"/>
          <w:szCs w:val="20"/>
        </w:rPr>
        <w:t>V</w:t>
      </w:r>
      <w:r w:rsidRPr="00947DA7">
        <w:rPr>
          <w:rFonts w:ascii="Arial" w:hAnsi="Arial" w:cs="Arial"/>
          <w:i/>
          <w:iCs/>
          <w:color w:val="000000"/>
          <w:sz w:val="20"/>
          <w:szCs w:val="20"/>
          <w:vertAlign w:val="subscript"/>
        </w:rPr>
        <w:t>1</w:t>
      </w:r>
      <w:r w:rsidRPr="00947DA7">
        <w:rPr>
          <w:rFonts w:ascii="Arial" w:hAnsi="Arial" w:cs="Arial"/>
          <w:color w:val="000000"/>
          <w:sz w:val="20"/>
          <w:szCs w:val="20"/>
        </w:rPr>
        <w:t xml:space="preserve"> represents the tumor volume of the experimental group and </w:t>
      </w:r>
      <w:r w:rsidRPr="00947DA7">
        <w:rPr>
          <w:rFonts w:ascii="Arial" w:hAnsi="Arial" w:cs="Arial"/>
          <w:i/>
          <w:iCs/>
          <w:color w:val="000000"/>
          <w:sz w:val="20"/>
          <w:szCs w:val="20"/>
        </w:rPr>
        <w:t>V</w:t>
      </w:r>
      <w:r w:rsidRPr="00947DA7">
        <w:rPr>
          <w:rFonts w:ascii="Arial" w:hAnsi="Arial" w:cs="Arial"/>
          <w:i/>
          <w:iCs/>
          <w:color w:val="000000"/>
          <w:sz w:val="20"/>
          <w:szCs w:val="20"/>
          <w:vertAlign w:val="subscript"/>
        </w:rPr>
        <w:t>2</w:t>
      </w:r>
      <w:r w:rsidRPr="00947DA7">
        <w:rPr>
          <w:rFonts w:ascii="Arial" w:hAnsi="Arial" w:cs="Arial"/>
          <w:color w:val="000000"/>
          <w:sz w:val="20"/>
          <w:szCs w:val="20"/>
        </w:rPr>
        <w:t xml:space="preserve"> represents the tumor volume of the control group.</w:t>
      </w:r>
    </w:p>
    <w:p w14:paraId="149DD5ED" w14:textId="69CA3E63" w:rsidR="007F4B6D" w:rsidRPr="00947DA7" w:rsidRDefault="007F4B6D" w:rsidP="00E073D4">
      <w:pPr>
        <w:spacing w:line="360" w:lineRule="auto"/>
        <w:rPr>
          <w:rFonts w:ascii="Arial" w:hAnsi="Arial" w:cs="Arial"/>
          <w:color w:val="000000"/>
          <w:sz w:val="20"/>
          <w:szCs w:val="20"/>
        </w:rPr>
      </w:pPr>
      <w:r w:rsidRPr="00947DA7">
        <w:rPr>
          <w:rFonts w:ascii="Arial" w:hAnsi="Arial" w:cs="Arial"/>
          <w:color w:val="000000"/>
          <w:sz w:val="20"/>
          <w:szCs w:val="20"/>
        </w:rPr>
        <w:t>Hypoxia alleviation in vivo:</w:t>
      </w:r>
      <w:r w:rsidR="0090385B" w:rsidRPr="00947DA7">
        <w:rPr>
          <w:rFonts w:ascii="Arial" w:hAnsi="Arial" w:cs="Arial"/>
          <w:color w:val="000000"/>
          <w:sz w:val="20"/>
          <w:szCs w:val="20"/>
        </w:rPr>
        <w:t xml:space="preserve"> 6-week-old mice</w:t>
      </w:r>
      <w:r w:rsidR="000A7AF9" w:rsidRPr="00947DA7">
        <w:rPr>
          <w:rFonts w:ascii="Arial" w:hAnsi="Arial" w:cs="Arial"/>
          <w:color w:val="000000"/>
          <w:sz w:val="20"/>
          <w:szCs w:val="20"/>
        </w:rPr>
        <w:t xml:space="preserve"> received 106 MB49 cells subcutaneous injection on right lap. </w:t>
      </w:r>
      <w:r w:rsidR="00FE3BAD" w:rsidRPr="00947DA7">
        <w:rPr>
          <w:rFonts w:ascii="Arial" w:hAnsi="Arial" w:cs="Arial"/>
          <w:color w:val="000000"/>
          <w:sz w:val="20"/>
          <w:szCs w:val="20"/>
        </w:rPr>
        <w:t xml:space="preserve">When tumor volume reached approximately </w:t>
      </w:r>
      <w:r w:rsidR="00F43AA2" w:rsidRPr="00947DA7">
        <w:rPr>
          <w:rFonts w:ascii="Arial" w:hAnsi="Arial" w:cs="Arial"/>
          <w:color w:val="000000"/>
          <w:sz w:val="20"/>
          <w:szCs w:val="20"/>
        </w:rPr>
        <w:t xml:space="preserve">200 mm3, mice received </w:t>
      </w:r>
      <w:r w:rsidR="0086191D" w:rsidRPr="00947DA7">
        <w:rPr>
          <w:rFonts w:ascii="Arial" w:hAnsi="Arial" w:cs="Arial"/>
          <w:color w:val="000000"/>
          <w:sz w:val="20"/>
          <w:szCs w:val="20"/>
        </w:rPr>
        <w:t>i.v. injection of PBS or CPC NPs</w:t>
      </w:r>
      <w:r w:rsidR="00516E76" w:rsidRPr="00947DA7">
        <w:rPr>
          <w:rFonts w:ascii="Arial" w:hAnsi="Arial" w:cs="Arial"/>
          <w:color w:val="000000"/>
          <w:sz w:val="20"/>
          <w:szCs w:val="20"/>
        </w:rPr>
        <w:t xml:space="preserve"> (1.5 mg/kg)</w:t>
      </w:r>
      <w:r w:rsidR="00605A44" w:rsidRPr="00947DA7">
        <w:rPr>
          <w:rFonts w:ascii="Arial" w:hAnsi="Arial" w:cs="Arial"/>
          <w:color w:val="000000"/>
          <w:sz w:val="20"/>
          <w:szCs w:val="20"/>
        </w:rPr>
        <w:t>. Then tumors were harvest the next day for HIF-1α staining to test the hypoxia status.</w:t>
      </w:r>
      <w:r w:rsidR="0086191D" w:rsidRPr="00947DA7">
        <w:rPr>
          <w:rFonts w:ascii="Arial" w:hAnsi="Arial" w:cs="Arial"/>
          <w:color w:val="000000"/>
          <w:sz w:val="20"/>
          <w:szCs w:val="20"/>
        </w:rPr>
        <w:t xml:space="preserve"> </w:t>
      </w:r>
    </w:p>
    <w:p w14:paraId="4389EB24" w14:textId="1FBF0B0C" w:rsidR="00B37C52" w:rsidRPr="00947DA7" w:rsidRDefault="00B37C52" w:rsidP="00E073D4">
      <w:pPr>
        <w:spacing w:line="360" w:lineRule="auto"/>
        <w:rPr>
          <w:rFonts w:ascii="Arial" w:hAnsi="Arial" w:cs="Arial"/>
          <w:color w:val="000000"/>
          <w:sz w:val="20"/>
          <w:szCs w:val="20"/>
        </w:rPr>
      </w:pPr>
      <w:r w:rsidRPr="00947DA7">
        <w:rPr>
          <w:rFonts w:ascii="Arial" w:hAnsi="Arial" w:cs="Arial"/>
          <w:color w:val="000000"/>
          <w:sz w:val="20"/>
          <w:szCs w:val="20"/>
        </w:rPr>
        <w:t>Statistical analysis: Statistical analysis was performed using two-sided Student’s t-test for two groups and one-way analysis of variance for multiple groups. P values of P &lt; 0.05 was considered statistically significant.</w:t>
      </w:r>
    </w:p>
    <w:p w14:paraId="710FB921" w14:textId="77777777" w:rsidR="000E60CB" w:rsidRPr="00947DA7" w:rsidRDefault="000E60CB" w:rsidP="00E073D4">
      <w:pPr>
        <w:spacing w:line="360" w:lineRule="auto"/>
        <w:rPr>
          <w:rFonts w:ascii="Arial" w:hAnsi="Arial" w:cs="Arial"/>
          <w:color w:val="000000"/>
          <w:sz w:val="20"/>
          <w:szCs w:val="20"/>
        </w:rPr>
      </w:pPr>
    </w:p>
    <w:p w14:paraId="2A4DB3E9" w14:textId="77777777" w:rsidR="001574AF" w:rsidRPr="00947DA7" w:rsidRDefault="001574AF" w:rsidP="00E762E1">
      <w:pPr>
        <w:spacing w:line="360" w:lineRule="auto"/>
        <w:jc w:val="center"/>
        <w:rPr>
          <w:rFonts w:ascii="Arial" w:hAnsi="Arial" w:cs="Arial"/>
          <w:color w:val="000000"/>
          <w:sz w:val="20"/>
          <w:szCs w:val="20"/>
        </w:rPr>
      </w:pPr>
      <w:r w:rsidRPr="00947DA7">
        <w:rPr>
          <w:color w:val="000000"/>
        </w:rPr>
        <w:lastRenderedPageBreak/>
        <w:drawing>
          <wp:inline distT="0" distB="0" distL="0" distR="0" wp14:anchorId="2EB81F66" wp14:editId="1A3ECCF6">
            <wp:extent cx="2565519" cy="2430896"/>
            <wp:effectExtent l="0" t="0" r="0" b="0"/>
            <wp:docPr id="125232630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197" cy="2436276"/>
                    </a:xfrm>
                    <a:prstGeom prst="rect">
                      <a:avLst/>
                    </a:prstGeom>
                    <a:noFill/>
                    <a:ln>
                      <a:noFill/>
                    </a:ln>
                  </pic:spPr>
                </pic:pic>
              </a:graphicData>
            </a:graphic>
          </wp:inline>
        </w:drawing>
      </w:r>
    </w:p>
    <w:p w14:paraId="01FBAA12" w14:textId="527F94A8" w:rsidR="001574AF" w:rsidRPr="00947DA7" w:rsidRDefault="001574AF" w:rsidP="001574AF">
      <w:pPr>
        <w:spacing w:line="360" w:lineRule="auto"/>
        <w:rPr>
          <w:rFonts w:ascii="Arial" w:hAnsi="Arial" w:cs="Arial"/>
          <w:color w:val="000000"/>
          <w:sz w:val="20"/>
          <w:szCs w:val="20"/>
        </w:rPr>
      </w:pPr>
      <w:r w:rsidRPr="00947DA7">
        <w:rPr>
          <w:rFonts w:ascii="Arial" w:hAnsi="Arial" w:cs="Arial" w:hint="eastAsia"/>
          <w:b/>
          <w:bCs/>
          <w:color w:val="000000"/>
          <w:sz w:val="20"/>
          <w:szCs w:val="20"/>
        </w:rPr>
        <w:t>Figure S1.</w:t>
      </w:r>
      <w:r w:rsidRPr="00947DA7">
        <w:rPr>
          <w:rFonts w:ascii="Arial" w:hAnsi="Arial" w:cs="Arial" w:hint="eastAsia"/>
          <w:color w:val="000000"/>
          <w:sz w:val="20"/>
          <w:szCs w:val="20"/>
        </w:rPr>
        <w:t xml:space="preserve"> </w:t>
      </w:r>
      <w:r w:rsidRPr="00947DA7">
        <w:rPr>
          <w:rFonts w:ascii="Arial" w:hAnsi="Arial" w:cs="Arial"/>
          <w:color w:val="000000"/>
          <w:sz w:val="20"/>
          <w:szCs w:val="20"/>
        </w:rPr>
        <w:t>Size distribution of CP NPs.</w:t>
      </w:r>
    </w:p>
    <w:p w14:paraId="4AEE12A2" w14:textId="77777777" w:rsidR="001574AF" w:rsidRPr="00947DA7" w:rsidRDefault="001574AF" w:rsidP="00E073D4">
      <w:pPr>
        <w:spacing w:line="360" w:lineRule="auto"/>
        <w:rPr>
          <w:rFonts w:ascii="Arial" w:hAnsi="Arial" w:cs="Arial"/>
          <w:color w:val="000000"/>
          <w:sz w:val="20"/>
          <w:szCs w:val="20"/>
        </w:rPr>
      </w:pPr>
    </w:p>
    <w:p w14:paraId="0321AC96" w14:textId="020FCD4F" w:rsidR="000E60CB" w:rsidRPr="00947DA7" w:rsidRDefault="00AA7395" w:rsidP="00E073D4">
      <w:pPr>
        <w:spacing w:line="360" w:lineRule="auto"/>
        <w:jc w:val="center"/>
        <w:rPr>
          <w:rFonts w:ascii="Arial" w:hAnsi="Arial" w:cs="Arial"/>
          <w:color w:val="000000"/>
          <w:sz w:val="20"/>
          <w:szCs w:val="20"/>
        </w:rPr>
      </w:pPr>
      <w:r w:rsidRPr="00947DA7">
        <w:rPr>
          <w:rFonts w:ascii="Arial" w:hAnsi="Arial" w:cs="Arial"/>
          <w:color w:val="000000"/>
          <w:sz w:val="20"/>
          <w:szCs w:val="20"/>
        </w:rPr>
        <w:drawing>
          <wp:inline distT="0" distB="0" distL="0" distR="0" wp14:anchorId="334409FF" wp14:editId="5CF13C2D">
            <wp:extent cx="2083981" cy="208398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4648" cy="2094648"/>
                    </a:xfrm>
                    <a:prstGeom prst="rect">
                      <a:avLst/>
                    </a:prstGeom>
                    <a:noFill/>
                    <a:ln>
                      <a:noFill/>
                    </a:ln>
                  </pic:spPr>
                </pic:pic>
              </a:graphicData>
            </a:graphic>
          </wp:inline>
        </w:drawing>
      </w:r>
    </w:p>
    <w:p w14:paraId="57947AEC" w14:textId="008810B8" w:rsidR="000E60CB" w:rsidRPr="00947DA7" w:rsidRDefault="000E60CB" w:rsidP="00E073D4">
      <w:pPr>
        <w:spacing w:line="360" w:lineRule="auto"/>
        <w:rPr>
          <w:rFonts w:ascii="Arial" w:hAnsi="Arial" w:cs="Arial"/>
          <w:color w:val="000000"/>
          <w:sz w:val="20"/>
          <w:szCs w:val="20"/>
        </w:rPr>
      </w:pPr>
      <w:r w:rsidRPr="00947DA7">
        <w:rPr>
          <w:rFonts w:ascii="Arial" w:hAnsi="Arial" w:cs="Arial"/>
          <w:b/>
          <w:bCs/>
          <w:color w:val="000000"/>
          <w:sz w:val="20"/>
          <w:szCs w:val="20"/>
        </w:rPr>
        <w:t>Figure S</w:t>
      </w:r>
      <w:r w:rsidR="001574AF" w:rsidRPr="00947DA7">
        <w:rPr>
          <w:rFonts w:ascii="Arial" w:hAnsi="Arial" w:cs="Arial" w:hint="eastAsia"/>
          <w:b/>
          <w:bCs/>
          <w:color w:val="000000"/>
          <w:sz w:val="20"/>
          <w:szCs w:val="20"/>
        </w:rPr>
        <w:t>2</w:t>
      </w:r>
      <w:r w:rsidRPr="00947DA7">
        <w:rPr>
          <w:rFonts w:ascii="Arial" w:hAnsi="Arial" w:cs="Arial"/>
          <w:b/>
          <w:bCs/>
          <w:color w:val="000000"/>
          <w:sz w:val="20"/>
          <w:szCs w:val="20"/>
        </w:rPr>
        <w:t>.</w:t>
      </w:r>
      <w:r w:rsidR="00AA7395" w:rsidRPr="00947DA7">
        <w:rPr>
          <w:rFonts w:ascii="Arial" w:hAnsi="Arial" w:cs="Arial"/>
          <w:color w:val="000000"/>
          <w:sz w:val="20"/>
          <w:szCs w:val="20"/>
        </w:rPr>
        <w:t xml:space="preserve"> TEM images of CP NPs in medium after 24 h.</w:t>
      </w:r>
    </w:p>
    <w:p w14:paraId="14DC584F" w14:textId="77777777" w:rsidR="00837367" w:rsidRPr="00947DA7" w:rsidRDefault="00837367" w:rsidP="00E073D4">
      <w:pPr>
        <w:spacing w:line="360" w:lineRule="auto"/>
        <w:rPr>
          <w:rFonts w:ascii="Arial" w:hAnsi="Arial" w:cs="Arial"/>
          <w:color w:val="000000"/>
          <w:sz w:val="20"/>
          <w:szCs w:val="20"/>
        </w:rPr>
      </w:pPr>
    </w:p>
    <w:p w14:paraId="1A4506BE" w14:textId="655841F3" w:rsidR="006B7E30" w:rsidRPr="00947DA7" w:rsidRDefault="00C437C4" w:rsidP="00837367">
      <w:pPr>
        <w:spacing w:line="360" w:lineRule="auto"/>
        <w:jc w:val="center"/>
        <w:rPr>
          <w:rFonts w:ascii="Arial" w:hAnsi="Arial" w:cs="Arial"/>
          <w:color w:val="000000"/>
          <w:sz w:val="20"/>
          <w:szCs w:val="20"/>
        </w:rPr>
      </w:pPr>
      <w:r w:rsidRPr="00947DA7">
        <w:rPr>
          <w:rFonts w:ascii="Arial" w:hAnsi="Arial" w:cs="Arial"/>
          <w:color w:val="000000"/>
          <w:sz w:val="20"/>
          <w:szCs w:val="20"/>
        </w:rPr>
        <w:drawing>
          <wp:inline distT="0" distB="0" distL="0" distR="0" wp14:anchorId="6E9699A5" wp14:editId="09F68F3A">
            <wp:extent cx="2729536" cy="2221487"/>
            <wp:effectExtent l="0" t="0" r="0" b="0"/>
            <wp:docPr id="192263190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9035" cy="2229218"/>
                    </a:xfrm>
                    <a:prstGeom prst="rect">
                      <a:avLst/>
                    </a:prstGeom>
                    <a:noFill/>
                    <a:ln>
                      <a:noFill/>
                    </a:ln>
                  </pic:spPr>
                </pic:pic>
              </a:graphicData>
            </a:graphic>
          </wp:inline>
        </w:drawing>
      </w:r>
    </w:p>
    <w:p w14:paraId="60E0BC07" w14:textId="43FC3FDB" w:rsidR="008F7E2A" w:rsidRPr="00947DA7" w:rsidRDefault="008F7E2A" w:rsidP="00E073D4">
      <w:pPr>
        <w:spacing w:line="360" w:lineRule="auto"/>
        <w:rPr>
          <w:rFonts w:ascii="Arial" w:hAnsi="Arial" w:cs="Arial"/>
          <w:color w:val="000000"/>
          <w:sz w:val="20"/>
          <w:szCs w:val="20"/>
        </w:rPr>
      </w:pPr>
      <w:r w:rsidRPr="00947DA7">
        <w:rPr>
          <w:rFonts w:ascii="Arial" w:hAnsi="Arial" w:cs="Arial" w:hint="eastAsia"/>
          <w:b/>
          <w:bCs/>
          <w:color w:val="000000"/>
          <w:sz w:val="20"/>
          <w:szCs w:val="20"/>
        </w:rPr>
        <w:t>Figure S</w:t>
      </w:r>
      <w:r w:rsidR="001574AF" w:rsidRPr="00947DA7">
        <w:rPr>
          <w:rFonts w:ascii="Arial" w:hAnsi="Arial" w:cs="Arial" w:hint="eastAsia"/>
          <w:b/>
          <w:bCs/>
          <w:color w:val="000000"/>
          <w:sz w:val="20"/>
          <w:szCs w:val="20"/>
        </w:rPr>
        <w:t>3</w:t>
      </w:r>
      <w:r w:rsidRPr="00947DA7">
        <w:rPr>
          <w:rFonts w:ascii="Arial" w:hAnsi="Arial" w:cs="Arial" w:hint="eastAsia"/>
          <w:b/>
          <w:bCs/>
          <w:color w:val="000000"/>
          <w:sz w:val="20"/>
          <w:szCs w:val="20"/>
        </w:rPr>
        <w:t>.</w:t>
      </w:r>
      <w:r w:rsidR="00C437C4" w:rsidRPr="00947DA7">
        <w:rPr>
          <w:rFonts w:ascii="Arial" w:hAnsi="Arial" w:cs="Arial" w:hint="eastAsia"/>
          <w:b/>
          <w:bCs/>
          <w:color w:val="000000"/>
          <w:sz w:val="20"/>
          <w:szCs w:val="20"/>
        </w:rPr>
        <w:t xml:space="preserve"> </w:t>
      </w:r>
      <w:r w:rsidR="00C437C4" w:rsidRPr="00947DA7">
        <w:rPr>
          <w:rFonts w:ascii="Arial" w:hAnsi="Arial" w:cs="Arial"/>
          <w:color w:val="000000"/>
          <w:sz w:val="20"/>
          <w:szCs w:val="20"/>
        </w:rPr>
        <w:t xml:space="preserve">The stability analysis of </w:t>
      </w:r>
      <w:r w:rsidR="00C437C4" w:rsidRPr="00947DA7">
        <w:rPr>
          <w:rFonts w:ascii="Arial" w:hAnsi="Arial" w:cs="Arial" w:hint="eastAsia"/>
          <w:color w:val="000000"/>
          <w:sz w:val="20"/>
          <w:szCs w:val="20"/>
        </w:rPr>
        <w:t>CPC</w:t>
      </w:r>
      <w:r w:rsidR="00C437C4" w:rsidRPr="00947DA7">
        <w:rPr>
          <w:rFonts w:ascii="Arial" w:hAnsi="Arial" w:cs="Arial"/>
          <w:color w:val="000000"/>
          <w:sz w:val="20"/>
          <w:szCs w:val="20"/>
        </w:rPr>
        <w:t xml:space="preserve"> in PBS or 10% FBS buffer at 37 °C for 48 h (n = 3).</w:t>
      </w:r>
    </w:p>
    <w:p w14:paraId="0F5942BD" w14:textId="77777777" w:rsidR="007E132E" w:rsidRPr="00947DA7" w:rsidRDefault="007E132E" w:rsidP="00E073D4">
      <w:pPr>
        <w:spacing w:line="360" w:lineRule="auto"/>
        <w:rPr>
          <w:rFonts w:ascii="Arial" w:hAnsi="Arial" w:cs="Arial"/>
          <w:color w:val="000000"/>
          <w:sz w:val="20"/>
          <w:szCs w:val="20"/>
        </w:rPr>
      </w:pPr>
    </w:p>
    <w:p w14:paraId="27BAD577" w14:textId="38C0FB42" w:rsidR="006B7E30" w:rsidRPr="00947DA7" w:rsidRDefault="00D70719" w:rsidP="00837367">
      <w:pPr>
        <w:spacing w:line="360" w:lineRule="auto"/>
        <w:jc w:val="center"/>
        <w:rPr>
          <w:rFonts w:ascii="Arial" w:hAnsi="Arial" w:cs="Arial"/>
          <w:color w:val="000000"/>
          <w:sz w:val="20"/>
          <w:szCs w:val="20"/>
        </w:rPr>
      </w:pPr>
      <w:r w:rsidRPr="00947DA7">
        <w:rPr>
          <w:color w:val="000000"/>
        </w:rPr>
        <w:lastRenderedPageBreak/>
        <w:drawing>
          <wp:inline distT="0" distB="0" distL="0" distR="0" wp14:anchorId="788D60D0" wp14:editId="1EF4A575">
            <wp:extent cx="3072881" cy="2448124"/>
            <wp:effectExtent l="0" t="0" r="0" b="0"/>
            <wp:docPr id="140919936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8616" cy="2452693"/>
                    </a:xfrm>
                    <a:prstGeom prst="rect">
                      <a:avLst/>
                    </a:prstGeom>
                    <a:noFill/>
                    <a:ln>
                      <a:noFill/>
                    </a:ln>
                  </pic:spPr>
                </pic:pic>
              </a:graphicData>
            </a:graphic>
          </wp:inline>
        </w:drawing>
      </w:r>
    </w:p>
    <w:p w14:paraId="06B34A08" w14:textId="5EC26F6F" w:rsidR="00385955" w:rsidRPr="00947DA7" w:rsidRDefault="00385955" w:rsidP="00E073D4">
      <w:pPr>
        <w:spacing w:line="360" w:lineRule="auto"/>
        <w:rPr>
          <w:rFonts w:ascii="Arial" w:hAnsi="Arial" w:cs="Arial"/>
          <w:color w:val="000000"/>
          <w:sz w:val="20"/>
          <w:szCs w:val="20"/>
        </w:rPr>
      </w:pPr>
      <w:r w:rsidRPr="00947DA7">
        <w:rPr>
          <w:rFonts w:ascii="Arial" w:hAnsi="Arial" w:cs="Arial" w:hint="eastAsia"/>
          <w:b/>
          <w:bCs/>
          <w:color w:val="000000"/>
          <w:sz w:val="20"/>
          <w:szCs w:val="20"/>
        </w:rPr>
        <w:t>Figure S</w:t>
      </w:r>
      <w:r w:rsidR="001574AF" w:rsidRPr="00947DA7">
        <w:rPr>
          <w:rFonts w:ascii="Arial" w:hAnsi="Arial" w:cs="Arial" w:hint="eastAsia"/>
          <w:b/>
          <w:bCs/>
          <w:color w:val="000000"/>
          <w:sz w:val="20"/>
          <w:szCs w:val="20"/>
        </w:rPr>
        <w:t>4</w:t>
      </w:r>
      <w:r w:rsidRPr="00947DA7">
        <w:rPr>
          <w:rFonts w:ascii="Arial" w:hAnsi="Arial" w:cs="Arial" w:hint="eastAsia"/>
          <w:b/>
          <w:bCs/>
          <w:color w:val="000000"/>
          <w:sz w:val="20"/>
          <w:szCs w:val="20"/>
        </w:rPr>
        <w:t>.</w:t>
      </w:r>
      <w:r w:rsidRPr="00947DA7">
        <w:rPr>
          <w:rFonts w:ascii="Arial" w:hAnsi="Arial" w:cs="Arial" w:hint="eastAsia"/>
          <w:color w:val="000000"/>
          <w:sz w:val="20"/>
          <w:szCs w:val="20"/>
        </w:rPr>
        <w:t xml:space="preserve"> Cell </w:t>
      </w:r>
      <w:r w:rsidRPr="00947DA7">
        <w:rPr>
          <w:rFonts w:ascii="Arial" w:hAnsi="Arial" w:cs="Arial"/>
          <w:color w:val="000000"/>
          <w:sz w:val="20"/>
          <w:szCs w:val="20"/>
        </w:rPr>
        <w:t>viability</w:t>
      </w:r>
      <w:r w:rsidRPr="00947DA7">
        <w:rPr>
          <w:rFonts w:ascii="Arial" w:hAnsi="Arial" w:cs="Arial" w:hint="eastAsia"/>
          <w:color w:val="000000"/>
          <w:sz w:val="20"/>
          <w:szCs w:val="20"/>
        </w:rPr>
        <w:t xml:space="preserve"> of </w:t>
      </w:r>
      <w:r w:rsidR="00583CE1" w:rsidRPr="00947DA7">
        <w:rPr>
          <w:rFonts w:ascii="Arial" w:hAnsi="Arial" w:cs="Arial" w:hint="eastAsia"/>
          <w:color w:val="000000"/>
          <w:sz w:val="20"/>
          <w:szCs w:val="20"/>
        </w:rPr>
        <w:t xml:space="preserve">RAW264.7 after co-incubation of CPC NPs at various </w:t>
      </w:r>
      <w:r w:rsidR="00CC6C79" w:rsidRPr="00947DA7">
        <w:rPr>
          <w:rFonts w:ascii="Arial" w:hAnsi="Arial" w:cs="Arial" w:hint="eastAsia"/>
          <w:color w:val="000000"/>
          <w:sz w:val="20"/>
          <w:szCs w:val="20"/>
        </w:rPr>
        <w:t>concentrations.</w:t>
      </w:r>
    </w:p>
    <w:p w14:paraId="10D0A7B6" w14:textId="77777777" w:rsidR="006B7E30" w:rsidRPr="00947DA7" w:rsidRDefault="006B7E30" w:rsidP="00E073D4">
      <w:pPr>
        <w:spacing w:line="360" w:lineRule="auto"/>
        <w:rPr>
          <w:rFonts w:ascii="Arial" w:hAnsi="Arial" w:cs="Arial"/>
          <w:color w:val="000000"/>
          <w:sz w:val="20"/>
          <w:szCs w:val="20"/>
        </w:rPr>
      </w:pPr>
    </w:p>
    <w:p w14:paraId="6FC6D74C" w14:textId="4C4C564D" w:rsidR="006B7E30" w:rsidRPr="00947DA7" w:rsidRDefault="008F7E2A" w:rsidP="00837367">
      <w:pPr>
        <w:spacing w:line="360" w:lineRule="auto"/>
        <w:jc w:val="center"/>
        <w:rPr>
          <w:rFonts w:ascii="Arial" w:hAnsi="Arial" w:cs="Arial"/>
          <w:color w:val="000000"/>
          <w:sz w:val="20"/>
          <w:szCs w:val="20"/>
        </w:rPr>
      </w:pPr>
      <w:r w:rsidRPr="00947DA7">
        <w:rPr>
          <w:rFonts w:ascii="Arial" w:hAnsi="Arial" w:cs="Arial" w:hint="eastAsia"/>
          <w:color w:val="000000"/>
          <w:sz w:val="20"/>
          <w:szCs w:val="20"/>
        </w:rPr>
        <w:drawing>
          <wp:inline distT="0" distB="0" distL="0" distR="0" wp14:anchorId="496AC7C5" wp14:editId="4865A2C3">
            <wp:extent cx="2586355" cy="1761490"/>
            <wp:effectExtent l="0" t="0" r="4445" b="0"/>
            <wp:docPr id="13655297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6355" cy="1761490"/>
                    </a:xfrm>
                    <a:prstGeom prst="rect">
                      <a:avLst/>
                    </a:prstGeom>
                    <a:noFill/>
                    <a:ln>
                      <a:noFill/>
                    </a:ln>
                  </pic:spPr>
                </pic:pic>
              </a:graphicData>
            </a:graphic>
          </wp:inline>
        </w:drawing>
      </w:r>
    </w:p>
    <w:p w14:paraId="7ED6FDDA" w14:textId="184ED59F" w:rsidR="008F7E2A" w:rsidRPr="00947DA7" w:rsidRDefault="00CC6C79" w:rsidP="00E073D4">
      <w:pPr>
        <w:spacing w:line="360" w:lineRule="auto"/>
        <w:rPr>
          <w:rFonts w:ascii="Arial" w:hAnsi="Arial" w:cs="Arial"/>
          <w:color w:val="000000"/>
          <w:sz w:val="20"/>
          <w:szCs w:val="20"/>
        </w:rPr>
      </w:pPr>
      <w:r w:rsidRPr="00947DA7">
        <w:rPr>
          <w:rFonts w:ascii="Arial" w:hAnsi="Arial" w:cs="Arial" w:hint="eastAsia"/>
          <w:b/>
          <w:bCs/>
          <w:color w:val="000000"/>
          <w:sz w:val="20"/>
          <w:szCs w:val="20"/>
        </w:rPr>
        <w:t>Figure S</w:t>
      </w:r>
      <w:r w:rsidR="001574AF" w:rsidRPr="00947DA7">
        <w:rPr>
          <w:rFonts w:ascii="Arial" w:hAnsi="Arial" w:cs="Arial" w:hint="eastAsia"/>
          <w:b/>
          <w:bCs/>
          <w:color w:val="000000"/>
          <w:sz w:val="20"/>
          <w:szCs w:val="20"/>
        </w:rPr>
        <w:t>5</w:t>
      </w:r>
      <w:r w:rsidRPr="00947DA7">
        <w:rPr>
          <w:rFonts w:ascii="Arial" w:hAnsi="Arial" w:cs="Arial" w:hint="eastAsia"/>
          <w:b/>
          <w:bCs/>
          <w:color w:val="000000"/>
          <w:sz w:val="20"/>
          <w:szCs w:val="20"/>
        </w:rPr>
        <w:t xml:space="preserve">. </w:t>
      </w:r>
      <w:r w:rsidRPr="00947DA7">
        <w:rPr>
          <w:rFonts w:ascii="Arial" w:hAnsi="Arial" w:cs="Arial"/>
          <w:color w:val="000000"/>
          <w:sz w:val="20"/>
          <w:szCs w:val="20"/>
        </w:rPr>
        <w:t xml:space="preserve">HIF-1α immunofluorescence staining of </w:t>
      </w:r>
      <w:r w:rsidR="0066290E" w:rsidRPr="00947DA7">
        <w:rPr>
          <w:rFonts w:ascii="Arial" w:hAnsi="Arial" w:cs="Arial" w:hint="eastAsia"/>
          <w:color w:val="000000"/>
          <w:sz w:val="20"/>
          <w:szCs w:val="20"/>
        </w:rPr>
        <w:t>5637</w:t>
      </w:r>
      <w:r w:rsidRPr="00947DA7">
        <w:rPr>
          <w:rFonts w:ascii="Arial" w:hAnsi="Arial" w:cs="Arial"/>
          <w:color w:val="000000"/>
          <w:sz w:val="20"/>
          <w:szCs w:val="20"/>
        </w:rPr>
        <w:t xml:space="preserve"> cells treated with PBS or CPC NPs under hypoxia conditions (Scale bar: </w:t>
      </w:r>
      <w:r w:rsidR="0066290E" w:rsidRPr="00947DA7">
        <w:rPr>
          <w:rFonts w:ascii="Arial" w:hAnsi="Arial" w:cs="Arial" w:hint="eastAsia"/>
          <w:color w:val="000000"/>
          <w:sz w:val="20"/>
          <w:szCs w:val="20"/>
        </w:rPr>
        <w:t>1</w:t>
      </w:r>
      <w:r w:rsidRPr="00947DA7">
        <w:rPr>
          <w:rFonts w:ascii="Arial" w:hAnsi="Arial" w:cs="Arial"/>
          <w:color w:val="000000"/>
          <w:sz w:val="20"/>
          <w:szCs w:val="20"/>
        </w:rPr>
        <w:t>0 μm).</w:t>
      </w:r>
    </w:p>
    <w:p w14:paraId="54A51F0F" w14:textId="77777777" w:rsidR="008F7E2A" w:rsidRPr="00947DA7" w:rsidRDefault="008F7E2A" w:rsidP="00E073D4">
      <w:pPr>
        <w:spacing w:line="360" w:lineRule="auto"/>
        <w:rPr>
          <w:rFonts w:ascii="Arial" w:hAnsi="Arial" w:cs="Arial"/>
          <w:color w:val="000000"/>
          <w:sz w:val="20"/>
          <w:szCs w:val="20"/>
        </w:rPr>
      </w:pPr>
    </w:p>
    <w:p w14:paraId="7B42534B" w14:textId="0097A27A" w:rsidR="0066290E" w:rsidRPr="00947DA7" w:rsidRDefault="009A45FA" w:rsidP="009A45FA">
      <w:pPr>
        <w:spacing w:line="360" w:lineRule="auto"/>
        <w:jc w:val="center"/>
        <w:rPr>
          <w:rFonts w:ascii="Arial" w:hAnsi="Arial" w:cs="Arial"/>
          <w:color w:val="000000"/>
          <w:sz w:val="20"/>
          <w:szCs w:val="20"/>
        </w:rPr>
      </w:pPr>
      <w:r w:rsidRPr="00947DA7">
        <w:rPr>
          <w:rFonts w:ascii="Arial" w:hAnsi="Arial" w:cs="Arial"/>
          <w:b/>
          <w:bCs/>
          <w:color w:val="000000"/>
          <w:sz w:val="32"/>
          <w:szCs w:val="32"/>
        </w:rPr>
        <w:drawing>
          <wp:inline distT="0" distB="0" distL="0" distR="0" wp14:anchorId="5440D3EC" wp14:editId="01282F4C">
            <wp:extent cx="1661795" cy="1121410"/>
            <wp:effectExtent l="0" t="0" r="0" b="2540"/>
            <wp:docPr id="11963425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1795" cy="1121410"/>
                    </a:xfrm>
                    <a:prstGeom prst="rect">
                      <a:avLst/>
                    </a:prstGeom>
                    <a:noFill/>
                    <a:ln>
                      <a:noFill/>
                    </a:ln>
                  </pic:spPr>
                </pic:pic>
              </a:graphicData>
            </a:graphic>
          </wp:inline>
        </w:drawing>
      </w:r>
    </w:p>
    <w:p w14:paraId="2E089B14" w14:textId="1BA74E80" w:rsidR="008F7E2A" w:rsidRPr="00947DA7" w:rsidRDefault="0066290E" w:rsidP="00E073D4">
      <w:pPr>
        <w:spacing w:line="360" w:lineRule="auto"/>
        <w:rPr>
          <w:rFonts w:ascii="Arial" w:hAnsi="Arial" w:cs="Arial"/>
          <w:color w:val="000000"/>
          <w:sz w:val="20"/>
          <w:szCs w:val="20"/>
        </w:rPr>
      </w:pPr>
      <w:r w:rsidRPr="00947DA7">
        <w:rPr>
          <w:rFonts w:ascii="Arial" w:hAnsi="Arial" w:cs="Arial" w:hint="eastAsia"/>
          <w:b/>
          <w:bCs/>
          <w:color w:val="000000"/>
          <w:sz w:val="20"/>
          <w:szCs w:val="20"/>
        </w:rPr>
        <w:t>Figure S</w:t>
      </w:r>
      <w:r w:rsidR="001574AF" w:rsidRPr="00947DA7">
        <w:rPr>
          <w:rFonts w:ascii="Arial" w:hAnsi="Arial" w:cs="Arial" w:hint="eastAsia"/>
          <w:b/>
          <w:bCs/>
          <w:color w:val="000000"/>
          <w:sz w:val="20"/>
          <w:szCs w:val="20"/>
        </w:rPr>
        <w:t>6</w:t>
      </w:r>
      <w:r w:rsidRPr="00947DA7">
        <w:rPr>
          <w:rFonts w:ascii="Arial" w:hAnsi="Arial" w:cs="Arial" w:hint="eastAsia"/>
          <w:b/>
          <w:bCs/>
          <w:color w:val="000000"/>
          <w:sz w:val="20"/>
          <w:szCs w:val="20"/>
        </w:rPr>
        <w:t>.</w:t>
      </w:r>
      <w:r w:rsidRPr="00947DA7">
        <w:rPr>
          <w:rFonts w:ascii="Arial" w:hAnsi="Arial" w:cs="Arial" w:hint="eastAsia"/>
          <w:color w:val="000000"/>
          <w:sz w:val="20"/>
          <w:szCs w:val="20"/>
        </w:rPr>
        <w:t xml:space="preserve"> WB analysis of </w:t>
      </w:r>
      <w:r w:rsidRPr="00947DA7">
        <w:rPr>
          <w:rFonts w:ascii="Arial" w:hAnsi="Arial" w:cs="Arial"/>
          <w:color w:val="000000"/>
          <w:sz w:val="20"/>
          <w:szCs w:val="20"/>
        </w:rPr>
        <w:t>HIF-1α</w:t>
      </w:r>
      <w:r w:rsidRPr="00947DA7">
        <w:rPr>
          <w:rFonts w:ascii="Arial" w:hAnsi="Arial" w:cs="Arial" w:hint="eastAsia"/>
          <w:color w:val="000000"/>
          <w:sz w:val="20"/>
          <w:szCs w:val="20"/>
        </w:rPr>
        <w:t xml:space="preserve"> of </w:t>
      </w:r>
      <w:r w:rsidRPr="00947DA7">
        <w:rPr>
          <w:rFonts w:ascii="Arial" w:hAnsi="Arial" w:cs="Arial"/>
          <w:color w:val="000000"/>
          <w:sz w:val="20"/>
          <w:szCs w:val="20"/>
        </w:rPr>
        <w:t>5637 cells treated with PBS or CPC NPs under hypoxia conditions</w:t>
      </w:r>
      <w:r w:rsidRPr="00947DA7">
        <w:rPr>
          <w:rFonts w:ascii="Arial" w:hAnsi="Arial" w:cs="Arial" w:hint="eastAsia"/>
          <w:color w:val="000000"/>
          <w:sz w:val="20"/>
          <w:szCs w:val="20"/>
        </w:rPr>
        <w:t>.</w:t>
      </w:r>
    </w:p>
    <w:p w14:paraId="47FF4601" w14:textId="77777777" w:rsidR="00D70719" w:rsidRPr="00947DA7" w:rsidRDefault="00D70719" w:rsidP="00E073D4">
      <w:pPr>
        <w:spacing w:line="360" w:lineRule="auto"/>
        <w:rPr>
          <w:rFonts w:ascii="Arial" w:hAnsi="Arial" w:cs="Arial"/>
          <w:color w:val="000000"/>
          <w:sz w:val="20"/>
          <w:szCs w:val="20"/>
        </w:rPr>
      </w:pPr>
    </w:p>
    <w:p w14:paraId="3DBED5DC" w14:textId="5B7C4111" w:rsidR="00451886" w:rsidRPr="00947DA7" w:rsidRDefault="00D70719" w:rsidP="00D70719">
      <w:pPr>
        <w:spacing w:line="360" w:lineRule="auto"/>
        <w:jc w:val="center"/>
        <w:rPr>
          <w:rFonts w:ascii="Arial" w:hAnsi="Arial" w:cs="Arial"/>
          <w:color w:val="000000"/>
          <w:sz w:val="20"/>
          <w:szCs w:val="20"/>
        </w:rPr>
      </w:pPr>
      <w:r w:rsidRPr="00947DA7">
        <w:rPr>
          <w:color w:val="000000"/>
        </w:rPr>
        <w:lastRenderedPageBreak/>
        <w:drawing>
          <wp:inline distT="0" distB="0" distL="0" distR="0" wp14:anchorId="34D75F56" wp14:editId="06379FA8">
            <wp:extent cx="2998237" cy="2206755"/>
            <wp:effectExtent l="0" t="0" r="0" b="0"/>
            <wp:docPr id="208341180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9799" cy="2207905"/>
                    </a:xfrm>
                    <a:prstGeom prst="rect">
                      <a:avLst/>
                    </a:prstGeom>
                    <a:noFill/>
                    <a:ln>
                      <a:noFill/>
                    </a:ln>
                  </pic:spPr>
                </pic:pic>
              </a:graphicData>
            </a:graphic>
          </wp:inline>
        </w:drawing>
      </w:r>
    </w:p>
    <w:p w14:paraId="2EEDFBD9" w14:textId="321F69DE" w:rsidR="006453FC" w:rsidRPr="00947DA7" w:rsidRDefault="00451886" w:rsidP="00E073D4">
      <w:pPr>
        <w:spacing w:line="360" w:lineRule="auto"/>
        <w:rPr>
          <w:rFonts w:ascii="Arial" w:hAnsi="Arial" w:cs="Arial"/>
          <w:color w:val="000000"/>
          <w:sz w:val="20"/>
          <w:szCs w:val="20"/>
        </w:rPr>
      </w:pPr>
      <w:r w:rsidRPr="00947DA7">
        <w:rPr>
          <w:rFonts w:ascii="Arial" w:hAnsi="Arial" w:cs="Arial" w:hint="eastAsia"/>
          <w:b/>
          <w:bCs/>
          <w:color w:val="000000"/>
          <w:sz w:val="20"/>
          <w:szCs w:val="20"/>
        </w:rPr>
        <w:t>Figure S7.</w:t>
      </w:r>
      <w:r w:rsidRPr="00947DA7">
        <w:rPr>
          <w:rFonts w:ascii="Arial" w:hAnsi="Arial" w:cs="Arial" w:hint="eastAsia"/>
          <w:color w:val="000000"/>
          <w:sz w:val="20"/>
          <w:szCs w:val="20"/>
        </w:rPr>
        <w:t xml:space="preserve"> </w:t>
      </w:r>
      <w:r w:rsidR="003B0F7F" w:rsidRPr="00947DA7">
        <w:rPr>
          <w:rFonts w:ascii="Arial" w:hAnsi="Arial" w:cs="Arial" w:hint="eastAsia"/>
          <w:color w:val="000000"/>
          <w:sz w:val="20"/>
          <w:szCs w:val="20"/>
        </w:rPr>
        <w:t>5637 c</w:t>
      </w:r>
      <w:r w:rsidRPr="00947DA7">
        <w:rPr>
          <w:rFonts w:ascii="Arial" w:hAnsi="Arial" w:cs="Arial" w:hint="eastAsia"/>
          <w:color w:val="000000"/>
          <w:sz w:val="20"/>
          <w:szCs w:val="20"/>
        </w:rPr>
        <w:t>ell viability after various treatment.</w:t>
      </w:r>
      <w:r w:rsidR="00AC6189" w:rsidRPr="00947DA7">
        <w:rPr>
          <w:color w:val="000000"/>
        </w:rPr>
        <w:t xml:space="preserve"> </w:t>
      </w:r>
      <w:r w:rsidR="00AC6189" w:rsidRPr="00947DA7">
        <w:rPr>
          <w:rFonts w:ascii="Arial" w:hAnsi="Arial" w:cs="Arial"/>
          <w:color w:val="000000"/>
          <w:sz w:val="20"/>
          <w:szCs w:val="20"/>
        </w:rPr>
        <w:t>Statistical significance was determined using one-way analysis of variance (ANOVA): ***p &lt; 0.001.</w:t>
      </w:r>
    </w:p>
    <w:p w14:paraId="584EDFDC" w14:textId="4E5F0920" w:rsidR="00BE5B6A" w:rsidRPr="00947DA7" w:rsidRDefault="00797052" w:rsidP="00E073D4">
      <w:pPr>
        <w:spacing w:line="360" w:lineRule="auto"/>
        <w:rPr>
          <w:rFonts w:ascii="Arial" w:hAnsi="Arial" w:cs="Arial"/>
          <w:color w:val="000000"/>
          <w:sz w:val="20"/>
          <w:szCs w:val="20"/>
        </w:rPr>
      </w:pPr>
      <w:r w:rsidRPr="00947DA7">
        <w:rPr>
          <w:rFonts w:ascii="Arial" w:hAnsi="Arial" w:cs="Arial"/>
          <w:color w:val="000000"/>
          <w:sz w:val="20"/>
          <w:szCs w:val="20"/>
        </w:rPr>
        <w:br/>
      </w:r>
      <w:r w:rsidRPr="00947DA7">
        <w:rPr>
          <w:rFonts w:ascii="Arial" w:hAnsi="Arial" w:cs="Arial" w:hint="eastAsia"/>
          <w:b/>
          <w:bCs/>
          <w:color w:val="000000"/>
          <w:sz w:val="20"/>
          <w:szCs w:val="20"/>
        </w:rPr>
        <w:t xml:space="preserve">Table S1. </w:t>
      </w:r>
      <w:r w:rsidRPr="00947DA7">
        <w:rPr>
          <w:rFonts w:ascii="Arial" w:hAnsi="Arial" w:cs="Arial" w:hint="eastAsia"/>
          <w:color w:val="000000"/>
          <w:sz w:val="20"/>
          <w:szCs w:val="20"/>
        </w:rPr>
        <w:t>Tumor inhibition rate (TGI) in various treatment groups.</w:t>
      </w:r>
    </w:p>
    <w:tbl>
      <w:tblPr>
        <w:tblW w:w="8207" w:type="dxa"/>
        <w:tblLayout w:type="fixed"/>
        <w:tblLook w:val="04A0" w:firstRow="1" w:lastRow="0" w:firstColumn="1" w:lastColumn="0" w:noHBand="0" w:noVBand="1"/>
      </w:tblPr>
      <w:tblGrid>
        <w:gridCol w:w="2051"/>
        <w:gridCol w:w="2052"/>
        <w:gridCol w:w="2052"/>
        <w:gridCol w:w="2052"/>
      </w:tblGrid>
      <w:tr w:rsidR="00DE5E3F" w:rsidRPr="00947DA7" w14:paraId="5CAA6EEB" w14:textId="77777777" w:rsidTr="00BE5B6A">
        <w:trPr>
          <w:trHeight w:val="300"/>
        </w:trPr>
        <w:tc>
          <w:tcPr>
            <w:tcW w:w="2051" w:type="dxa"/>
            <w:tcBorders>
              <w:top w:val="single" w:sz="12" w:space="0" w:color="auto"/>
              <w:left w:val="single" w:sz="12" w:space="0" w:color="auto"/>
              <w:bottom w:val="double" w:sz="6" w:space="0" w:color="auto"/>
              <w:right w:val="single" w:sz="8" w:space="0" w:color="auto"/>
            </w:tcBorders>
            <w:shd w:val="clear" w:color="auto" w:fill="auto"/>
            <w:noWrap/>
            <w:vAlign w:val="center"/>
            <w:hideMark/>
          </w:tcPr>
          <w:p w14:paraId="64EED79B" w14:textId="4B5A76D7" w:rsidR="00BE5B6A" w:rsidRPr="00947DA7" w:rsidRDefault="00BE5B6A" w:rsidP="00BE5B6A">
            <w:pPr>
              <w:widowControl/>
              <w:jc w:val="center"/>
              <w:rPr>
                <w:rFonts w:eastAsia="DengXian"/>
                <w:color w:val="000000"/>
                <w:kern w:val="0"/>
                <w:sz w:val="22"/>
                <w:szCs w:val="22"/>
              </w:rPr>
            </w:pPr>
          </w:p>
        </w:tc>
        <w:tc>
          <w:tcPr>
            <w:tcW w:w="2052" w:type="dxa"/>
            <w:tcBorders>
              <w:top w:val="single" w:sz="12" w:space="0" w:color="auto"/>
              <w:left w:val="nil"/>
              <w:bottom w:val="double" w:sz="6" w:space="0" w:color="auto"/>
              <w:right w:val="nil"/>
            </w:tcBorders>
            <w:shd w:val="clear" w:color="auto" w:fill="auto"/>
            <w:noWrap/>
            <w:vAlign w:val="center"/>
            <w:hideMark/>
          </w:tcPr>
          <w:p w14:paraId="39D24999" w14:textId="77777777" w:rsidR="00BE5B6A" w:rsidRPr="00947DA7" w:rsidRDefault="00BE5B6A" w:rsidP="00BE5B6A">
            <w:pPr>
              <w:widowControl/>
              <w:jc w:val="center"/>
              <w:rPr>
                <w:rFonts w:eastAsia="DengXian"/>
                <w:color w:val="000000"/>
                <w:kern w:val="0"/>
                <w:sz w:val="22"/>
                <w:szCs w:val="22"/>
              </w:rPr>
            </w:pPr>
            <w:r w:rsidRPr="00947DA7">
              <w:rPr>
                <w:rFonts w:eastAsia="DengXian"/>
                <w:color w:val="000000"/>
                <w:kern w:val="0"/>
                <w:sz w:val="22"/>
                <w:szCs w:val="22"/>
              </w:rPr>
              <w:t>RT</w:t>
            </w:r>
          </w:p>
        </w:tc>
        <w:tc>
          <w:tcPr>
            <w:tcW w:w="2052" w:type="dxa"/>
            <w:tcBorders>
              <w:top w:val="single" w:sz="12" w:space="0" w:color="auto"/>
              <w:left w:val="single" w:sz="8" w:space="0" w:color="auto"/>
              <w:bottom w:val="double" w:sz="6" w:space="0" w:color="auto"/>
              <w:right w:val="single" w:sz="8" w:space="0" w:color="auto"/>
            </w:tcBorders>
            <w:shd w:val="clear" w:color="auto" w:fill="auto"/>
            <w:noWrap/>
            <w:vAlign w:val="center"/>
            <w:hideMark/>
          </w:tcPr>
          <w:p w14:paraId="535E48D3" w14:textId="77777777" w:rsidR="00BE5B6A" w:rsidRPr="00947DA7" w:rsidRDefault="00BE5B6A" w:rsidP="00BE5B6A">
            <w:pPr>
              <w:widowControl/>
              <w:jc w:val="center"/>
              <w:rPr>
                <w:rFonts w:eastAsia="DengXian"/>
                <w:color w:val="000000"/>
                <w:kern w:val="0"/>
                <w:sz w:val="22"/>
                <w:szCs w:val="22"/>
              </w:rPr>
            </w:pPr>
            <w:r w:rsidRPr="00947DA7">
              <w:rPr>
                <w:rFonts w:eastAsia="DengXian"/>
                <w:color w:val="000000"/>
                <w:kern w:val="0"/>
                <w:sz w:val="22"/>
                <w:szCs w:val="22"/>
              </w:rPr>
              <w:t>CPC</w:t>
            </w:r>
          </w:p>
        </w:tc>
        <w:tc>
          <w:tcPr>
            <w:tcW w:w="2052" w:type="dxa"/>
            <w:tcBorders>
              <w:top w:val="single" w:sz="12" w:space="0" w:color="auto"/>
              <w:left w:val="nil"/>
              <w:bottom w:val="double" w:sz="6" w:space="0" w:color="auto"/>
              <w:right w:val="single" w:sz="12" w:space="0" w:color="auto"/>
            </w:tcBorders>
            <w:shd w:val="clear" w:color="auto" w:fill="auto"/>
            <w:noWrap/>
            <w:vAlign w:val="center"/>
            <w:hideMark/>
          </w:tcPr>
          <w:p w14:paraId="631CA31D" w14:textId="77777777" w:rsidR="00BE5B6A" w:rsidRPr="00947DA7" w:rsidRDefault="00BE5B6A" w:rsidP="00BE5B6A">
            <w:pPr>
              <w:widowControl/>
              <w:jc w:val="center"/>
              <w:rPr>
                <w:rFonts w:eastAsia="DengXian"/>
                <w:color w:val="000000"/>
                <w:kern w:val="0"/>
                <w:sz w:val="22"/>
                <w:szCs w:val="22"/>
              </w:rPr>
            </w:pPr>
            <w:r w:rsidRPr="00947DA7">
              <w:rPr>
                <w:rFonts w:eastAsia="DengXian"/>
                <w:color w:val="000000"/>
                <w:kern w:val="0"/>
                <w:sz w:val="22"/>
                <w:szCs w:val="22"/>
              </w:rPr>
              <w:t>CPC+RT</w:t>
            </w:r>
          </w:p>
        </w:tc>
      </w:tr>
      <w:tr w:rsidR="00DE5E3F" w:rsidRPr="00947DA7" w14:paraId="395159F5" w14:textId="77777777" w:rsidTr="00BE5B6A">
        <w:trPr>
          <w:trHeight w:val="300"/>
        </w:trPr>
        <w:tc>
          <w:tcPr>
            <w:tcW w:w="2051" w:type="dxa"/>
            <w:tcBorders>
              <w:top w:val="nil"/>
              <w:left w:val="single" w:sz="12" w:space="0" w:color="auto"/>
              <w:bottom w:val="single" w:sz="12" w:space="0" w:color="auto"/>
              <w:right w:val="single" w:sz="8" w:space="0" w:color="auto"/>
            </w:tcBorders>
            <w:shd w:val="clear" w:color="auto" w:fill="auto"/>
            <w:noWrap/>
            <w:vAlign w:val="center"/>
            <w:hideMark/>
          </w:tcPr>
          <w:p w14:paraId="116E0FFB" w14:textId="77777777" w:rsidR="00BE5B6A" w:rsidRPr="00947DA7" w:rsidRDefault="00BE5B6A" w:rsidP="00BE5B6A">
            <w:pPr>
              <w:widowControl/>
              <w:jc w:val="center"/>
              <w:rPr>
                <w:rFonts w:eastAsia="DengXian"/>
                <w:color w:val="000000"/>
                <w:kern w:val="0"/>
                <w:sz w:val="22"/>
                <w:szCs w:val="22"/>
              </w:rPr>
            </w:pPr>
            <w:r w:rsidRPr="00947DA7">
              <w:rPr>
                <w:rFonts w:eastAsia="DengXian"/>
                <w:color w:val="000000"/>
                <w:kern w:val="0"/>
                <w:sz w:val="22"/>
                <w:szCs w:val="22"/>
              </w:rPr>
              <w:t>TGI (%)</w:t>
            </w:r>
          </w:p>
        </w:tc>
        <w:tc>
          <w:tcPr>
            <w:tcW w:w="2052" w:type="dxa"/>
            <w:tcBorders>
              <w:top w:val="nil"/>
              <w:left w:val="nil"/>
              <w:bottom w:val="single" w:sz="12" w:space="0" w:color="auto"/>
              <w:right w:val="nil"/>
            </w:tcBorders>
            <w:shd w:val="clear" w:color="auto" w:fill="auto"/>
            <w:noWrap/>
            <w:vAlign w:val="center"/>
            <w:hideMark/>
          </w:tcPr>
          <w:p w14:paraId="4667C528" w14:textId="77777777" w:rsidR="00BE5B6A" w:rsidRPr="00947DA7" w:rsidRDefault="00BE5B6A" w:rsidP="00BE5B6A">
            <w:pPr>
              <w:widowControl/>
              <w:jc w:val="center"/>
              <w:rPr>
                <w:rFonts w:eastAsia="DengXian"/>
                <w:color w:val="000000"/>
                <w:kern w:val="0"/>
                <w:sz w:val="22"/>
                <w:szCs w:val="22"/>
              </w:rPr>
            </w:pPr>
            <w:r w:rsidRPr="00947DA7">
              <w:rPr>
                <w:rFonts w:eastAsia="DengXian"/>
                <w:color w:val="000000"/>
                <w:kern w:val="0"/>
                <w:sz w:val="22"/>
                <w:szCs w:val="22"/>
              </w:rPr>
              <w:t>38.8</w:t>
            </w:r>
          </w:p>
        </w:tc>
        <w:tc>
          <w:tcPr>
            <w:tcW w:w="2052" w:type="dxa"/>
            <w:tcBorders>
              <w:top w:val="nil"/>
              <w:left w:val="single" w:sz="8" w:space="0" w:color="auto"/>
              <w:bottom w:val="single" w:sz="12" w:space="0" w:color="auto"/>
              <w:right w:val="single" w:sz="8" w:space="0" w:color="auto"/>
            </w:tcBorders>
            <w:shd w:val="clear" w:color="auto" w:fill="auto"/>
            <w:noWrap/>
            <w:vAlign w:val="center"/>
            <w:hideMark/>
          </w:tcPr>
          <w:p w14:paraId="1603797C" w14:textId="77777777" w:rsidR="00BE5B6A" w:rsidRPr="00947DA7" w:rsidRDefault="00BE5B6A" w:rsidP="00BE5B6A">
            <w:pPr>
              <w:widowControl/>
              <w:jc w:val="center"/>
              <w:rPr>
                <w:rFonts w:eastAsia="DengXian"/>
                <w:color w:val="000000"/>
                <w:kern w:val="0"/>
                <w:sz w:val="22"/>
                <w:szCs w:val="22"/>
              </w:rPr>
            </w:pPr>
            <w:r w:rsidRPr="00947DA7">
              <w:rPr>
                <w:rFonts w:eastAsia="DengXian"/>
                <w:color w:val="000000"/>
                <w:kern w:val="0"/>
                <w:sz w:val="22"/>
                <w:szCs w:val="22"/>
              </w:rPr>
              <w:t>42.9</w:t>
            </w:r>
          </w:p>
        </w:tc>
        <w:tc>
          <w:tcPr>
            <w:tcW w:w="2052" w:type="dxa"/>
            <w:tcBorders>
              <w:top w:val="nil"/>
              <w:left w:val="nil"/>
              <w:bottom w:val="single" w:sz="12" w:space="0" w:color="auto"/>
              <w:right w:val="single" w:sz="12" w:space="0" w:color="auto"/>
            </w:tcBorders>
            <w:shd w:val="clear" w:color="auto" w:fill="auto"/>
            <w:noWrap/>
            <w:vAlign w:val="center"/>
            <w:hideMark/>
          </w:tcPr>
          <w:p w14:paraId="1E583762" w14:textId="77777777" w:rsidR="00BE5B6A" w:rsidRPr="00947DA7" w:rsidRDefault="00BE5B6A" w:rsidP="00BE5B6A">
            <w:pPr>
              <w:widowControl/>
              <w:jc w:val="center"/>
              <w:rPr>
                <w:rFonts w:eastAsia="DengXian"/>
                <w:color w:val="000000"/>
                <w:kern w:val="0"/>
                <w:sz w:val="22"/>
                <w:szCs w:val="22"/>
              </w:rPr>
            </w:pPr>
            <w:r w:rsidRPr="00947DA7">
              <w:rPr>
                <w:rFonts w:eastAsia="DengXian"/>
                <w:color w:val="000000"/>
                <w:kern w:val="0"/>
                <w:sz w:val="22"/>
                <w:szCs w:val="22"/>
              </w:rPr>
              <w:t>94.5</w:t>
            </w:r>
          </w:p>
        </w:tc>
      </w:tr>
    </w:tbl>
    <w:p w14:paraId="455E1896" w14:textId="39DC6D03" w:rsidR="000E60CB" w:rsidRPr="00947DA7" w:rsidRDefault="000E60CB" w:rsidP="00E073D4">
      <w:pPr>
        <w:spacing w:line="360" w:lineRule="auto"/>
        <w:rPr>
          <w:rFonts w:ascii="Arial" w:hAnsi="Arial" w:cs="Arial"/>
          <w:color w:val="000000"/>
          <w:sz w:val="20"/>
          <w:szCs w:val="20"/>
        </w:rPr>
      </w:pPr>
    </w:p>
    <w:sectPr w:rsidR="000E60CB" w:rsidRPr="00947DA7">
      <w:footerReference w:type="even" r:id="rId13"/>
      <w:footerReference w:type="defaul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DAE73" w14:textId="77777777" w:rsidR="00FD4788" w:rsidRDefault="00FD4788" w:rsidP="000E60CB">
      <w:r>
        <w:separator/>
      </w:r>
    </w:p>
  </w:endnote>
  <w:endnote w:type="continuationSeparator" w:id="0">
    <w:p w14:paraId="1B0004A7" w14:textId="77777777" w:rsidR="00FD4788" w:rsidRDefault="00FD4788" w:rsidP="000E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2EE9F" w14:textId="08D33571" w:rsidR="00DE5E3F" w:rsidRDefault="00DE5E3F">
    <w:pPr>
      <w:pStyle w:val="Footer"/>
    </w:pPr>
    <w:r>
      <w:rPr>
        <w:noProof/>
      </w:rPr>
      <mc:AlternateContent>
        <mc:Choice Requires="wps">
          <w:drawing>
            <wp:anchor distT="0" distB="0" distL="0" distR="0" simplePos="0" relativeHeight="251659264" behindDoc="0" locked="0" layoutInCell="1" allowOverlap="1" wp14:anchorId="29B5F2AA" wp14:editId="036FD13C">
              <wp:simplePos x="635" y="635"/>
              <wp:positionH relativeFrom="page">
                <wp:align>left</wp:align>
              </wp:positionH>
              <wp:positionV relativeFrom="page">
                <wp:align>bottom</wp:align>
              </wp:positionV>
              <wp:extent cx="2077085" cy="324485"/>
              <wp:effectExtent l="0" t="0" r="18415" b="0"/>
              <wp:wrapNone/>
              <wp:docPr id="171977420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6F86E32" w14:textId="73A85172" w:rsidR="00DE5E3F" w:rsidRPr="00DE5E3F" w:rsidRDefault="00DE5E3F" w:rsidP="00DE5E3F">
                          <w:pPr>
                            <w:rPr>
                              <w:rFonts w:ascii="Rockwell" w:eastAsia="Rockwell" w:hAnsi="Rockwell" w:cs="Rockwell"/>
                              <w:noProof/>
                              <w:color w:val="0078D7"/>
                              <w:sz w:val="18"/>
                              <w:szCs w:val="18"/>
                            </w:rPr>
                          </w:pPr>
                          <w:r w:rsidRPr="00DE5E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B5F2A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36F86E32" w14:textId="73A85172" w:rsidR="00DE5E3F" w:rsidRPr="00DE5E3F" w:rsidRDefault="00DE5E3F" w:rsidP="00DE5E3F">
                    <w:pPr>
                      <w:rPr>
                        <w:rFonts w:ascii="Rockwell" w:eastAsia="Rockwell" w:hAnsi="Rockwell" w:cs="Rockwell"/>
                        <w:noProof/>
                        <w:color w:val="0078D7"/>
                        <w:sz w:val="18"/>
                        <w:szCs w:val="18"/>
                      </w:rPr>
                    </w:pPr>
                    <w:r w:rsidRPr="00DE5E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ABEB4" w14:textId="5800A47D" w:rsidR="00DE5E3F" w:rsidRDefault="00DE5E3F">
    <w:pPr>
      <w:pStyle w:val="Footer"/>
    </w:pPr>
    <w:r>
      <w:rPr>
        <w:noProof/>
      </w:rPr>
      <mc:AlternateContent>
        <mc:Choice Requires="wps">
          <w:drawing>
            <wp:anchor distT="0" distB="0" distL="0" distR="0" simplePos="0" relativeHeight="251660288" behindDoc="0" locked="0" layoutInCell="1" allowOverlap="1" wp14:anchorId="2BB346EC" wp14:editId="47F65342">
              <wp:simplePos x="1146412" y="9928746"/>
              <wp:positionH relativeFrom="page">
                <wp:align>left</wp:align>
              </wp:positionH>
              <wp:positionV relativeFrom="page">
                <wp:align>bottom</wp:align>
              </wp:positionV>
              <wp:extent cx="2077085" cy="324485"/>
              <wp:effectExtent l="0" t="0" r="18415" b="0"/>
              <wp:wrapNone/>
              <wp:docPr id="28992023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2B31A25" w14:textId="6BFEE211" w:rsidR="00DE5E3F" w:rsidRPr="00DE5E3F" w:rsidRDefault="00DE5E3F" w:rsidP="00DE5E3F">
                          <w:pPr>
                            <w:rPr>
                              <w:rFonts w:ascii="Rockwell" w:eastAsia="Rockwell" w:hAnsi="Rockwell" w:cs="Rockwell"/>
                              <w:noProof/>
                              <w:color w:val="0078D7"/>
                              <w:sz w:val="18"/>
                              <w:szCs w:val="18"/>
                            </w:rPr>
                          </w:pPr>
                          <w:r w:rsidRPr="00DE5E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B346E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42B31A25" w14:textId="6BFEE211" w:rsidR="00DE5E3F" w:rsidRPr="00DE5E3F" w:rsidRDefault="00DE5E3F" w:rsidP="00DE5E3F">
                    <w:pPr>
                      <w:rPr>
                        <w:rFonts w:ascii="Rockwell" w:eastAsia="Rockwell" w:hAnsi="Rockwell" w:cs="Rockwell"/>
                        <w:noProof/>
                        <w:color w:val="0078D7"/>
                        <w:sz w:val="18"/>
                        <w:szCs w:val="18"/>
                      </w:rPr>
                    </w:pPr>
                    <w:r w:rsidRPr="00DE5E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D8EDB" w14:textId="3CEF6FDE" w:rsidR="00DE5E3F" w:rsidRDefault="00DE5E3F">
    <w:pPr>
      <w:pStyle w:val="Footer"/>
    </w:pPr>
    <w:r>
      <w:rPr>
        <w:noProof/>
      </w:rPr>
      <mc:AlternateContent>
        <mc:Choice Requires="wps">
          <w:drawing>
            <wp:anchor distT="0" distB="0" distL="0" distR="0" simplePos="0" relativeHeight="251658240" behindDoc="0" locked="0" layoutInCell="1" allowOverlap="1" wp14:anchorId="48A37562" wp14:editId="000C926E">
              <wp:simplePos x="635" y="635"/>
              <wp:positionH relativeFrom="page">
                <wp:align>left</wp:align>
              </wp:positionH>
              <wp:positionV relativeFrom="page">
                <wp:align>bottom</wp:align>
              </wp:positionV>
              <wp:extent cx="2077085" cy="324485"/>
              <wp:effectExtent l="0" t="0" r="18415" b="0"/>
              <wp:wrapNone/>
              <wp:docPr id="13613919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38F6597" w14:textId="2F38FFF0" w:rsidR="00DE5E3F" w:rsidRPr="00DE5E3F" w:rsidRDefault="00DE5E3F" w:rsidP="00DE5E3F">
                          <w:pPr>
                            <w:rPr>
                              <w:rFonts w:ascii="Rockwell" w:eastAsia="Rockwell" w:hAnsi="Rockwell" w:cs="Rockwell"/>
                              <w:noProof/>
                              <w:color w:val="0078D7"/>
                              <w:sz w:val="18"/>
                              <w:szCs w:val="18"/>
                            </w:rPr>
                          </w:pPr>
                          <w:r w:rsidRPr="00DE5E3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A3756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textbox style="mso-fit-shape-to-text:t" inset="20pt,0,0,15pt">
                <w:txbxContent>
                  <w:p w14:paraId="038F6597" w14:textId="2F38FFF0" w:rsidR="00DE5E3F" w:rsidRPr="00DE5E3F" w:rsidRDefault="00DE5E3F" w:rsidP="00DE5E3F">
                    <w:pPr>
                      <w:rPr>
                        <w:rFonts w:ascii="Rockwell" w:eastAsia="Rockwell" w:hAnsi="Rockwell" w:cs="Rockwell"/>
                        <w:noProof/>
                        <w:color w:val="0078D7"/>
                        <w:sz w:val="18"/>
                        <w:szCs w:val="18"/>
                      </w:rPr>
                    </w:pPr>
                    <w:r w:rsidRPr="00DE5E3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82898" w14:textId="77777777" w:rsidR="00FD4788" w:rsidRDefault="00FD4788" w:rsidP="000E60CB">
      <w:r>
        <w:separator/>
      </w:r>
    </w:p>
  </w:footnote>
  <w:footnote w:type="continuationSeparator" w:id="0">
    <w:p w14:paraId="60726222" w14:textId="77777777" w:rsidR="00FD4788" w:rsidRDefault="00FD4788" w:rsidP="000E6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85"/>
    <w:rsid w:val="000034CD"/>
    <w:rsid w:val="00007376"/>
    <w:rsid w:val="0002293F"/>
    <w:rsid w:val="000310DC"/>
    <w:rsid w:val="0003181B"/>
    <w:rsid w:val="00032547"/>
    <w:rsid w:val="00047600"/>
    <w:rsid w:val="000568F2"/>
    <w:rsid w:val="00057525"/>
    <w:rsid w:val="00081930"/>
    <w:rsid w:val="000A23F4"/>
    <w:rsid w:val="000A3C83"/>
    <w:rsid w:val="000A5690"/>
    <w:rsid w:val="000A7AF9"/>
    <w:rsid w:val="000E4A32"/>
    <w:rsid w:val="000E60CB"/>
    <w:rsid w:val="00125481"/>
    <w:rsid w:val="00133DBB"/>
    <w:rsid w:val="00140A51"/>
    <w:rsid w:val="001574AF"/>
    <w:rsid w:val="00176AF5"/>
    <w:rsid w:val="00186B35"/>
    <w:rsid w:val="001A2283"/>
    <w:rsid w:val="001B324C"/>
    <w:rsid w:val="001B53E0"/>
    <w:rsid w:val="001C2E3F"/>
    <w:rsid w:val="001E0D43"/>
    <w:rsid w:val="001E5C7F"/>
    <w:rsid w:val="002012A0"/>
    <w:rsid w:val="00210A01"/>
    <w:rsid w:val="002457BC"/>
    <w:rsid w:val="002507BA"/>
    <w:rsid w:val="00252346"/>
    <w:rsid w:val="00294CED"/>
    <w:rsid w:val="002B2692"/>
    <w:rsid w:val="00307999"/>
    <w:rsid w:val="00317207"/>
    <w:rsid w:val="0032313F"/>
    <w:rsid w:val="00324832"/>
    <w:rsid w:val="003312B0"/>
    <w:rsid w:val="0033650D"/>
    <w:rsid w:val="00382726"/>
    <w:rsid w:val="00385955"/>
    <w:rsid w:val="0039384F"/>
    <w:rsid w:val="00394938"/>
    <w:rsid w:val="003B0F7F"/>
    <w:rsid w:val="003B4055"/>
    <w:rsid w:val="003C558A"/>
    <w:rsid w:val="00415B61"/>
    <w:rsid w:val="00424388"/>
    <w:rsid w:val="00451886"/>
    <w:rsid w:val="00493508"/>
    <w:rsid w:val="004953DB"/>
    <w:rsid w:val="004978C4"/>
    <w:rsid w:val="004B46F6"/>
    <w:rsid w:val="004E0709"/>
    <w:rsid w:val="004E5391"/>
    <w:rsid w:val="00516E76"/>
    <w:rsid w:val="00550577"/>
    <w:rsid w:val="00562ED9"/>
    <w:rsid w:val="00583CE1"/>
    <w:rsid w:val="00594B5F"/>
    <w:rsid w:val="00605A44"/>
    <w:rsid w:val="0062234C"/>
    <w:rsid w:val="006363FB"/>
    <w:rsid w:val="006453FC"/>
    <w:rsid w:val="00655034"/>
    <w:rsid w:val="0066290E"/>
    <w:rsid w:val="00684273"/>
    <w:rsid w:val="0069087C"/>
    <w:rsid w:val="006B65B3"/>
    <w:rsid w:val="006B7E30"/>
    <w:rsid w:val="006C0C3E"/>
    <w:rsid w:val="006C4DF6"/>
    <w:rsid w:val="00797052"/>
    <w:rsid w:val="007C1068"/>
    <w:rsid w:val="007E132E"/>
    <w:rsid w:val="007E787A"/>
    <w:rsid w:val="007F4B6D"/>
    <w:rsid w:val="00811437"/>
    <w:rsid w:val="00837367"/>
    <w:rsid w:val="00837A29"/>
    <w:rsid w:val="0086191D"/>
    <w:rsid w:val="00870558"/>
    <w:rsid w:val="008827BC"/>
    <w:rsid w:val="008D0B72"/>
    <w:rsid w:val="008D1D0F"/>
    <w:rsid w:val="008E2549"/>
    <w:rsid w:val="008F7E2A"/>
    <w:rsid w:val="0090385B"/>
    <w:rsid w:val="00940F71"/>
    <w:rsid w:val="00947985"/>
    <w:rsid w:val="00947DA7"/>
    <w:rsid w:val="0096221A"/>
    <w:rsid w:val="009868DE"/>
    <w:rsid w:val="009A45FA"/>
    <w:rsid w:val="009C5932"/>
    <w:rsid w:val="009D2F97"/>
    <w:rsid w:val="009E64E2"/>
    <w:rsid w:val="00A125E5"/>
    <w:rsid w:val="00A25915"/>
    <w:rsid w:val="00A2610D"/>
    <w:rsid w:val="00A3419F"/>
    <w:rsid w:val="00A872A2"/>
    <w:rsid w:val="00AA7395"/>
    <w:rsid w:val="00AB61EE"/>
    <w:rsid w:val="00AC6189"/>
    <w:rsid w:val="00AE5DC2"/>
    <w:rsid w:val="00B37C52"/>
    <w:rsid w:val="00B40654"/>
    <w:rsid w:val="00B5215D"/>
    <w:rsid w:val="00B54D65"/>
    <w:rsid w:val="00B56BEE"/>
    <w:rsid w:val="00B64396"/>
    <w:rsid w:val="00B64A67"/>
    <w:rsid w:val="00B84B76"/>
    <w:rsid w:val="00B901A8"/>
    <w:rsid w:val="00B97EB9"/>
    <w:rsid w:val="00BC1444"/>
    <w:rsid w:val="00BE5B6A"/>
    <w:rsid w:val="00BF7F34"/>
    <w:rsid w:val="00C4316D"/>
    <w:rsid w:val="00C43382"/>
    <w:rsid w:val="00C437C4"/>
    <w:rsid w:val="00C604A8"/>
    <w:rsid w:val="00C84F82"/>
    <w:rsid w:val="00C9435C"/>
    <w:rsid w:val="00CB5F29"/>
    <w:rsid w:val="00CC6C79"/>
    <w:rsid w:val="00CD28B0"/>
    <w:rsid w:val="00CE2B96"/>
    <w:rsid w:val="00CF3D0B"/>
    <w:rsid w:val="00D02C38"/>
    <w:rsid w:val="00D70719"/>
    <w:rsid w:val="00D7431D"/>
    <w:rsid w:val="00D950EC"/>
    <w:rsid w:val="00DB122A"/>
    <w:rsid w:val="00DD60C8"/>
    <w:rsid w:val="00DE5E3F"/>
    <w:rsid w:val="00DF7F7B"/>
    <w:rsid w:val="00E00BEF"/>
    <w:rsid w:val="00E073D4"/>
    <w:rsid w:val="00E14DCA"/>
    <w:rsid w:val="00E30CDB"/>
    <w:rsid w:val="00E762E1"/>
    <w:rsid w:val="00EC71E9"/>
    <w:rsid w:val="00F05E29"/>
    <w:rsid w:val="00F1768E"/>
    <w:rsid w:val="00F32E24"/>
    <w:rsid w:val="00F4186F"/>
    <w:rsid w:val="00F41A70"/>
    <w:rsid w:val="00F43AA2"/>
    <w:rsid w:val="00F476CE"/>
    <w:rsid w:val="00F52D35"/>
    <w:rsid w:val="00F56D20"/>
    <w:rsid w:val="00F663F2"/>
    <w:rsid w:val="00FA1454"/>
    <w:rsid w:val="00FA4197"/>
    <w:rsid w:val="00FB2714"/>
    <w:rsid w:val="00FD4788"/>
    <w:rsid w:val="00FE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FE476"/>
  <w15:chartTrackingRefBased/>
  <w15:docId w15:val="{5E7369FE-A9DD-414B-BDA8-577F72B8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2"/>
        <w:sz w:val="28"/>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0CB"/>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E60CB"/>
    <w:rPr>
      <w:sz w:val="18"/>
      <w:szCs w:val="18"/>
    </w:rPr>
  </w:style>
  <w:style w:type="paragraph" w:styleId="Footer">
    <w:name w:val="footer"/>
    <w:basedOn w:val="Normal"/>
    <w:link w:val="FooterChar"/>
    <w:uiPriority w:val="99"/>
    <w:unhideWhenUsed/>
    <w:rsid w:val="000E60C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E60CB"/>
    <w:rPr>
      <w:sz w:val="18"/>
      <w:szCs w:val="18"/>
    </w:rPr>
  </w:style>
  <w:style w:type="character" w:styleId="CommentReference">
    <w:name w:val="annotation reference"/>
    <w:basedOn w:val="DefaultParagraphFont"/>
    <w:uiPriority w:val="99"/>
    <w:semiHidden/>
    <w:unhideWhenUsed/>
    <w:rsid w:val="00DE5E3F"/>
    <w:rPr>
      <w:sz w:val="16"/>
      <w:szCs w:val="16"/>
    </w:rPr>
  </w:style>
  <w:style w:type="paragraph" w:styleId="CommentText">
    <w:name w:val="annotation text"/>
    <w:basedOn w:val="Normal"/>
    <w:link w:val="CommentTextChar"/>
    <w:uiPriority w:val="99"/>
    <w:unhideWhenUsed/>
    <w:rsid w:val="00DE5E3F"/>
    <w:rPr>
      <w:sz w:val="20"/>
      <w:szCs w:val="20"/>
    </w:rPr>
  </w:style>
  <w:style w:type="character" w:customStyle="1" w:styleId="CommentTextChar">
    <w:name w:val="Comment Text Char"/>
    <w:basedOn w:val="DefaultParagraphFont"/>
    <w:link w:val="CommentText"/>
    <w:uiPriority w:val="99"/>
    <w:rsid w:val="00DE5E3F"/>
    <w:rPr>
      <w:sz w:val="20"/>
      <w:szCs w:val="20"/>
    </w:rPr>
  </w:style>
  <w:style w:type="paragraph" w:styleId="CommentSubject">
    <w:name w:val="annotation subject"/>
    <w:basedOn w:val="CommentText"/>
    <w:next w:val="CommentText"/>
    <w:link w:val="CommentSubjectChar"/>
    <w:uiPriority w:val="99"/>
    <w:semiHidden/>
    <w:unhideWhenUsed/>
    <w:rsid w:val="00DE5E3F"/>
    <w:rPr>
      <w:b/>
      <w:bCs/>
    </w:rPr>
  </w:style>
  <w:style w:type="character" w:customStyle="1" w:styleId="CommentSubjectChar">
    <w:name w:val="Comment Subject Char"/>
    <w:basedOn w:val="CommentTextChar"/>
    <w:link w:val="CommentSubject"/>
    <w:uiPriority w:val="99"/>
    <w:semiHidden/>
    <w:rsid w:val="00DE5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30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tif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6.tiff"/><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image" Target="media/image5.tiff"/><Relationship Id="rId4" Type="http://schemas.openxmlformats.org/officeDocument/2006/relationships/footnotes" Target="footnotes.xml"/><Relationship Id="rId9" Type="http://schemas.openxmlformats.org/officeDocument/2006/relationships/image" Target="media/image4.tif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win</dc:creator>
  <cp:keywords/>
  <dc:description/>
  <cp:lastModifiedBy>Nicholson, Tamara</cp:lastModifiedBy>
  <cp:revision>2</cp:revision>
  <dcterms:created xsi:type="dcterms:W3CDTF">2024-06-10T20:52:00Z</dcterms:created>
  <dcterms:modified xsi:type="dcterms:W3CDTF">2024-06-10T20:52:00Z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81d51bd,6681abfb,1147d4e9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2024-06-06T22:05:37Z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c3b2ce6f-1bcc-42c1-93df-34a7070e77be</vt:lpwstr>
  </property>
  <property fmtid="{D5CDD505-2E9C-101B-9397-08002B2CF9AE}" pid="11" name="MSIP_Label_2bbab825-a111-45e4-86a1-18cee0005896_ContentBits">
    <vt:lpwstr>2</vt:lpwstr>
  </property>
</Properties>
</file>