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D7DE1" w14:textId="77777777" w:rsidR="00CD712E" w:rsidRPr="00CD712E" w:rsidRDefault="00CD712E" w:rsidP="00CD712E">
      <w:pPr>
        <w:spacing w:line="480" w:lineRule="auto"/>
        <w:jc w:val="both"/>
        <w:rPr>
          <w:rFonts w:ascii="Times New Roman" w:eastAsia="Times New Roman" w:hAnsi="Times New Roman" w:cs="Times New Roman"/>
          <w:b/>
          <w:caps/>
          <w:kern w:val="2"/>
          <w:sz w:val="28"/>
          <w:szCs w:val="28"/>
          <w:lang w:val="en-US"/>
        </w:rPr>
      </w:pPr>
      <w:bookmarkStart w:id="0" w:name="OLE_LINK1"/>
      <w:r w:rsidRPr="00CD712E">
        <w:rPr>
          <w:rFonts w:ascii="Times New Roman" w:eastAsia="Times New Roman" w:hAnsi="Times New Roman" w:cs="Times New Roman"/>
          <w:b/>
          <w:caps/>
          <w:kern w:val="2"/>
          <w:sz w:val="28"/>
          <w:szCs w:val="28"/>
          <w:lang w:val="en-US"/>
        </w:rPr>
        <w:t>Appendix</w:t>
      </w:r>
    </w:p>
    <w:bookmarkEnd w:id="0"/>
    <w:p w14:paraId="79A2E1D9" w14:textId="77777777" w:rsidR="00CD712E" w:rsidRDefault="00CD712E" w:rsidP="00CD712E">
      <w:pPr>
        <w:spacing w:line="480" w:lineRule="auto"/>
        <w:jc w:val="both"/>
        <w:rPr>
          <w:rFonts w:ascii="Times New Roman" w:eastAsia="Times New Roman" w:hAnsi="Times New Roman" w:cs="Times New Roman"/>
          <w:b/>
          <w:kern w:val="2"/>
          <w:sz w:val="24"/>
          <w:szCs w:val="24"/>
          <w:lang w:val="en-US"/>
        </w:rPr>
      </w:pPr>
      <w:r>
        <w:rPr>
          <w:rFonts w:ascii="Times New Roman" w:eastAsia="宋体" w:hAnsi="Times New Roman" w:cs="Times New Roman"/>
          <w:b/>
          <w:kern w:val="2"/>
          <w:sz w:val="24"/>
          <w:szCs w:val="24"/>
          <w:lang w:val="en-US" w:eastAsia="zh-CN"/>
        </w:rPr>
        <w:t>R</w:t>
      </w:r>
      <w:r>
        <w:rPr>
          <w:rFonts w:ascii="Times New Roman" w:eastAsia="Times New Roman" w:hAnsi="Times New Roman" w:cs="Times New Roman"/>
          <w:b/>
          <w:kern w:val="2"/>
          <w:sz w:val="24"/>
          <w:szCs w:val="24"/>
          <w:lang w:val="en-US"/>
        </w:rPr>
        <w:t>outine catheterization care group nursing</w:t>
      </w:r>
    </w:p>
    <w:p w14:paraId="78BF3C1D"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(1) Operation training. The responsible nurse provided patients and their families with explanations of bladder dysfunction-related diseases during hospitalization. The training was conducted using printed color images, videos on intermittent catheterization (IC), and demonstrations of standard procedures using simulated models.</w:t>
      </w:r>
    </w:p>
    <w:p w14:paraId="5B720F28"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(2) Catheter care. On the day of surgery, a urinary catheter was inserted. The patients were instructed to maintain perineal hygiene with perineal cleaning twice a day. Patients were advised to drink fluids in small amounts frequently to ensure a daily urine output &gt;2500 ml. The catheter was removed after 10 to 14 days postoperatively, and within 4 h, the patients were encouraged to consume &gt;400 ml of water, along with physical measures such as listening to the sound of water and applying warm compresses to the lower abdomen to facilitate smooth urination. After five urinations, the residual urine was measured. If the residual urine volume was &gt;100 ml, indicating incomplete recovery of bladder function, the patients were instructed to perform IC at home as per the physician’s guidance after discharge.</w:t>
      </w:r>
    </w:p>
    <w:p w14:paraId="41BC5DA7"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 xml:space="preserve">(3) Pelvic floor rehabilitation exercises. The patients were instructed to start simple pelvic floor rehabilitation exercises on the second day after surgery, which involved performing pelvic floor muscle exercises, including anal sphincter contraction and urethral and vaginal contractions, with a focus on feeling the lifting sensation of the pelvic floor muscles. Each contraction was held for 10 s while the muscles were relaxed during inhalation and contracted during exhalation. During the exercises, abdominal, </w:t>
      </w:r>
      <w:r>
        <w:rPr>
          <w:rFonts w:ascii="Times New Roman" w:eastAsia="Times New Roman" w:hAnsi="Times New Roman" w:cs="Times New Roman"/>
          <w:kern w:val="2"/>
          <w:sz w:val="24"/>
          <w:szCs w:val="24"/>
          <w:lang w:val="en-US"/>
        </w:rPr>
        <w:lastRenderedPageBreak/>
        <w:t>gluteal, and lower limb muscles were not to be contracted. Each exercise session lasted for 10 min. The patients were advised to perform them three times a day. On the fourth day after surgery, the patients could add abdominal and leg-raising exercises to their routine. For abdominal exercises, the patients sat in a stable position, leaned their body forward, slowly inhaled while continuously contracting the abdominal muscles, held for 10 s, and then exhaled slowly while relaxing the abdominal muscles. Each exercise session lasted for 5 min, and the patients performed it thrice daily. Leg-raising exercises were performed in a supine position, with legs raised vertically, mimicking the motion of riding a bicycle, with each exercise session lasting for 5 min and performed three to four times a day.</w:t>
      </w:r>
    </w:p>
    <w:p w14:paraId="7261ADA0"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(4) Hydration guidance and urine observation. The patients were guided on appropriate hydration, and urine volume, color, and characteristics were monitored and observed.</w:t>
      </w:r>
    </w:p>
    <w:p w14:paraId="284ECACA"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(5) Follow-up guidance. Educational materials containing information about IC and discomfort management during the process were distributed. Within 2 weeks after discharge, the responsible nurse conducted a follow-up phone call to assess the frequency of IC and the recovery of bladder function and instructed patients to return for outpatient follow-up when necessary.</w:t>
      </w:r>
    </w:p>
    <w:p w14:paraId="71C65E01" w14:textId="77777777" w:rsidR="00CD712E" w:rsidRPr="00A52C3E" w:rsidRDefault="00CD712E" w:rsidP="00CD712E">
      <w:pPr>
        <w:tabs>
          <w:tab w:val="left" w:pos="240"/>
        </w:tabs>
        <w:spacing w:line="480" w:lineRule="auto"/>
        <w:jc w:val="both"/>
        <w:rPr>
          <w:rFonts w:ascii="Times New Roman" w:eastAsiaTheme="minorEastAsia" w:hAnsi="Times New Roman" w:cs="Times New Roman" w:hint="eastAsia"/>
          <w:b/>
          <w:kern w:val="2"/>
          <w:sz w:val="24"/>
          <w:szCs w:val="24"/>
          <w:lang w:val="en-US" w:eastAsia="zh-CN"/>
        </w:rPr>
      </w:pPr>
      <w:bookmarkStart w:id="1" w:name="_17dp8vu" w:colFirst="0" w:colLast="0"/>
      <w:bookmarkEnd w:id="1"/>
    </w:p>
    <w:p w14:paraId="62113629" w14:textId="77777777" w:rsidR="00CD712E" w:rsidRDefault="00CD712E" w:rsidP="00CD712E">
      <w:pPr>
        <w:tabs>
          <w:tab w:val="left" w:pos="240"/>
        </w:tabs>
        <w:spacing w:line="480" w:lineRule="auto"/>
        <w:jc w:val="both"/>
        <w:rPr>
          <w:rFonts w:ascii="Times New Roman" w:eastAsia="Times New Roman" w:hAnsi="Times New Roman" w:cs="Times New Roman"/>
          <w:b/>
          <w:kern w:val="2"/>
          <w:sz w:val="24"/>
          <w:szCs w:val="24"/>
          <w:lang w:val="en-US"/>
        </w:rPr>
      </w:pPr>
      <w:r>
        <w:rPr>
          <w:rFonts w:ascii="Times New Roman" w:eastAsia="宋体" w:hAnsi="Times New Roman" w:cs="Times New Roman"/>
          <w:b/>
          <w:kern w:val="2"/>
          <w:sz w:val="24"/>
          <w:szCs w:val="24"/>
          <w:lang w:val="en-US" w:eastAsia="zh-CN"/>
        </w:rPr>
        <w:t>IC continuity care</w:t>
      </w:r>
      <w:r>
        <w:rPr>
          <w:rFonts w:ascii="Times New Roman" w:eastAsia="Times New Roman" w:hAnsi="Times New Roman" w:cs="Times New Roman"/>
          <w:b/>
          <w:kern w:val="2"/>
          <w:sz w:val="24"/>
          <w:szCs w:val="24"/>
          <w:lang w:val="en-US"/>
        </w:rPr>
        <w:t xml:space="preserve"> group nursing</w:t>
      </w:r>
      <w:bookmarkStart w:id="2" w:name="kix.6bxs3rwsqkcw" w:colFirst="0" w:colLast="0"/>
      <w:bookmarkEnd w:id="2"/>
    </w:p>
    <w:p w14:paraId="4957AF04"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 xml:space="preserve">(1) Establishment of a multicenter continuity of care team. Chongqing Medical University Affiliated First Hospital served as the IC project group. Prior to implementing the intervention, an expert meeting was convened, and each center </w:t>
      </w:r>
      <w:r>
        <w:rPr>
          <w:rFonts w:ascii="Times New Roman" w:eastAsia="Times New Roman" w:hAnsi="Times New Roman" w:cs="Times New Roman"/>
          <w:kern w:val="2"/>
          <w:sz w:val="24"/>
          <w:szCs w:val="24"/>
          <w:lang w:val="en-US"/>
        </w:rPr>
        <w:lastRenderedPageBreak/>
        <w:t>established a multidisciplinary continuity of care team comprising nurses from departments such as gynecology, rehabilitation, and urology. An IC workshop was organized to clarify the responsibilities and assignments of team members.</w:t>
      </w:r>
    </w:p>
    <w:p w14:paraId="43E20A6A"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(2) Discharge assessment. When the patients were preparing for IC, each hospital used an IC nursing problem assessment form to conduct early, comprehensive, accurate, and continuous dynamic evaluations of the patients. This assessment form covered aspects such as the environment, psychology, physiology, and health behaviors. It assessed whether the patients had indications and relevant contraindications for IC, their ability to perform IC, and the potential risks of IC-related complications post-discharge. The results were analyzed and provided as feedback. Based on the examination results and referring to the evaluation outcomes from the IC assessment form, personalized nursing measures were formulated for the patients.</w:t>
      </w:r>
    </w:p>
    <w:p w14:paraId="51B655CE"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(3) Discharge education.</w:t>
      </w:r>
    </w:p>
    <w:p w14:paraId="5B069CBF"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 xml:space="preserve">Theoretical and operational training on IC. Prior to discharge, medical personnel provided the patients with printed IC-related image handbooks (Appendix 4), including information on the neurogenic bladder, urinary system anatomy, reasons for IC, and its necessity. The patients were given practical training using human body models to guide them and their family members on proper and hygienic IC procedures. The specific measures included emptying the bladder through self-catheterization or with assistance from family members. The choice of a disposable, sterile, hydrophilic-coated catheter was advised. The hands had to be cleaned, and the perineum disinfected. The catheter had to be inserted contactless, and urine flow was confirmed to be unobstructed. The </w:t>
      </w:r>
      <w:r>
        <w:rPr>
          <w:rFonts w:ascii="Times New Roman" w:eastAsia="Times New Roman" w:hAnsi="Times New Roman" w:cs="Times New Roman"/>
          <w:kern w:val="2"/>
          <w:sz w:val="24"/>
          <w:szCs w:val="24"/>
          <w:lang w:val="en-US"/>
        </w:rPr>
        <w:lastRenderedPageBreak/>
        <w:t>bladder was emptied as much as possible, and then the catheter was removed gently to avoid urethral injury. Urine volume was promptly recorded. Guidance was provided for potential difficulties during catheterization and corresponding coping methods. For instance, if minimal bleeding occasionally occurred during IC, the patients were reassured that there was no need for excessive concern. However, they were advised to seek medical attention if the bleeding persisted or increased. In cases of difficulties in catheter insertion, the patients were encouraged to relax physically and mentally, lubricate the catheter adequately, and repeat the gentle insertion process. If insertion remained challenging, the patients were advised to seek assistance from healthcare professionals. Patients who noticed abnormal urine odor or cloudy urine during catheterization were instructed to visit a hospital to evaluate potential urinary infections. In cases where patients face challenges during catheter removal, likely due to bladder spasms, they were advised to rest and relax for 5-10 min before attempting the removal again.</w:t>
      </w:r>
    </w:p>
    <w:p w14:paraId="27B82E38"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 xml:space="preserve">Personalized hydration plan. The patients were guided to maintain a daily total water intake between </w:t>
      </w:r>
      <w:proofErr w:type="gramStart"/>
      <w:r>
        <w:rPr>
          <w:rFonts w:ascii="Times New Roman" w:eastAsia="Times New Roman" w:hAnsi="Times New Roman" w:cs="Times New Roman"/>
          <w:kern w:val="2"/>
          <w:sz w:val="24"/>
          <w:szCs w:val="24"/>
          <w:lang w:val="en-US"/>
        </w:rPr>
        <w:t>1500 and 2000 ml.</w:t>
      </w:r>
      <w:proofErr w:type="gramEnd"/>
      <w:r>
        <w:rPr>
          <w:rFonts w:ascii="Times New Roman" w:eastAsia="Times New Roman" w:hAnsi="Times New Roman" w:cs="Times New Roman"/>
          <w:kern w:val="2"/>
          <w:sz w:val="24"/>
          <w:szCs w:val="24"/>
          <w:lang w:val="en-US"/>
        </w:rPr>
        <w:t xml:space="preserve"> Water intake had to be evenly distributed from 6:00 AM to 8:00 PM, not exceeding 400 ml per intake. Water intake had to be avoided within 3 h before bedtime. Diuretic foods and beverages such as tea, alcohol, coffee, and watermelon were to be avoided. Spicy and salty foods had to be avoided. While adhering to the limited water intake, patients’ hydration status was closely monitored for signs of dehydration. Patients were educated to plan their water intake accurately and record it in the urination log (Appendix 4).</w:t>
      </w:r>
    </w:p>
    <w:p w14:paraId="5FD1E439"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lastRenderedPageBreak/>
        <w:t>Guided timing for IC. Appropriate catheter products were selected for each patient. Based on residual urine volume, catheterization frequency was arranged to thoroughly empty the bladder every 4-6 h, effectively reducing urinary tract infections. For residual urine volume of 500-600 ml, IC was performed 5-6 times per day. For residual urine volume of 300-400 ml, IC was performed 3-4 times per day. For residual urine volume of 100-200 ml, IC was performed 1-2 times per day. IC was discontinued when residual urine volume was &lt;100 ml or reached balanced bladder status. The number of catheterizations was limited to no more than six times per day. As residual urine volume decreased, catheterization intervals were gradually extended. Finally, the recommended catheterization times were scheduled according to catheterization frequency: five times a day (at 7:00 AM, 11:00 AM, 3:00 PM, 7:00 PM, and 11:00 PM); four times a day (at 7:00 AM, 11:00 AM, 4:00 PM, and 10:00 PM); three times a day (at 7:00 AM, 3:00 PM, and 10:00 PM); twice a day (at 7:00 AM and 10:00 PM); once a day (at 10:00 PM).</w:t>
      </w:r>
    </w:p>
    <w:p w14:paraId="122D3C4C"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Urination diary. The patients were instructed to ensure that the urination diary covered a continuous 72-h period before each visit and to maintain accuracy. Professional urine measuring tools or disposable cups with graduated markings were used to accurately measure fluid intake, recorded in milliliters (ml).</w:t>
      </w:r>
    </w:p>
    <w:p w14:paraId="6C6EDE10"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 xml:space="preserve">Guided pelvic floor rehabilitation exercises. The exercise methods were the same as in the </w:t>
      </w:r>
      <w:r>
        <w:rPr>
          <w:rFonts w:ascii="Times New Roman" w:eastAsia="宋体" w:hAnsi="Times New Roman" w:cs="Times New Roman"/>
          <w:kern w:val="2"/>
          <w:sz w:val="24"/>
          <w:szCs w:val="24"/>
          <w:lang w:val="en-US" w:eastAsia="zh-CN"/>
        </w:rPr>
        <w:t>routine catheterization care</w:t>
      </w:r>
      <w:r>
        <w:rPr>
          <w:rFonts w:ascii="Times New Roman" w:eastAsia="Times New Roman" w:hAnsi="Times New Roman" w:cs="Times New Roman"/>
          <w:kern w:val="2"/>
          <w:sz w:val="24"/>
          <w:szCs w:val="24"/>
          <w:lang w:val="en-US"/>
        </w:rPr>
        <w:t xml:space="preserve"> group.</w:t>
      </w:r>
    </w:p>
    <w:p w14:paraId="7449FD53"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 xml:space="preserve">Psychological care. After undergoing radical cervical cancer surgery, the patients could experience misunderstandings, fears, shame, embarrassment, and other psychological barriers when reintegrating into society. This IC continuity of care program had </w:t>
      </w:r>
      <w:r>
        <w:rPr>
          <w:rFonts w:ascii="Times New Roman" w:eastAsia="Times New Roman" w:hAnsi="Times New Roman" w:cs="Times New Roman"/>
          <w:kern w:val="2"/>
          <w:sz w:val="24"/>
          <w:szCs w:val="24"/>
          <w:lang w:val="en-US"/>
        </w:rPr>
        <w:lastRenderedPageBreak/>
        <w:t>dedicated personnel responsible for patient follow-ups, which could help address the mentioned issues. The emotional responses of patients were closely monitored, and timely and accurate assistance was provided to help patients cope positively throughout the entire course of their illness.</w:t>
      </w:r>
    </w:p>
    <w:p w14:paraId="5588608C"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(4) Outpatient follow-up and implementation of supervision.</w:t>
      </w:r>
    </w:p>
    <w:p w14:paraId="6BECBD63"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Each patient established a personal follow-up record, with an assigned nurse responsible for continuous monitoring and available to answer any questions.</w:t>
      </w:r>
    </w:p>
    <w:p w14:paraId="742A79B2" w14:textId="77777777" w:rsidR="00CD712E" w:rsidRDefault="00CD712E" w:rsidP="00CD712E">
      <w:pPr>
        <w:widowControl w:val="0"/>
        <w:spacing w:line="480" w:lineRule="auto"/>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 xml:space="preserve">When the patients were discharged and began IC at home, the assigned nurse provided one-on-one guidance. Within the first 3 days of implementing IC, a follow-up was conducted. After </w:t>
      </w:r>
      <w:proofErr w:type="gramStart"/>
      <w:r>
        <w:rPr>
          <w:rFonts w:ascii="Times New Roman" w:eastAsia="Times New Roman" w:hAnsi="Times New Roman" w:cs="Times New Roman"/>
          <w:kern w:val="2"/>
          <w:sz w:val="24"/>
          <w:szCs w:val="24"/>
          <w:lang w:val="en-US"/>
        </w:rPr>
        <w:t>1 week</w:t>
      </w:r>
      <w:proofErr w:type="gramEnd"/>
      <w:r>
        <w:rPr>
          <w:rFonts w:ascii="Times New Roman" w:eastAsia="Times New Roman" w:hAnsi="Times New Roman" w:cs="Times New Roman"/>
          <w:kern w:val="2"/>
          <w:sz w:val="24"/>
          <w:szCs w:val="24"/>
          <w:lang w:val="en-US"/>
        </w:rPr>
        <w:t>, regular follow-ups were carried out weekly to monitor patients’ strict adherence to their hydration plan and catheterization procedures. The patients were also guided to regularly undergo urine routine and urine culture tests at the hospital and, if necessary, undergo a urinary system ultrasound. The care plan was adjusted promptly according to the patient’s condition. Observation continued for a period after the patients’ bladder function returned to normal, and follow-ups were not immediately terminated. Follow-up methods primarily included IC clinics, communication via WeChat, and phone follow-ups. The IC clinics were staffed with a professional continuity care team that arranged follow-up appointments based on patient needs and changes in their condition. During these follow-ups, appropriate health education is provided to meet the demands of patients performing IC at home and ensure the safety of their catheterization procedure.</w:t>
      </w:r>
    </w:p>
    <w:p w14:paraId="4EF05647" w14:textId="77777777" w:rsidR="005030E4" w:rsidRPr="00CD712E" w:rsidRDefault="005030E4">
      <w:pPr>
        <w:rPr>
          <w:lang w:val="en-US"/>
        </w:rPr>
      </w:pPr>
    </w:p>
    <w:sectPr w:rsidR="005030E4" w:rsidRPr="00CD71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607A1" w14:textId="77777777" w:rsidR="007B17A7" w:rsidRDefault="007B17A7" w:rsidP="00CD712E">
      <w:pPr>
        <w:spacing w:line="240" w:lineRule="auto"/>
      </w:pPr>
      <w:r>
        <w:separator/>
      </w:r>
    </w:p>
  </w:endnote>
  <w:endnote w:type="continuationSeparator" w:id="0">
    <w:p w14:paraId="46AA770C" w14:textId="77777777" w:rsidR="007B17A7" w:rsidRDefault="007B17A7" w:rsidP="00CD7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1B445" w14:textId="77777777" w:rsidR="007B17A7" w:rsidRDefault="007B17A7" w:rsidP="00CD712E">
      <w:pPr>
        <w:spacing w:line="240" w:lineRule="auto"/>
      </w:pPr>
      <w:r>
        <w:separator/>
      </w:r>
    </w:p>
  </w:footnote>
  <w:footnote w:type="continuationSeparator" w:id="0">
    <w:p w14:paraId="0521695D" w14:textId="77777777" w:rsidR="007B17A7" w:rsidRDefault="007B17A7" w:rsidP="00CD71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E4"/>
    <w:rsid w:val="00027E88"/>
    <w:rsid w:val="005030E4"/>
    <w:rsid w:val="007B17A7"/>
    <w:rsid w:val="00CD7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5CBB368-4C65-407B-9F11-DA6656DA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12E"/>
    <w:pPr>
      <w:spacing w:line="276" w:lineRule="auto"/>
    </w:pPr>
    <w:rPr>
      <w:rFonts w:ascii="Arial" w:eastAsia="Arial" w:hAnsi="Arial" w:cs="Arial"/>
      <w:kern w:val="0"/>
      <w:sz w:val="22"/>
      <w:lang w:val="zh-CN" w:eastAsia="fr-C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712E"/>
    <w:pPr>
      <w:widowControl w:val="0"/>
      <w:tabs>
        <w:tab w:val="center" w:pos="4153"/>
        <w:tab w:val="right" w:pos="8306"/>
      </w:tabs>
      <w:snapToGrid w:val="0"/>
      <w:spacing w:line="240" w:lineRule="auto"/>
      <w:jc w:val="center"/>
    </w:pPr>
    <w:rPr>
      <w:rFonts w:asciiTheme="minorHAnsi" w:eastAsiaTheme="minorEastAsia" w:hAnsiTheme="minorHAnsi" w:cstheme="minorBidi"/>
      <w:kern w:val="2"/>
      <w:sz w:val="18"/>
      <w:szCs w:val="18"/>
      <w:lang w:val="en-US" w:eastAsia="zh-CN"/>
      <w14:ligatures w14:val="standardContextual"/>
    </w:rPr>
  </w:style>
  <w:style w:type="character" w:customStyle="1" w:styleId="a4">
    <w:name w:val="页眉 字符"/>
    <w:basedOn w:val="a0"/>
    <w:link w:val="a3"/>
    <w:uiPriority w:val="99"/>
    <w:rsid w:val="00CD712E"/>
    <w:rPr>
      <w:sz w:val="18"/>
      <w:szCs w:val="18"/>
    </w:rPr>
  </w:style>
  <w:style w:type="paragraph" w:styleId="a5">
    <w:name w:val="footer"/>
    <w:basedOn w:val="a"/>
    <w:link w:val="a6"/>
    <w:uiPriority w:val="99"/>
    <w:unhideWhenUsed/>
    <w:rsid w:val="00CD712E"/>
    <w:pPr>
      <w:widowControl w:val="0"/>
      <w:tabs>
        <w:tab w:val="center" w:pos="4153"/>
        <w:tab w:val="right" w:pos="8306"/>
      </w:tabs>
      <w:snapToGrid w:val="0"/>
      <w:spacing w:line="240" w:lineRule="auto"/>
    </w:pPr>
    <w:rPr>
      <w:rFonts w:asciiTheme="minorHAnsi" w:eastAsiaTheme="minorEastAsia" w:hAnsiTheme="minorHAnsi" w:cstheme="minorBidi"/>
      <w:kern w:val="2"/>
      <w:sz w:val="18"/>
      <w:szCs w:val="18"/>
      <w:lang w:val="en-US" w:eastAsia="zh-CN"/>
      <w14:ligatures w14:val="standardContextual"/>
    </w:rPr>
  </w:style>
  <w:style w:type="character" w:customStyle="1" w:styleId="a6">
    <w:name w:val="页脚 字符"/>
    <w:basedOn w:val="a0"/>
    <w:link w:val="a5"/>
    <w:uiPriority w:val="99"/>
    <w:rsid w:val="00CD71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1534</Words>
  <Characters>8749</Characters>
  <Application>Microsoft Office Word</Application>
  <DocSecurity>0</DocSecurity>
  <Lines>72</Lines>
  <Paragraphs>20</Paragraphs>
  <ScaleCrop>false</ScaleCrop>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Zhang</dc:creator>
  <cp:keywords/>
  <dc:description/>
  <cp:lastModifiedBy>Ye Zhang</cp:lastModifiedBy>
  <cp:revision>2</cp:revision>
  <dcterms:created xsi:type="dcterms:W3CDTF">2024-05-30T05:21:00Z</dcterms:created>
  <dcterms:modified xsi:type="dcterms:W3CDTF">2024-05-30T05:22:00Z</dcterms:modified>
</cp:coreProperties>
</file>