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Arial" w:hAnsi="Arial" w:cs="Arial"/>
          <w:b/>
          <w:bCs/>
          <w:sz w:val="28"/>
          <w:szCs w:val="36"/>
        </w:rPr>
      </w:pPr>
      <w:bookmarkStart w:id="0" w:name="_Hlk157432838"/>
      <w:bookmarkStart w:id="1" w:name="_Hlk157439522"/>
      <w:r>
        <w:rPr>
          <w:rFonts w:ascii="Arial" w:hAnsi="Arial" w:cs="Arial"/>
          <w:b/>
          <w:bCs/>
          <w:sz w:val="28"/>
          <w:szCs w:val="36"/>
        </w:rPr>
        <w:t>Microbiological Profile</w:t>
      </w:r>
      <w:bookmarkEnd w:id="0"/>
      <w:r>
        <w:rPr>
          <w:rFonts w:ascii="Arial" w:hAnsi="Arial" w:cs="Arial"/>
          <w:b/>
          <w:bCs/>
          <w:sz w:val="28"/>
          <w:szCs w:val="36"/>
        </w:rPr>
        <w:t xml:space="preserve"> of Patients with Aspiration Pneumonia Identified by Combined Detection Methods</w:t>
      </w:r>
      <w:bookmarkEnd w:id="1"/>
    </w:p>
    <w:p>
      <w:pPr>
        <w:spacing w:line="480" w:lineRule="auto"/>
        <w:jc w:val="center"/>
        <w:rPr>
          <w:rFonts w:ascii="Arial" w:hAnsi="Arial" w:cs="Arial"/>
          <w:b/>
          <w:bCs/>
          <w:sz w:val="28"/>
          <w:szCs w:val="36"/>
        </w:rPr>
      </w:pPr>
      <w:r>
        <w:rPr>
          <w:rFonts w:ascii="Arial" w:hAnsi="Arial" w:cs="Arial"/>
          <w:b/>
          <w:bCs/>
          <w:sz w:val="28"/>
          <w:szCs w:val="36"/>
        </w:rPr>
        <w:t>Supplementary file</w:t>
      </w:r>
    </w:p>
    <w:p>
      <w:pPr>
        <w:spacing w:line="480" w:lineRule="auto"/>
        <w:rPr>
          <w:rFonts w:ascii="Arial" w:hAnsi="Arial" w:cs="Arial"/>
          <w:sz w:val="22"/>
          <w:szCs w:val="28"/>
        </w:rPr>
      </w:pPr>
      <w:r>
        <w:rPr>
          <w:rFonts w:ascii="Arial" w:hAnsi="Arial" w:cs="Arial"/>
          <w:sz w:val="22"/>
          <w:szCs w:val="28"/>
        </w:rPr>
        <w:t>Hui Xu</w:t>
      </w:r>
      <w:r>
        <w:rPr>
          <w:rFonts w:ascii="Arial" w:hAnsi="Arial" w:cs="Arial"/>
          <w:sz w:val="22"/>
          <w:szCs w:val="21"/>
          <w:vertAlign w:val="superscript"/>
        </w:rPr>
        <w:t>1</w:t>
      </w:r>
      <w:r>
        <w:rPr>
          <w:rFonts w:ascii="Arial" w:hAnsi="Arial" w:cs="Arial"/>
          <w:sz w:val="22"/>
          <w:szCs w:val="28"/>
        </w:rPr>
        <w:t>, Ruixue Zhang</w:t>
      </w:r>
      <w:r>
        <w:rPr>
          <w:rFonts w:ascii="Arial" w:hAnsi="Arial" w:cs="Arial"/>
          <w:sz w:val="22"/>
          <w:szCs w:val="21"/>
          <w:vertAlign w:val="superscript"/>
        </w:rPr>
        <w:t>1</w:t>
      </w:r>
      <w:r>
        <w:rPr>
          <w:rFonts w:ascii="Arial" w:hAnsi="Arial" w:cs="Arial"/>
          <w:sz w:val="22"/>
          <w:szCs w:val="28"/>
        </w:rPr>
        <w:t>, Xiaoxue Zhang</w:t>
      </w:r>
      <w:r>
        <w:rPr>
          <w:rFonts w:ascii="Arial" w:hAnsi="Arial" w:cs="Arial"/>
          <w:sz w:val="22"/>
          <w:szCs w:val="21"/>
          <w:vertAlign w:val="superscript"/>
        </w:rPr>
        <w:t>1</w:t>
      </w:r>
      <w:r>
        <w:rPr>
          <w:rFonts w:ascii="Arial" w:hAnsi="Arial" w:cs="Arial"/>
          <w:sz w:val="22"/>
          <w:szCs w:val="28"/>
        </w:rPr>
        <w:t>, Yueguang Cheng</w:t>
      </w:r>
      <w:r>
        <w:rPr>
          <w:rFonts w:ascii="Arial" w:hAnsi="Arial" w:cs="Arial"/>
          <w:sz w:val="22"/>
          <w:szCs w:val="21"/>
          <w:vertAlign w:val="superscript"/>
        </w:rPr>
        <w:t>2</w:t>
      </w:r>
      <w:r>
        <w:rPr>
          <w:rFonts w:ascii="Arial" w:hAnsi="Arial" w:cs="Arial"/>
          <w:sz w:val="22"/>
          <w:szCs w:val="28"/>
        </w:rPr>
        <w:t>, Liping Lv</w:t>
      </w:r>
      <w:r>
        <w:rPr>
          <w:rFonts w:ascii="Arial" w:hAnsi="Arial" w:cs="Arial"/>
          <w:sz w:val="22"/>
          <w:szCs w:val="21"/>
          <w:vertAlign w:val="superscript"/>
        </w:rPr>
        <w:t>3</w:t>
      </w:r>
      <w:r>
        <w:rPr>
          <w:rFonts w:ascii="Arial" w:hAnsi="Arial" w:cs="Arial"/>
          <w:sz w:val="22"/>
          <w:szCs w:val="28"/>
        </w:rPr>
        <w:t>, Lianjun Lin</w:t>
      </w:r>
      <w:r>
        <w:rPr>
          <w:rFonts w:ascii="Arial" w:hAnsi="Arial" w:cs="Arial"/>
          <w:sz w:val="22"/>
          <w:szCs w:val="21"/>
          <w:vertAlign w:val="superscript"/>
        </w:rPr>
        <w:t>1</w:t>
      </w:r>
    </w:p>
    <w:p>
      <w:pPr>
        <w:spacing w:line="480" w:lineRule="auto"/>
        <w:rPr>
          <w:rFonts w:ascii="Arial" w:hAnsi="Arial" w:cs="Arial"/>
          <w:color w:val="323232"/>
          <w:sz w:val="24"/>
          <w:szCs w:val="28"/>
        </w:rPr>
      </w:pPr>
    </w:p>
    <w:p>
      <w:pPr>
        <w:spacing w:line="480" w:lineRule="auto"/>
        <w:jc w:val="left"/>
        <w:rPr>
          <w:rFonts w:ascii="Arial" w:hAnsi="Arial" w:cs="Arial"/>
          <w:sz w:val="22"/>
          <w:szCs w:val="28"/>
        </w:rPr>
      </w:pPr>
      <w:r>
        <w:rPr>
          <w:rFonts w:ascii="Arial" w:hAnsi="Arial" w:cs="Arial"/>
          <w:sz w:val="22"/>
          <w:szCs w:val="28"/>
          <w:vertAlign w:val="superscript"/>
        </w:rPr>
        <w:t>1</w:t>
      </w:r>
      <w:r>
        <w:rPr>
          <w:rFonts w:ascii="Arial" w:hAnsi="Arial" w:cs="Arial"/>
          <w:sz w:val="22"/>
          <w:szCs w:val="28"/>
        </w:rPr>
        <w:t>Department of Geriatrics, Peking University First Hospital, Beijing, China;</w:t>
      </w:r>
      <w:r>
        <w:rPr>
          <w:rFonts w:hint="eastAsia" w:ascii="Arial" w:hAnsi="Arial" w:cs="Arial"/>
          <w:sz w:val="22"/>
          <w:szCs w:val="28"/>
          <w:lang w:val="en-US" w:eastAsia="zh-CN"/>
        </w:rPr>
        <w:t xml:space="preserve"> </w:t>
      </w:r>
      <w:r>
        <w:rPr>
          <w:rFonts w:ascii="Arial" w:hAnsi="Arial" w:cs="Arial"/>
          <w:sz w:val="22"/>
          <w:szCs w:val="28"/>
          <w:vertAlign w:val="superscript"/>
        </w:rPr>
        <w:t>2</w:t>
      </w:r>
      <w:r>
        <w:rPr>
          <w:rFonts w:ascii="Arial" w:hAnsi="Arial" w:cs="Arial"/>
          <w:sz w:val="22"/>
          <w:szCs w:val="28"/>
        </w:rPr>
        <w:t xml:space="preserve">Department of Emergency, Beijing Jingmei Group General Hospital, Beijing, China; </w:t>
      </w:r>
      <w:r>
        <w:rPr>
          <w:rFonts w:ascii="Arial" w:hAnsi="Arial" w:cs="Arial"/>
          <w:sz w:val="22"/>
          <w:szCs w:val="28"/>
          <w:vertAlign w:val="superscript"/>
        </w:rPr>
        <w:t>3</w:t>
      </w:r>
      <w:r>
        <w:rPr>
          <w:rFonts w:ascii="Arial" w:hAnsi="Arial" w:cs="Arial"/>
          <w:sz w:val="22"/>
          <w:szCs w:val="28"/>
        </w:rPr>
        <w:t>Department of Intervention Pulmonology, Anhui Chest Hospital, Hefei, China.</w:t>
      </w:r>
    </w:p>
    <w:p>
      <w:pPr>
        <w:spacing w:line="480" w:lineRule="auto"/>
        <w:rPr>
          <w:rFonts w:ascii="Arial" w:hAnsi="Arial" w:cs="Arial"/>
          <w:sz w:val="24"/>
        </w:rPr>
      </w:pPr>
    </w:p>
    <w:p>
      <w:pPr>
        <w:spacing w:line="480" w:lineRule="auto"/>
        <w:rPr>
          <w:rFonts w:ascii="Arial" w:hAnsi="Arial" w:cs="Arial"/>
          <w:sz w:val="20"/>
          <w:szCs w:val="20"/>
        </w:rPr>
      </w:pPr>
      <w:r>
        <w:rPr>
          <w:rFonts w:ascii="Arial" w:hAnsi="Arial" w:cs="Arial"/>
          <w:sz w:val="22"/>
          <w:szCs w:val="28"/>
        </w:rPr>
        <w:t>Correspondence: Lianjun Lin</w:t>
      </w:r>
      <w:r>
        <w:rPr>
          <w:rFonts w:hint="eastAsia" w:ascii="Arial" w:hAnsi="Arial" w:cs="Arial"/>
          <w:sz w:val="22"/>
          <w:szCs w:val="28"/>
        </w:rPr>
        <w:t xml:space="preserve">. </w:t>
      </w:r>
      <w:r>
        <w:rPr>
          <w:rFonts w:ascii="Arial" w:hAnsi="Arial" w:cs="Arial"/>
          <w:sz w:val="22"/>
          <w:szCs w:val="28"/>
        </w:rPr>
        <w:t>Department of Geriatrics, Peking University First Hospital, Xishiku Avenue 8, Xicheng District, Beijing, 100034, P.R. China.</w:t>
      </w:r>
      <w:r>
        <w:rPr>
          <w:rFonts w:hint="eastAsia" w:ascii="Arial" w:hAnsi="Arial" w:cs="Arial"/>
          <w:sz w:val="22"/>
          <w:szCs w:val="28"/>
        </w:rPr>
        <w:t xml:space="preserve"> </w:t>
      </w:r>
      <w:r>
        <w:rPr>
          <w:rFonts w:ascii="Arial" w:hAnsi="Arial" w:cs="Arial"/>
          <w:sz w:val="22"/>
          <w:szCs w:val="28"/>
          <w:lang w:val="fr-FR"/>
        </w:rPr>
        <w:t>Email: 06474@pkufh.com</w:t>
      </w:r>
      <w:r>
        <w:rPr>
          <w:rFonts w:ascii="Arial" w:hAnsi="Arial" w:cs="Arial"/>
          <w:sz w:val="20"/>
          <w:szCs w:val="20"/>
        </w:rPr>
        <w:br w:type="page"/>
      </w:r>
    </w:p>
    <w:p>
      <w:pPr>
        <w:spacing w:line="480" w:lineRule="auto"/>
        <w:outlineLvl w:val="0"/>
        <w:rPr>
          <w:rFonts w:ascii="Arial" w:hAnsi="Arial" w:eastAsia="等线" w:cs="Arial"/>
          <w:b/>
          <w:bCs/>
          <w:sz w:val="20"/>
          <w:szCs w:val="20"/>
        </w:rPr>
      </w:pPr>
      <w:r>
        <w:rPr>
          <w:rFonts w:ascii="Arial" w:hAnsi="Arial" w:eastAsia="宋体" w:cs="Arial"/>
          <w:b/>
          <w:bCs/>
          <w:sz w:val="20"/>
          <w:szCs w:val="20"/>
          <w:lang w:bidi="ar"/>
        </w:rPr>
        <w:t xml:space="preserve">Table S1. </w:t>
      </w:r>
      <w:r>
        <w:rPr>
          <w:rFonts w:ascii="Arial" w:hAnsi="Arial" w:eastAsia="宋体" w:cs="Arial"/>
          <w:sz w:val="20"/>
          <w:szCs w:val="20"/>
          <w:lang w:bidi="ar"/>
        </w:rPr>
        <w:t>Biochemical parameters of the study participants.</w:t>
      </w:r>
    </w:p>
    <w:tbl>
      <w:tblPr>
        <w:tblStyle w:val="6"/>
        <w:tblW w:w="10505" w:type="dxa"/>
        <w:jc w:val="center"/>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6"/>
        <w:gridCol w:w="1844"/>
        <w:gridCol w:w="1985"/>
        <w:gridCol w:w="1887"/>
        <w:gridCol w:w="993"/>
      </w:tblGrid>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single" w:color="auto" w:sz="12" w:space="0"/>
              <w:left w:val="nil"/>
              <w:bottom w:val="single" w:color="auto" w:sz="6" w:space="0"/>
              <w:right w:val="nil"/>
            </w:tcBorders>
            <w:shd w:val="clear" w:color="auto" w:fill="auto"/>
            <w:vAlign w:val="center"/>
          </w:tcPr>
          <w:p>
            <w:pPr>
              <w:rPr>
                <w:rFonts w:ascii="Arial" w:hAnsi="Arial" w:cs="Arial"/>
                <w:kern w:val="0"/>
                <w:sz w:val="20"/>
                <w:szCs w:val="20"/>
              </w:rPr>
            </w:pPr>
            <w:r>
              <w:rPr>
                <w:rFonts w:ascii="Arial" w:hAnsi="Arial" w:eastAsia="宋体" w:cs="Arial"/>
                <w:kern w:val="0"/>
                <w:sz w:val="20"/>
                <w:szCs w:val="20"/>
                <w:lang w:bidi="ar"/>
              </w:rPr>
              <w:t>Variables</w:t>
            </w:r>
          </w:p>
        </w:tc>
        <w:tc>
          <w:tcPr>
            <w:tcW w:w="1844" w:type="dxa"/>
            <w:tcBorders>
              <w:top w:val="single" w:color="auto" w:sz="12" w:space="0"/>
              <w:left w:val="nil"/>
              <w:bottom w:val="single" w:color="auto" w:sz="6" w:space="0"/>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All (N=39)</w:t>
            </w:r>
          </w:p>
        </w:tc>
        <w:tc>
          <w:tcPr>
            <w:tcW w:w="1985" w:type="dxa"/>
            <w:tcBorders>
              <w:top w:val="single" w:color="auto" w:sz="12" w:space="0"/>
              <w:left w:val="nil"/>
              <w:bottom w:val="single" w:color="auto" w:sz="6" w:space="0"/>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AspRF-CAP (N=11)</w:t>
            </w:r>
          </w:p>
        </w:tc>
        <w:tc>
          <w:tcPr>
            <w:tcW w:w="1887" w:type="dxa"/>
            <w:tcBorders>
              <w:top w:val="single" w:color="auto" w:sz="12" w:space="0"/>
              <w:left w:val="nil"/>
              <w:bottom w:val="single" w:color="auto" w:sz="6" w:space="0"/>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AP (N=28)</w:t>
            </w:r>
          </w:p>
        </w:tc>
        <w:tc>
          <w:tcPr>
            <w:tcW w:w="993" w:type="dxa"/>
            <w:tcBorders>
              <w:top w:val="single" w:color="auto" w:sz="12" w:space="0"/>
              <w:left w:val="nil"/>
              <w:bottom w:val="single" w:color="auto" w:sz="6" w:space="0"/>
              <w:right w:val="nil"/>
            </w:tcBorders>
            <w:shd w:val="clear" w:color="auto" w:fill="auto"/>
            <w:vAlign w:val="center"/>
          </w:tcPr>
          <w:p>
            <w:pPr>
              <w:jc w:val="center"/>
              <w:rPr>
                <w:rFonts w:ascii="Arial" w:hAnsi="Arial" w:cs="Arial"/>
                <w:kern w:val="0"/>
                <w:sz w:val="20"/>
                <w:szCs w:val="20"/>
              </w:rPr>
            </w:pPr>
            <w:r>
              <w:rPr>
                <w:rFonts w:ascii="Arial" w:hAnsi="Arial" w:eastAsia="宋体" w:cs="Arial"/>
                <w:i/>
                <w:iCs/>
                <w:kern w:val="0"/>
                <w:sz w:val="20"/>
                <w:szCs w:val="20"/>
                <w:lang w:bidi="ar"/>
              </w:rPr>
              <w:t>P</w:t>
            </w:r>
            <w:r>
              <w:rPr>
                <w:rFonts w:ascii="Arial" w:hAnsi="Arial" w:eastAsia="宋体" w:cs="Arial"/>
                <w:kern w:val="0"/>
                <w:sz w:val="20"/>
                <w:szCs w:val="20"/>
                <w:lang w:bidi="ar"/>
              </w:rPr>
              <w:t xml:space="preserve"> value</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single" w:color="auto" w:sz="6" w:space="0"/>
              <w:left w:val="nil"/>
              <w:bottom w:val="nil"/>
              <w:right w:val="nil"/>
            </w:tcBorders>
            <w:shd w:val="clear" w:color="auto" w:fill="auto"/>
            <w:vAlign w:val="center"/>
          </w:tcPr>
          <w:p>
            <w:pPr>
              <w:rPr>
                <w:rFonts w:ascii="Arial" w:hAnsi="Arial" w:cs="Arial"/>
                <w:kern w:val="0"/>
                <w:sz w:val="20"/>
                <w:szCs w:val="20"/>
              </w:rPr>
            </w:pPr>
            <w:r>
              <w:rPr>
                <w:rFonts w:ascii="Arial" w:hAnsi="Arial" w:eastAsia="宋体" w:cs="Arial"/>
                <w:kern w:val="0"/>
                <w:sz w:val="20"/>
                <w:szCs w:val="20"/>
                <w:lang w:bidi="ar"/>
              </w:rPr>
              <w:t>BALF amylase, IU/L</w:t>
            </w:r>
          </w:p>
        </w:tc>
        <w:tc>
          <w:tcPr>
            <w:tcW w:w="1844" w:type="dxa"/>
            <w:tcBorders>
              <w:top w:val="single" w:color="auto" w:sz="6" w:space="0"/>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1041.72 (3836.56)</w:t>
            </w:r>
          </w:p>
        </w:tc>
        <w:tc>
          <w:tcPr>
            <w:tcW w:w="1985" w:type="dxa"/>
            <w:tcBorders>
              <w:top w:val="single" w:color="auto" w:sz="6" w:space="0"/>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184.27 (345.64)</w:t>
            </w:r>
          </w:p>
        </w:tc>
        <w:tc>
          <w:tcPr>
            <w:tcW w:w="1887" w:type="dxa"/>
            <w:tcBorders>
              <w:top w:val="single" w:color="auto" w:sz="6" w:space="0"/>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1862.10 (10200.84)</w:t>
            </w:r>
          </w:p>
        </w:tc>
        <w:tc>
          <w:tcPr>
            <w:tcW w:w="993" w:type="dxa"/>
            <w:tcBorders>
              <w:top w:val="single" w:color="auto" w:sz="6" w:space="0"/>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0.004</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rPr>
                <w:rFonts w:ascii="Arial" w:hAnsi="Arial" w:cs="Arial"/>
                <w:kern w:val="0"/>
                <w:sz w:val="20"/>
                <w:szCs w:val="20"/>
              </w:rPr>
            </w:pPr>
            <w:r>
              <w:rPr>
                <w:rFonts w:ascii="Arial" w:hAnsi="Arial" w:eastAsia="宋体" w:cs="Arial"/>
                <w:kern w:val="0"/>
                <w:sz w:val="20"/>
                <w:szCs w:val="20"/>
                <w:lang w:bidi="ar"/>
              </w:rPr>
              <w:t>Blood routine</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bookmarkStart w:id="2" w:name="_Hlk148616783"/>
            <w:r>
              <w:rPr>
                <w:rFonts w:ascii="Arial" w:hAnsi="Arial" w:eastAsia="宋体" w:cs="Arial"/>
                <w:kern w:val="0"/>
                <w:sz w:val="20"/>
                <w:szCs w:val="20"/>
                <w:lang w:bidi="ar"/>
              </w:rPr>
              <w:t>White blood cell counts</w:t>
            </w:r>
            <w:bookmarkEnd w:id="2"/>
            <w:r>
              <w:rPr>
                <w:rFonts w:ascii="Arial" w:hAnsi="Arial" w:eastAsia="宋体" w:cs="Arial"/>
                <w:kern w:val="0"/>
                <w:sz w:val="20"/>
                <w:szCs w:val="20"/>
                <w:lang w:bidi="ar"/>
              </w:rPr>
              <w:t xml:space="preserve">, </w:t>
            </w:r>
            <w:bookmarkStart w:id="3" w:name="OLE_LINK2"/>
            <w:r>
              <w:rPr>
                <w:rFonts w:ascii="Arial" w:hAnsi="Arial" w:eastAsia="宋体" w:cs="Arial"/>
                <w:kern w:val="0"/>
                <w:sz w:val="20"/>
                <w:szCs w:val="20"/>
                <w:lang w:bidi="ar"/>
              </w:rPr>
              <w:t>×</w:t>
            </w:r>
            <w:r>
              <w:rPr>
                <w:rFonts w:ascii="Arial" w:hAnsi="Arial" w:eastAsia="宋体" w:cs="Arial"/>
                <w:color w:val="000000"/>
                <w:kern w:val="0"/>
                <w:sz w:val="20"/>
                <w:szCs w:val="20"/>
                <w:shd w:val="clear" w:color="auto" w:fill="FFFFFF"/>
                <w:lang w:bidi="ar"/>
              </w:rPr>
              <w:t>10</w:t>
            </w:r>
            <w:r>
              <w:rPr>
                <w:rFonts w:ascii="Arial" w:hAnsi="Arial" w:eastAsia="宋体" w:cs="Arial"/>
                <w:color w:val="000000"/>
                <w:kern w:val="0"/>
                <w:sz w:val="20"/>
                <w:szCs w:val="20"/>
                <w:shd w:val="clear" w:color="auto" w:fill="FFFFFF"/>
                <w:vertAlign w:val="superscript"/>
                <w:lang w:bidi="ar"/>
              </w:rPr>
              <w:t>9</w:t>
            </w:r>
            <w:r>
              <w:rPr>
                <w:rFonts w:ascii="Arial" w:hAnsi="Arial" w:eastAsia="宋体" w:cs="Arial"/>
                <w:color w:val="000000"/>
                <w:kern w:val="0"/>
                <w:sz w:val="20"/>
                <w:szCs w:val="20"/>
                <w:shd w:val="clear" w:color="auto" w:fill="FFFFFF"/>
                <w:lang w:bidi="ar"/>
              </w:rPr>
              <w:t>/L</w:t>
            </w:r>
            <w:bookmarkEnd w:id="3"/>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11.00 (9.57)</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8.68 (6.45)</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12.25 (13.93)</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0.151</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bookmarkStart w:id="4" w:name="_Hlk148616844"/>
            <w:r>
              <w:rPr>
                <w:rFonts w:ascii="Arial" w:hAnsi="Arial" w:eastAsia="宋体" w:cs="Arial"/>
                <w:kern w:val="0"/>
                <w:sz w:val="20"/>
                <w:szCs w:val="20"/>
                <w:lang w:bidi="ar"/>
              </w:rPr>
              <w:t>Neutrophil counts</w:t>
            </w:r>
            <w:bookmarkEnd w:id="4"/>
            <w:r>
              <w:rPr>
                <w:rFonts w:ascii="Arial" w:hAnsi="Arial" w:eastAsia="宋体" w:cs="Arial"/>
                <w:kern w:val="0"/>
                <w:sz w:val="20"/>
                <w:szCs w:val="20"/>
                <w:lang w:bidi="ar"/>
              </w:rPr>
              <w:t>, ×</w:t>
            </w:r>
            <w:r>
              <w:rPr>
                <w:rFonts w:ascii="Arial" w:hAnsi="Arial" w:eastAsia="宋体" w:cs="Arial"/>
                <w:color w:val="000000"/>
                <w:kern w:val="0"/>
                <w:sz w:val="20"/>
                <w:szCs w:val="20"/>
                <w:shd w:val="clear" w:color="auto" w:fill="FFFFFF"/>
                <w:lang w:bidi="ar"/>
              </w:rPr>
              <w:t>10</w:t>
            </w:r>
            <w:r>
              <w:rPr>
                <w:rFonts w:ascii="Arial" w:hAnsi="Arial" w:eastAsia="宋体" w:cs="Arial"/>
                <w:color w:val="000000"/>
                <w:kern w:val="0"/>
                <w:sz w:val="20"/>
                <w:szCs w:val="20"/>
                <w:shd w:val="clear" w:color="auto" w:fill="FFFFFF"/>
                <w:vertAlign w:val="superscript"/>
                <w:lang w:bidi="ar"/>
              </w:rPr>
              <w:t>9</w:t>
            </w:r>
            <w:r>
              <w:rPr>
                <w:rFonts w:ascii="Arial" w:hAnsi="Arial" w:eastAsia="宋体" w:cs="Arial"/>
                <w:color w:val="000000"/>
                <w:kern w:val="0"/>
                <w:sz w:val="20"/>
                <w:szCs w:val="20"/>
                <w:shd w:val="clear" w:color="auto" w:fill="FFFFFF"/>
                <w:lang w:bidi="ar"/>
              </w:rPr>
              <w:t>/L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9.10 (9.39)</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6.73 (7.85)</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9.33 (9.59)</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0.170</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bookmarkStart w:id="5" w:name="_Hlk148616854"/>
            <w:r>
              <w:rPr>
                <w:rFonts w:ascii="Arial" w:hAnsi="Arial" w:eastAsia="宋体" w:cs="Arial"/>
                <w:kern w:val="0"/>
                <w:sz w:val="20"/>
                <w:szCs w:val="20"/>
                <w:lang w:bidi="ar"/>
              </w:rPr>
              <w:t>Lymphocyte counts</w:t>
            </w:r>
            <w:bookmarkEnd w:id="5"/>
            <w:r>
              <w:rPr>
                <w:rFonts w:ascii="Arial" w:hAnsi="Arial" w:eastAsia="宋体" w:cs="Arial"/>
                <w:kern w:val="0"/>
                <w:sz w:val="20"/>
                <w:szCs w:val="20"/>
                <w:lang w:bidi="ar"/>
              </w:rPr>
              <w:t>, ×</w:t>
            </w:r>
            <w:r>
              <w:rPr>
                <w:rFonts w:ascii="Arial" w:hAnsi="Arial" w:eastAsia="宋体" w:cs="Arial"/>
                <w:color w:val="000000"/>
                <w:kern w:val="0"/>
                <w:sz w:val="20"/>
                <w:szCs w:val="20"/>
                <w:shd w:val="clear" w:color="auto" w:fill="FFFFFF"/>
                <w:lang w:bidi="ar"/>
              </w:rPr>
              <w:t>10</w:t>
            </w:r>
            <w:r>
              <w:rPr>
                <w:rFonts w:ascii="Arial" w:hAnsi="Arial" w:eastAsia="宋体" w:cs="Arial"/>
                <w:color w:val="000000"/>
                <w:kern w:val="0"/>
                <w:sz w:val="20"/>
                <w:szCs w:val="20"/>
                <w:shd w:val="clear" w:color="auto" w:fill="FFFFFF"/>
                <w:vertAlign w:val="superscript"/>
                <w:lang w:bidi="ar"/>
              </w:rPr>
              <w:t>9</w:t>
            </w:r>
            <w:r>
              <w:rPr>
                <w:rFonts w:ascii="Arial" w:hAnsi="Arial" w:eastAsia="宋体" w:cs="Arial"/>
                <w:color w:val="000000"/>
                <w:kern w:val="0"/>
                <w:sz w:val="20"/>
                <w:szCs w:val="20"/>
                <w:shd w:val="clear" w:color="auto" w:fill="FFFFFF"/>
                <w:lang w:bidi="ar"/>
              </w:rPr>
              <w:t>/L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1.17 (1.09)</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1.10 (0.92)</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1.19 (1.25)</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0.357</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Monocyte counts, ×</w:t>
            </w:r>
            <w:r>
              <w:rPr>
                <w:rFonts w:ascii="Arial" w:hAnsi="Arial" w:eastAsia="宋体" w:cs="Arial"/>
                <w:color w:val="000000"/>
                <w:kern w:val="0"/>
                <w:sz w:val="20"/>
                <w:szCs w:val="20"/>
                <w:shd w:val="clear" w:color="auto" w:fill="FFFFFF"/>
                <w:lang w:bidi="ar"/>
              </w:rPr>
              <w:t>10</w:t>
            </w:r>
            <w:r>
              <w:rPr>
                <w:rFonts w:ascii="Arial" w:hAnsi="Arial" w:eastAsia="宋体" w:cs="Arial"/>
                <w:color w:val="000000"/>
                <w:kern w:val="0"/>
                <w:sz w:val="20"/>
                <w:szCs w:val="20"/>
                <w:shd w:val="clear" w:color="auto" w:fill="FFFFFF"/>
                <w:vertAlign w:val="superscript"/>
                <w:lang w:bidi="ar"/>
              </w:rPr>
              <w:t>9</w:t>
            </w:r>
            <w:r>
              <w:rPr>
                <w:rFonts w:ascii="Arial" w:hAnsi="Arial" w:eastAsia="宋体" w:cs="Arial"/>
                <w:color w:val="000000"/>
                <w:kern w:val="0"/>
                <w:sz w:val="20"/>
                <w:szCs w:val="20"/>
                <w:shd w:val="clear" w:color="auto" w:fill="FFFFFF"/>
                <w:lang w:bidi="ar"/>
              </w:rPr>
              <w:t>/L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0.44 (0.45)</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0.46 (0.24)</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0.44 (0.52)</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0.988</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Eosinophil counts, ×</w:t>
            </w:r>
            <w:r>
              <w:rPr>
                <w:rFonts w:ascii="Arial" w:hAnsi="Arial" w:eastAsia="宋体" w:cs="Arial"/>
                <w:color w:val="000000"/>
                <w:kern w:val="0"/>
                <w:sz w:val="20"/>
                <w:szCs w:val="20"/>
                <w:shd w:val="clear" w:color="auto" w:fill="FFFFFF"/>
                <w:lang w:bidi="ar"/>
              </w:rPr>
              <w:t>10</w:t>
            </w:r>
            <w:r>
              <w:rPr>
                <w:rFonts w:ascii="Arial" w:hAnsi="Arial" w:eastAsia="宋体" w:cs="Arial"/>
                <w:color w:val="000000"/>
                <w:kern w:val="0"/>
                <w:sz w:val="20"/>
                <w:szCs w:val="20"/>
                <w:shd w:val="clear" w:color="auto" w:fill="FFFFFF"/>
                <w:vertAlign w:val="superscript"/>
                <w:lang w:bidi="ar"/>
              </w:rPr>
              <w:t>9</w:t>
            </w:r>
            <w:r>
              <w:rPr>
                <w:rFonts w:ascii="Arial" w:hAnsi="Arial" w:eastAsia="宋体" w:cs="Arial"/>
                <w:color w:val="000000"/>
                <w:kern w:val="0"/>
                <w:sz w:val="20"/>
                <w:szCs w:val="20"/>
                <w:shd w:val="clear" w:color="auto" w:fill="FFFFFF"/>
                <w:lang w:bidi="ar"/>
              </w:rPr>
              <w:t>/L</w:t>
            </w:r>
            <w:r>
              <w:rPr>
                <w:rFonts w:ascii="Arial" w:hAnsi="Arial" w:eastAsia="宋体" w:cs="Arial"/>
                <w:color w:val="000000"/>
                <w:kern w:val="0"/>
                <w:sz w:val="20"/>
                <w:szCs w:val="20"/>
                <w:shd w:val="clear" w:color="auto" w:fill="FFFFFF"/>
                <w:vertAlign w:val="superscript"/>
                <w:lang w:bidi="ar"/>
              </w:rPr>
              <w:t xml:space="preserve"> 3</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0.05 (0.09)</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0.08 (0.09)</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0.05 (0.13)</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0.571</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highlight w:val="yellow"/>
              </w:rPr>
            </w:pPr>
            <w:r>
              <w:rPr>
                <w:rFonts w:ascii="Arial" w:hAnsi="Arial" w:eastAsia="宋体" w:cs="Arial"/>
                <w:kern w:val="0"/>
                <w:sz w:val="20"/>
                <w:szCs w:val="20"/>
                <w:lang w:bidi="ar"/>
              </w:rPr>
              <w:t>Basophilic granulocyte counts, ×</w:t>
            </w:r>
            <w:r>
              <w:rPr>
                <w:rFonts w:ascii="Arial" w:hAnsi="Arial" w:eastAsia="宋体" w:cs="Arial"/>
                <w:color w:val="000000"/>
                <w:kern w:val="0"/>
                <w:sz w:val="20"/>
                <w:szCs w:val="20"/>
                <w:shd w:val="clear" w:color="auto" w:fill="FFFFFF"/>
                <w:lang w:bidi="ar"/>
              </w:rPr>
              <w:t>10</w:t>
            </w:r>
            <w:r>
              <w:rPr>
                <w:rFonts w:ascii="Arial" w:hAnsi="Arial" w:eastAsia="宋体" w:cs="Arial"/>
                <w:color w:val="000000"/>
                <w:kern w:val="0"/>
                <w:sz w:val="20"/>
                <w:szCs w:val="20"/>
                <w:shd w:val="clear" w:color="auto" w:fill="FFFFFF"/>
                <w:vertAlign w:val="superscript"/>
                <w:lang w:bidi="ar"/>
              </w:rPr>
              <w:t>9</w:t>
            </w:r>
            <w:r>
              <w:rPr>
                <w:rFonts w:ascii="Arial" w:hAnsi="Arial" w:eastAsia="宋体" w:cs="Arial"/>
                <w:color w:val="000000"/>
                <w:kern w:val="0"/>
                <w:sz w:val="20"/>
                <w:szCs w:val="20"/>
                <w:shd w:val="clear" w:color="auto" w:fill="FFFFFF"/>
                <w:lang w:bidi="ar"/>
              </w:rPr>
              <w:t>/L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0.02 (0.04)</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0.02 (0.02)</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0.03 (0.07)</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0.528</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Platelet counts, ×</w:t>
            </w:r>
            <w:r>
              <w:rPr>
                <w:rFonts w:ascii="Arial" w:hAnsi="Arial" w:eastAsia="宋体" w:cs="Arial"/>
                <w:color w:val="000000"/>
                <w:kern w:val="0"/>
                <w:sz w:val="20"/>
                <w:szCs w:val="20"/>
                <w:shd w:val="clear" w:color="auto" w:fill="FFFFFF"/>
                <w:lang w:bidi="ar"/>
              </w:rPr>
              <w:t>10</w:t>
            </w:r>
            <w:r>
              <w:rPr>
                <w:rFonts w:ascii="Arial" w:hAnsi="Arial" w:eastAsia="宋体" w:cs="Arial"/>
                <w:color w:val="000000"/>
                <w:kern w:val="0"/>
                <w:sz w:val="20"/>
                <w:szCs w:val="20"/>
                <w:shd w:val="clear" w:color="auto" w:fill="FFFFFF"/>
                <w:vertAlign w:val="superscript"/>
                <w:lang w:bidi="ar"/>
              </w:rPr>
              <w:t>9</w:t>
            </w:r>
            <w:r>
              <w:rPr>
                <w:rFonts w:ascii="Arial" w:hAnsi="Arial" w:eastAsia="宋体" w:cs="Arial"/>
                <w:color w:val="000000"/>
                <w:kern w:val="0"/>
                <w:sz w:val="20"/>
                <w:szCs w:val="20"/>
                <w:shd w:val="clear" w:color="auto" w:fill="FFFFFF"/>
                <w:lang w:bidi="ar"/>
              </w:rPr>
              <w:t>/L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225.0 (164.0)</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192.0 (102.0)</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232.5 (192.0)</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0.901</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Hemoglobin</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111.0 (45.0)</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111.0 (40.0)</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105.5 (45.0)</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0.901</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rPr>
                <w:rFonts w:ascii="Arial" w:hAnsi="Arial" w:cs="Arial"/>
                <w:kern w:val="0"/>
                <w:sz w:val="20"/>
                <w:szCs w:val="20"/>
              </w:rPr>
            </w:pPr>
            <w:r>
              <w:rPr>
                <w:rFonts w:ascii="Arial" w:hAnsi="Arial" w:eastAsia="宋体" w:cs="Arial"/>
                <w:kern w:val="0"/>
                <w:sz w:val="20"/>
                <w:szCs w:val="20"/>
                <w:lang w:bidi="ar"/>
              </w:rPr>
              <w:t>Blood biochemistry</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Alanine transaminase</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16.0 (19.6)</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16.0 (15.4)</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16.2 (20.4)</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0.767</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Aspartate aminotransferase</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22.9 (20.9)</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20.0 (12.0)</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24.4 (23.8)</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0.913</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Serum albumin</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29.1 (11.8)</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34.5 (10.6)</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27.1 (10.3)</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0.126</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Total bilirubin</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11.5 (13.2)</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11.4 (5.2)</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12.6 (16.2)</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0.685</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Direct bilirubin</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3.0 (5.7)</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2.2 (3.7)</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3.3 (7.0)</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0.165</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Blood urea nitrogen</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8.40 (8.90)</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5.20 (9.70)</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9.90 (9.60)</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0.068</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Serum creatinine</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78.00 (54.70)</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68.6 (31.2)</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86.85 (83.4)</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0.174</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Uric acid</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335.10 (254.9)</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242.3 (237.5)</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367.85 (291.9)</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0.134</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Blood sodium, mmol/L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139.5 (4.6)</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140.8 (0.9)</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138.55 (9.4)</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0.108</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Blood potassium, mmol/L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3.81 (0.78)</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3.71 (0.56)</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3.88 (0.95)</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0.720</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Blood chlorine, mmol/L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103.9 (10.0)</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103.9 (8.0)</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103.8 (13.4)</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0.876</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Blood phosphorus, mmol/L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1.08 (0.48)</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1.08 (0.17)</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1.08 (0.62)</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0.975</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Blood calcium, mmol/L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2.11 (0.32)</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1.99 (0.42)</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2.14 (0.23)</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0.160</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Blood magnesium, mmol/L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0.81 (0.26)</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0.77 (0.25)</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0.85 (0.31)</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0.063</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ind w:firstLine="200" w:firstLineChars="100"/>
              <w:rPr>
                <w:rFonts w:ascii="Arial" w:hAnsi="Arial" w:cs="Arial"/>
                <w:kern w:val="0"/>
                <w:sz w:val="20"/>
                <w:szCs w:val="20"/>
              </w:rPr>
            </w:pPr>
            <w:r>
              <w:rPr>
                <w:rFonts w:ascii="Arial" w:hAnsi="Arial" w:eastAsia="宋体" w:cs="Arial"/>
                <w:kern w:val="0"/>
                <w:sz w:val="20"/>
                <w:szCs w:val="20"/>
                <w:lang w:bidi="ar"/>
              </w:rPr>
              <w:t>Blood glucose, mmol/L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7.81 (10.0)</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5.42 (2.52)</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10.13 (11.09)</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0.010</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rPr>
                <w:rFonts w:ascii="Arial" w:hAnsi="Arial" w:cs="Arial"/>
                <w:kern w:val="0"/>
                <w:sz w:val="20"/>
                <w:szCs w:val="20"/>
              </w:rPr>
            </w:pPr>
            <w:r>
              <w:rPr>
                <w:rFonts w:ascii="Arial" w:hAnsi="Arial" w:eastAsia="宋体" w:cs="Arial"/>
                <w:kern w:val="0"/>
                <w:sz w:val="20"/>
                <w:szCs w:val="20"/>
                <w:lang w:bidi="ar"/>
              </w:rPr>
              <w:t>Fibrinogen, mmol/L</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3.80 (1.56)</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4.20 (2.15)</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3.69 (1.14)</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0.261</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nil"/>
              <w:right w:val="nil"/>
            </w:tcBorders>
            <w:shd w:val="clear" w:color="auto" w:fill="auto"/>
            <w:vAlign w:val="center"/>
          </w:tcPr>
          <w:p>
            <w:pPr>
              <w:rPr>
                <w:rFonts w:ascii="Arial" w:hAnsi="Arial" w:cs="Arial"/>
                <w:kern w:val="0"/>
                <w:sz w:val="20"/>
                <w:szCs w:val="20"/>
              </w:rPr>
            </w:pPr>
            <w:r>
              <w:rPr>
                <w:rFonts w:ascii="Arial" w:hAnsi="Arial" w:eastAsia="宋体" w:cs="Arial"/>
                <w:kern w:val="0"/>
                <w:sz w:val="20"/>
                <w:szCs w:val="20"/>
                <w:lang w:bidi="ar"/>
              </w:rPr>
              <w:t>Prothrombin time, s</w:t>
            </w:r>
          </w:p>
        </w:tc>
        <w:tc>
          <w:tcPr>
            <w:tcW w:w="1844"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12.80 (2.0)</w:t>
            </w:r>
          </w:p>
        </w:tc>
        <w:tc>
          <w:tcPr>
            <w:tcW w:w="1985"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12.0 (3.0)</w:t>
            </w:r>
          </w:p>
        </w:tc>
        <w:tc>
          <w:tcPr>
            <w:tcW w:w="1887"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12.85 (1.70)</w:t>
            </w:r>
          </w:p>
        </w:tc>
        <w:tc>
          <w:tcPr>
            <w:tcW w:w="993" w:type="dxa"/>
            <w:tcBorders>
              <w:top w:val="nil"/>
              <w:left w:val="nil"/>
              <w:bottom w:val="nil"/>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0.248</w:t>
            </w:r>
          </w:p>
        </w:tc>
      </w:tr>
      <w:tr>
        <w:tblPrEx>
          <w:tblBorders>
            <w:top w:val="single" w:color="auto" w:sz="12" w:space="0"/>
            <w:left w:val="none" w:color="auto" w:sz="4" w:space="0"/>
            <w:bottom w:val="single" w:color="auto" w:sz="1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6" w:type="dxa"/>
            <w:tcBorders>
              <w:top w:val="nil"/>
              <w:left w:val="nil"/>
              <w:bottom w:val="single" w:color="auto" w:sz="12" w:space="0"/>
              <w:right w:val="nil"/>
            </w:tcBorders>
            <w:shd w:val="clear" w:color="auto" w:fill="auto"/>
            <w:vAlign w:val="center"/>
          </w:tcPr>
          <w:p>
            <w:pPr>
              <w:rPr>
                <w:rFonts w:ascii="Arial" w:hAnsi="Arial" w:cs="Arial"/>
                <w:kern w:val="0"/>
                <w:sz w:val="20"/>
                <w:szCs w:val="20"/>
              </w:rPr>
            </w:pPr>
            <w:r>
              <w:rPr>
                <w:rFonts w:ascii="Arial" w:hAnsi="Arial" w:eastAsia="宋体" w:cs="Arial"/>
                <w:kern w:val="0"/>
                <w:sz w:val="20"/>
                <w:szCs w:val="20"/>
                <w:lang w:bidi="ar"/>
              </w:rPr>
              <w:t>Activated partial thromboplastin time, s</w:t>
            </w:r>
          </w:p>
        </w:tc>
        <w:tc>
          <w:tcPr>
            <w:tcW w:w="1844" w:type="dxa"/>
            <w:tcBorders>
              <w:top w:val="nil"/>
              <w:left w:val="nil"/>
              <w:bottom w:val="single" w:color="auto" w:sz="12" w:space="0"/>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30.40 (5.50)</w:t>
            </w:r>
          </w:p>
        </w:tc>
        <w:tc>
          <w:tcPr>
            <w:tcW w:w="1985" w:type="dxa"/>
            <w:tcBorders>
              <w:top w:val="nil"/>
              <w:left w:val="nil"/>
              <w:bottom w:val="single" w:color="auto" w:sz="12" w:space="0"/>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31.60 (1.40)</w:t>
            </w:r>
          </w:p>
        </w:tc>
        <w:tc>
          <w:tcPr>
            <w:tcW w:w="1887" w:type="dxa"/>
            <w:tcBorders>
              <w:top w:val="nil"/>
              <w:left w:val="nil"/>
              <w:bottom w:val="single" w:color="auto" w:sz="12" w:space="0"/>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29.90 (5.7)</w:t>
            </w:r>
          </w:p>
        </w:tc>
        <w:tc>
          <w:tcPr>
            <w:tcW w:w="993" w:type="dxa"/>
            <w:tcBorders>
              <w:top w:val="nil"/>
              <w:left w:val="nil"/>
              <w:bottom w:val="single" w:color="auto" w:sz="12" w:space="0"/>
              <w:right w:val="nil"/>
            </w:tcBorders>
            <w:shd w:val="clear" w:color="auto" w:fill="auto"/>
            <w:vAlign w:val="center"/>
          </w:tcPr>
          <w:p>
            <w:pPr>
              <w:jc w:val="center"/>
              <w:rPr>
                <w:rFonts w:ascii="Arial" w:hAnsi="Arial" w:cs="Arial"/>
                <w:kern w:val="0"/>
                <w:sz w:val="20"/>
                <w:szCs w:val="20"/>
              </w:rPr>
            </w:pPr>
            <w:r>
              <w:rPr>
                <w:rFonts w:ascii="Arial" w:hAnsi="Arial" w:eastAsia="宋体" w:cs="Arial"/>
                <w:kern w:val="0"/>
                <w:sz w:val="20"/>
                <w:szCs w:val="20"/>
                <w:lang w:bidi="ar"/>
              </w:rPr>
              <w:t>0.248</w:t>
            </w:r>
          </w:p>
        </w:tc>
      </w:tr>
    </w:tbl>
    <w:p>
      <w:pPr>
        <w:rPr>
          <w:rFonts w:ascii="Arial" w:hAnsi="Arial" w:eastAsia="宋体" w:cs="Arial"/>
          <w:sz w:val="20"/>
          <w:szCs w:val="20"/>
          <w:lang w:bidi="ar"/>
        </w:rPr>
      </w:pPr>
      <w:r>
        <w:rPr>
          <w:rFonts w:ascii="Arial" w:hAnsi="Arial" w:eastAsia="宋体" w:cs="Arial"/>
          <w:sz w:val="20"/>
          <w:szCs w:val="20"/>
          <w:lang w:bidi="ar"/>
        </w:rPr>
        <w:t xml:space="preserve">Note: Values are median (IQR). </w:t>
      </w:r>
    </w:p>
    <w:p>
      <w:pPr>
        <w:rPr>
          <w:rFonts w:ascii="Arial" w:hAnsi="Arial" w:eastAsia="等线" w:cs="Arial"/>
          <w:sz w:val="20"/>
          <w:szCs w:val="20"/>
        </w:rPr>
      </w:pPr>
      <w:r>
        <w:rPr>
          <w:rFonts w:ascii="Arial" w:hAnsi="Arial" w:eastAsia="宋体" w:cs="Arial"/>
          <w:sz w:val="20"/>
          <w:szCs w:val="20"/>
          <w:lang w:bidi="ar"/>
        </w:rPr>
        <w:t>Abbreviations: AspRF-CAP, community-acquired pneumonia with aspiration risk factors; AP, aspiration pneumonia; BALF, bronchoalveolar lavage fluid.</w:t>
      </w:r>
    </w:p>
    <w:p>
      <w:pPr>
        <w:widowControl/>
        <w:jc w:val="left"/>
        <w:rPr>
          <w:rFonts w:ascii="Arial" w:hAnsi="Arial" w:cs="Arial"/>
          <w:sz w:val="20"/>
          <w:szCs w:val="20"/>
        </w:rPr>
      </w:pPr>
      <w:r>
        <w:rPr>
          <w:rFonts w:ascii="Arial" w:hAnsi="Arial" w:cs="Arial"/>
          <w:sz w:val="20"/>
          <w:szCs w:val="20"/>
        </w:rPr>
        <w:br w:type="page"/>
      </w:r>
    </w:p>
    <w:p>
      <w:pPr>
        <w:spacing w:line="480" w:lineRule="auto"/>
        <w:jc w:val="left"/>
        <w:rPr>
          <w:rFonts w:ascii="Arial" w:hAnsi="Arial" w:cs="Arial"/>
          <w:sz w:val="20"/>
          <w:szCs w:val="20"/>
        </w:rPr>
      </w:pPr>
      <w:bookmarkStart w:id="6" w:name="_GoBack"/>
      <w:r>
        <w:rPr>
          <w:rFonts w:ascii="Arial" w:hAnsi="Arial" w:cs="Arial"/>
          <w:sz w:val="20"/>
          <w:szCs w:val="20"/>
        </w:rPr>
        <w:drawing>
          <wp:inline distT="0" distB="0" distL="0" distR="0">
            <wp:extent cx="3134360" cy="4834890"/>
            <wp:effectExtent l="0" t="0" r="2540" b="3810"/>
            <wp:docPr id="1328487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8785"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4360" cy="4834890"/>
                    </a:xfrm>
                    <a:prstGeom prst="rect">
                      <a:avLst/>
                    </a:prstGeom>
                  </pic:spPr>
                </pic:pic>
              </a:graphicData>
            </a:graphic>
          </wp:inline>
        </w:drawing>
      </w:r>
      <w:bookmarkEnd w:id="6"/>
    </w:p>
    <w:p>
      <w:pPr>
        <w:spacing w:line="480" w:lineRule="auto"/>
        <w:rPr>
          <w:rFonts w:hint="eastAsia" w:ascii="Arial" w:hAnsi="Arial" w:cs="Arial"/>
          <w:b/>
          <w:bCs/>
          <w:sz w:val="20"/>
          <w:szCs w:val="20"/>
        </w:rPr>
      </w:pPr>
      <w:r>
        <w:rPr>
          <w:rFonts w:ascii="Arial" w:hAnsi="Arial" w:cs="Arial"/>
          <w:b/>
          <w:bCs/>
          <w:sz w:val="20"/>
          <w:szCs w:val="20"/>
        </w:rPr>
        <w:t xml:space="preserve">Figure S1. </w:t>
      </w:r>
      <w:r>
        <w:rPr>
          <w:rFonts w:ascii="Arial" w:hAnsi="Arial" w:cs="Arial"/>
          <w:sz w:val="20"/>
          <w:szCs w:val="20"/>
        </w:rPr>
        <w:t>The positive distribution and concordance of different diagnostic tools. (A) Pie chart demonstrating the positivity distribution and concordance between CMTs and CCID. (B) Pie chart demonstrating the positivity distribution and concordance between CMTs and mNGS. (C) Pie chart demonstrating the positivity distribution and concordance between CCID and mNGS</w:t>
      </w:r>
      <w:r>
        <w:rPr>
          <w:rFonts w:ascii="Arial" w:hAnsi="Arial" w:cs="Arial"/>
          <w:b/>
          <w:bCs/>
          <w:sz w:val="20"/>
          <w:szCs w:val="20"/>
        </w:rPr>
        <w:t xml:space="preserve">. </w:t>
      </w:r>
      <w:r>
        <w:rPr>
          <w:rFonts w:ascii="Arial" w:hAnsi="Arial" w:cs="Arial"/>
          <w:b/>
          <w:bCs/>
          <w:sz w:val="20"/>
          <w:szCs w:val="20"/>
        </w:rPr>
        <w:br w:type="page"/>
      </w:r>
    </w:p>
    <w:p>
      <w:pPr>
        <w:spacing w:line="480" w:lineRule="auto"/>
        <w:rPr>
          <w:rFonts w:ascii="Arial" w:hAnsi="Arial" w:cs="Arial"/>
          <w:b/>
          <w:bCs/>
          <w:sz w:val="20"/>
          <w:szCs w:val="20"/>
        </w:rPr>
      </w:pPr>
      <w:r>
        <w:rPr>
          <w:rFonts w:ascii="Arial" w:hAnsi="Arial" w:cs="Arial"/>
          <w:b/>
          <w:bCs/>
          <w:sz w:val="20"/>
          <w:szCs w:val="20"/>
        </w:rPr>
        <w:drawing>
          <wp:inline distT="0" distB="0" distL="0" distR="0">
            <wp:extent cx="2931795" cy="1955165"/>
            <wp:effectExtent l="0" t="0" r="1905" b="635"/>
            <wp:docPr id="395719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9607"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1795" cy="1955165"/>
                    </a:xfrm>
                    <a:prstGeom prst="rect">
                      <a:avLst/>
                    </a:prstGeom>
                  </pic:spPr>
                </pic:pic>
              </a:graphicData>
            </a:graphic>
          </wp:inline>
        </w:drawing>
      </w:r>
    </w:p>
    <w:p>
      <w:pPr>
        <w:spacing w:line="480" w:lineRule="auto"/>
        <w:rPr>
          <w:rFonts w:ascii="Arial" w:hAnsi="Arial" w:cs="Arial"/>
          <w:sz w:val="20"/>
          <w:szCs w:val="20"/>
        </w:rPr>
      </w:pPr>
      <w:r>
        <w:rPr>
          <w:rFonts w:hint="eastAsia" w:ascii="Arial" w:hAnsi="Arial" w:cs="Arial"/>
          <w:b/>
          <w:bCs/>
          <w:sz w:val="20"/>
          <w:szCs w:val="20"/>
        </w:rPr>
        <w:t xml:space="preserve">Figure S2. </w:t>
      </w:r>
      <w:r>
        <w:rPr>
          <w:rFonts w:ascii="Arial" w:hAnsi="Arial" w:cs="Arial"/>
          <w:sz w:val="20"/>
          <w:szCs w:val="20"/>
        </w:rPr>
        <w:t>T</w:t>
      </w:r>
      <w:r>
        <w:rPr>
          <w:rFonts w:hint="eastAsia" w:ascii="Arial" w:hAnsi="Arial" w:cs="Arial"/>
          <w:sz w:val="20"/>
          <w:szCs w:val="20"/>
        </w:rPr>
        <w:t xml:space="preserve">he </w:t>
      </w:r>
      <w:r>
        <w:rPr>
          <w:rFonts w:ascii="Arial" w:hAnsi="Arial" w:cs="Arial"/>
          <w:sz w:val="20"/>
          <w:szCs w:val="20"/>
        </w:rPr>
        <w:t xml:space="preserve">positive </w:t>
      </w:r>
      <w:r>
        <w:rPr>
          <w:rFonts w:hint="eastAsia" w:ascii="Arial" w:hAnsi="Arial" w:cs="Arial"/>
          <w:sz w:val="20"/>
          <w:szCs w:val="20"/>
        </w:rPr>
        <w:t>rates of different detection methods</w:t>
      </w:r>
      <w:r>
        <w:rPr>
          <w:rFonts w:ascii="Arial" w:hAnsi="Arial" w:cs="Arial"/>
          <w:sz w:val="20"/>
          <w:szCs w:val="20"/>
        </w:rPr>
        <w:t xml:space="preserve"> in patients treated with antibiotics for ≤3 days and &gt; 3 days.</w:t>
      </w:r>
      <w:r>
        <w:rPr>
          <w:rFonts w:hint="eastAsia" w:ascii="Arial" w:hAnsi="Arial" w:cs="Arial"/>
          <w:sz w:val="20"/>
          <w:szCs w:val="20"/>
        </w:rPr>
        <w:t xml:space="preserve"> </w:t>
      </w:r>
      <w:r>
        <w:rPr>
          <w:rFonts w:ascii="Arial" w:hAnsi="Arial" w:cs="Arial"/>
          <w:sz w:val="20"/>
          <w:szCs w:val="20"/>
        </w:rPr>
        <w:t>In 12 patients who had used antibiotics for &gt; 3 days at the time of specimen collection, the positive rates of CMTs, CCID, and mNGS were 58.33% (7/12), 100% (12/12), and 83.33% (10/12), respectively, whereas of which patients treated with antibiotics for ≤ 3 days, the positive rates of CMTs, CCID, and mNGS were 86.67% (13/15), 86.67% (13/15), and 93.33% (14/15), respectively.</w:t>
      </w:r>
      <w:r>
        <w:rPr>
          <w:rFonts w:hint="eastAsia" w:ascii="Arial" w:hAnsi="Arial" w:cs="Arial"/>
          <w:sz w:val="20"/>
          <w:szCs w:val="20"/>
        </w:rPr>
        <w:t xml:space="preserve"> </w:t>
      </w:r>
      <w:r>
        <w:rPr>
          <w:rFonts w:ascii="Arial" w:hAnsi="Arial" w:cs="Arial"/>
          <w:sz w:val="20"/>
          <w:szCs w:val="20"/>
        </w:rPr>
        <w:t>No significant difference was observed</w:t>
      </w:r>
      <w:r>
        <w:rPr>
          <w:rFonts w:hint="eastAsia" w:ascii="Arial" w:hAnsi="Arial" w:cs="Arial"/>
          <w:sz w:val="20"/>
          <w:szCs w:val="20"/>
        </w:rPr>
        <w:t>.</w:t>
      </w:r>
    </w:p>
    <w:sectPr>
      <w:footerReference r:id="rId3" w:type="default"/>
      <w:pgSz w:w="11906" w:h="16838"/>
      <w:pgMar w:top="1440" w:right="1800" w:bottom="1440" w:left="1800" w:header="851" w:footer="992" w:gutter="0"/>
      <w:lnNumType w:countBy="1" w:restart="continuou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733532"/>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NzhmZWYxM2NkNjlhNGMwOTIzMGQxNTBjMGY0M2UifQ=="/>
  </w:docVars>
  <w:rsids>
    <w:rsidRoot w:val="00942201"/>
    <w:rsid w:val="000011A3"/>
    <w:rsid w:val="00023162"/>
    <w:rsid w:val="0008282B"/>
    <w:rsid w:val="001825A8"/>
    <w:rsid w:val="001D1BEE"/>
    <w:rsid w:val="003D2102"/>
    <w:rsid w:val="00416C21"/>
    <w:rsid w:val="004414F6"/>
    <w:rsid w:val="004819B6"/>
    <w:rsid w:val="00482F38"/>
    <w:rsid w:val="0049330D"/>
    <w:rsid w:val="0049693A"/>
    <w:rsid w:val="00507303"/>
    <w:rsid w:val="00515EB9"/>
    <w:rsid w:val="005A6621"/>
    <w:rsid w:val="00640667"/>
    <w:rsid w:val="006717B7"/>
    <w:rsid w:val="006961EC"/>
    <w:rsid w:val="00747914"/>
    <w:rsid w:val="00797FFE"/>
    <w:rsid w:val="007F64F2"/>
    <w:rsid w:val="0080179A"/>
    <w:rsid w:val="008A6278"/>
    <w:rsid w:val="00942201"/>
    <w:rsid w:val="00A60632"/>
    <w:rsid w:val="00AD43B6"/>
    <w:rsid w:val="00AE141C"/>
    <w:rsid w:val="00B423BA"/>
    <w:rsid w:val="00B95B07"/>
    <w:rsid w:val="00C14450"/>
    <w:rsid w:val="00C15F6C"/>
    <w:rsid w:val="00CF3B01"/>
    <w:rsid w:val="00D340EB"/>
    <w:rsid w:val="00DA5E98"/>
    <w:rsid w:val="00E252FD"/>
    <w:rsid w:val="00E41CC5"/>
    <w:rsid w:val="00EC12EC"/>
    <w:rsid w:val="00F84B07"/>
    <w:rsid w:val="0F58244A"/>
    <w:rsid w:val="248A5BA6"/>
    <w:rsid w:val="2BDD7600"/>
    <w:rsid w:val="48544561"/>
    <w:rsid w:val="74CA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0"/>
    <w:pPr>
      <w:keepNext/>
      <w:widowControl/>
      <w:spacing w:before="240" w:after="60" w:line="480" w:lineRule="auto"/>
      <w:jc w:val="left"/>
      <w:outlineLvl w:val="0"/>
    </w:pPr>
    <w:rPr>
      <w:rFonts w:ascii="Arial" w:hAnsi="Arial" w:cs="Arial"/>
      <w:b/>
      <w:bCs/>
      <w:kern w:val="32"/>
      <w:sz w:val="32"/>
      <w:szCs w:val="32"/>
      <w:lang w:eastAsia="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line number"/>
    <w:basedOn w:val="7"/>
    <w:autoRedefine/>
    <w:semiHidden/>
    <w:unhideWhenUsed/>
    <w:qFormat/>
    <w:uiPriority w:val="99"/>
  </w:style>
  <w:style w:type="character" w:styleId="9">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character" w:customStyle="1" w:styleId="12">
    <w:name w:val="标题 1 字符"/>
    <w:basedOn w:val="7"/>
    <w:link w:val="2"/>
    <w:autoRedefine/>
    <w:uiPriority w:val="0"/>
    <w:rPr>
      <w:rFonts w:ascii="Arial" w:hAnsi="Arial" w:cs="Arial" w:eastAsiaTheme="minorEastAsia"/>
      <w:b/>
      <w:bCs/>
      <w:kern w:val="32"/>
      <w:sz w:val="32"/>
      <w:szCs w:val="32"/>
      <w:lang w:eastAsia="en-US"/>
    </w:rPr>
  </w:style>
  <w:style w:type="character" w:customStyle="1" w:styleId="13">
    <w:name w:val="未处理的提及1"/>
    <w:basedOn w:val="7"/>
    <w:autoRedefine/>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550</Words>
  <Characters>3141</Characters>
  <Lines>26</Lines>
  <Paragraphs>7</Paragraphs>
  <TotalTime>2</TotalTime>
  <ScaleCrop>false</ScaleCrop>
  <LinksUpToDate>false</LinksUpToDate>
  <CharactersWithSpaces>3684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2023-10-19T05:35:00Z</dcterms:created>
  <dc:creator>hui xu</dc:creator>
  <cp:lastModifiedBy>许惠</cp:lastModifiedBy>
  <dcterms:modified xsi:type="dcterms:W3CDTF">2024-04-28T06:44:49Z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44E4B62F41524F6B9B3764BDE16BFB2B_13</vt:lpwstr>
  </property>
</Properties>
</file>