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57F8B" w14:textId="56D8B408" w:rsidR="00392A7D" w:rsidRPr="00CA5151" w:rsidRDefault="00392A7D" w:rsidP="00FE48AD">
      <w:pPr>
        <w:widowControl/>
        <w:jc w:val="center"/>
        <w:rPr>
          <w:rFonts w:ascii="Arial" w:hAnsi="Arial" w:cs="Arial"/>
          <w:b/>
          <w:bCs/>
          <w:kern w:val="32"/>
          <w:sz w:val="32"/>
          <w:szCs w:val="32"/>
          <w:lang w:eastAsia="en-US"/>
        </w:rPr>
      </w:pPr>
      <w:r w:rsidRPr="00CA5151">
        <w:rPr>
          <w:rFonts w:ascii="Arial" w:hAnsi="Arial" w:cs="Arial" w:hint="eastAsia"/>
          <w:b/>
          <w:bCs/>
          <w:kern w:val="32"/>
          <w:sz w:val="32"/>
          <w:szCs w:val="32"/>
          <w:lang w:eastAsia="en-US"/>
        </w:rPr>
        <w:t>S</w:t>
      </w:r>
      <w:r w:rsidRPr="00CA5151">
        <w:rPr>
          <w:rFonts w:ascii="Arial" w:hAnsi="Arial" w:cs="Arial"/>
          <w:b/>
          <w:bCs/>
          <w:kern w:val="32"/>
          <w:sz w:val="32"/>
          <w:szCs w:val="32"/>
          <w:lang w:eastAsia="en-US"/>
        </w:rPr>
        <w:t>upporting Information</w:t>
      </w:r>
    </w:p>
    <w:p w14:paraId="08648E53" w14:textId="77777777" w:rsidR="00392A7D" w:rsidRPr="00CA5151" w:rsidRDefault="00392A7D">
      <w:pPr>
        <w:rPr>
          <w:noProof/>
        </w:rPr>
      </w:pPr>
    </w:p>
    <w:p w14:paraId="65AB4467" w14:textId="6175D952" w:rsidR="0070532B" w:rsidRDefault="00CA5151">
      <w:r>
        <w:rPr>
          <w:noProof/>
        </w:rPr>
        <w:drawing>
          <wp:inline distT="0" distB="0" distL="0" distR="0" wp14:anchorId="0BDB3471" wp14:editId="4CFEAE69">
            <wp:extent cx="5274310" cy="2966720"/>
            <wp:effectExtent l="0" t="0" r="2540" b="5080"/>
            <wp:docPr id="16765394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5F562" w14:textId="01578501" w:rsidR="00392A7D" w:rsidRDefault="00392A7D" w:rsidP="00392A7D">
      <w:pPr>
        <w:pStyle w:val="NormalWeb"/>
        <w:widowControl/>
        <w:spacing w:beforeAutospacing="0" w:afterAutospacing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Figure S1.</w:t>
      </w:r>
      <w:r>
        <w:rPr>
          <w:rFonts w:ascii="Times New Roman" w:hAnsi="Times New Roman"/>
          <w:szCs w:val="24"/>
        </w:rPr>
        <w:t xml:space="preserve"> </w:t>
      </w:r>
      <w:r w:rsidR="00CA5151">
        <w:rPr>
          <w:rFonts w:ascii="Times New Roman" w:hAnsi="Times New Roman" w:hint="eastAsia"/>
          <w:szCs w:val="24"/>
        </w:rPr>
        <w:t>Fluorescence imaging analysis of tissue d</w:t>
      </w:r>
      <w:r w:rsidR="00CA5151" w:rsidRPr="00CA5151">
        <w:rPr>
          <w:rFonts w:ascii="Times New Roman" w:hAnsi="Times New Roman"/>
          <w:szCs w:val="24"/>
        </w:rPr>
        <w:t xml:space="preserve">istribution </w:t>
      </w:r>
      <w:r w:rsidR="00CA5151">
        <w:rPr>
          <w:rFonts w:ascii="Times New Roman" w:hAnsi="Times New Roman" w:hint="eastAsia"/>
          <w:szCs w:val="24"/>
        </w:rPr>
        <w:t xml:space="preserve">from </w:t>
      </w:r>
      <w:r w:rsidR="00CA5151" w:rsidRPr="00CA5151">
        <w:rPr>
          <w:rFonts w:ascii="Times New Roman" w:hAnsi="Times New Roman"/>
          <w:szCs w:val="24"/>
        </w:rPr>
        <w:t>melanoma</w:t>
      </w:r>
      <w:r w:rsidR="00CA5151">
        <w:rPr>
          <w:rFonts w:ascii="Times New Roman" w:hAnsi="Times New Roman" w:hint="eastAsia"/>
          <w:szCs w:val="24"/>
        </w:rPr>
        <w:t xml:space="preserve"> xenograft-bearing mice after intravenous administration</w:t>
      </w:r>
      <w:r w:rsidR="00CA5151" w:rsidRPr="00CA5151">
        <w:rPr>
          <w:rFonts w:ascii="Times New Roman" w:hAnsi="Times New Roman"/>
          <w:szCs w:val="24"/>
        </w:rPr>
        <w:t xml:space="preserve"> </w:t>
      </w:r>
      <w:r w:rsidR="00CA5151">
        <w:rPr>
          <w:rFonts w:ascii="Times New Roman" w:hAnsi="Times New Roman" w:hint="eastAsia"/>
          <w:szCs w:val="24"/>
        </w:rPr>
        <w:t>of</w:t>
      </w:r>
      <w:r w:rsidR="00CA5151" w:rsidRPr="00CA5151">
        <w:rPr>
          <w:rFonts w:ascii="Times New Roman" w:hAnsi="Times New Roman"/>
          <w:szCs w:val="24"/>
        </w:rPr>
        <w:t xml:space="preserve"> CTX and CTX@PSL</w:t>
      </w:r>
      <w:r w:rsidR="00CA5151">
        <w:rPr>
          <w:rFonts w:ascii="Times New Roman" w:hAnsi="Times New Roman" w:hint="eastAsia"/>
          <w:szCs w:val="24"/>
        </w:rPr>
        <w:t xml:space="preserve"> at</w:t>
      </w:r>
      <w:r w:rsidR="00CA5151" w:rsidRPr="00CA5151">
        <w:rPr>
          <w:rFonts w:ascii="Times New Roman" w:hAnsi="Times New Roman"/>
          <w:szCs w:val="24"/>
        </w:rPr>
        <w:t xml:space="preserve"> </w:t>
      </w:r>
      <w:r w:rsidR="00CA5151">
        <w:rPr>
          <w:rFonts w:ascii="Times New Roman" w:hAnsi="Times New Roman" w:hint="eastAsia"/>
          <w:szCs w:val="24"/>
        </w:rPr>
        <w:t>different time</w:t>
      </w:r>
      <w:r w:rsidR="00117D95">
        <w:rPr>
          <w:rFonts w:ascii="Times New Roman" w:hAnsi="Times New Roman" w:hint="eastAsia"/>
          <w:szCs w:val="24"/>
        </w:rPr>
        <w:t xml:space="preserve">, </w:t>
      </w:r>
      <w:r w:rsidR="00117D95" w:rsidRPr="00117D95">
        <w:rPr>
          <w:rFonts w:ascii="Times New Roman" w:hAnsi="Times New Roman" w:hint="eastAsia"/>
          <w:szCs w:val="24"/>
        </w:rPr>
        <w:t xml:space="preserve">Data are Mean </w:t>
      </w:r>
      <w:r w:rsidR="00117D95" w:rsidRPr="00117D95">
        <w:rPr>
          <w:rFonts w:ascii="Times New Roman" w:hAnsi="Times New Roman" w:hint="eastAsia"/>
          <w:szCs w:val="24"/>
        </w:rPr>
        <w:t>±</w:t>
      </w:r>
      <w:r w:rsidR="00117D95" w:rsidRPr="00117D95">
        <w:rPr>
          <w:rFonts w:ascii="Times New Roman" w:hAnsi="Times New Roman" w:hint="eastAsia"/>
          <w:szCs w:val="24"/>
        </w:rPr>
        <w:t xml:space="preserve"> SD (n=</w:t>
      </w:r>
      <w:r w:rsidR="00117D95">
        <w:rPr>
          <w:rFonts w:ascii="Times New Roman" w:hAnsi="Times New Roman" w:hint="eastAsia"/>
          <w:szCs w:val="24"/>
        </w:rPr>
        <w:t>5</w:t>
      </w:r>
      <w:r w:rsidR="00117D95" w:rsidRPr="00117D95">
        <w:rPr>
          <w:rFonts w:ascii="Times New Roman" w:hAnsi="Times New Roman" w:hint="eastAsia"/>
          <w:szCs w:val="24"/>
        </w:rPr>
        <w:t>).</w:t>
      </w:r>
    </w:p>
    <w:p w14:paraId="3745B279" w14:textId="07DCAF64" w:rsidR="00117D95" w:rsidRDefault="00117D95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507F8354" w14:textId="6C774958" w:rsidR="00FE48AD" w:rsidRPr="00117D95" w:rsidRDefault="00117D95" w:rsidP="00117D95">
      <w:pPr>
        <w:pStyle w:val="NormalWeb"/>
        <w:widowControl/>
        <w:spacing w:beforeAutospacing="0" w:afterAutospacing="0" w:line="360" w:lineRule="auto"/>
        <w:jc w:val="both"/>
        <w:rPr>
          <w:rFonts w:ascii="Times New Roman" w:hAnsi="Times New Roman"/>
          <w:b/>
          <w:bCs/>
          <w:szCs w:val="24"/>
        </w:rPr>
      </w:pPr>
      <w:r w:rsidRPr="00117D95">
        <w:rPr>
          <w:rFonts w:ascii="Times New Roman" w:hAnsi="Times New Roman" w:hint="eastAsia"/>
          <w:b/>
          <w:bCs/>
          <w:szCs w:val="24"/>
        </w:rPr>
        <w:lastRenderedPageBreak/>
        <w:t xml:space="preserve">Table S1. </w:t>
      </w:r>
      <w:r w:rsidRPr="00117D95">
        <w:rPr>
          <w:rFonts w:ascii="Times New Roman" w:hAnsi="Times New Roman"/>
          <w:bCs/>
          <w:szCs w:val="24"/>
        </w:rPr>
        <w:t>Storage stability evaluation</w:t>
      </w:r>
      <w:r w:rsidRPr="00117D95">
        <w:rPr>
          <w:rFonts w:ascii="Times New Roman" w:hAnsi="Times New Roman" w:hint="eastAsia"/>
          <w:bCs/>
          <w:szCs w:val="24"/>
        </w:rPr>
        <w:t xml:space="preserve"> of </w:t>
      </w:r>
      <w:r w:rsidRPr="00117D95">
        <w:rPr>
          <w:rFonts w:ascii="Times New Roman" w:hAnsi="Times New Roman"/>
          <w:szCs w:val="24"/>
        </w:rPr>
        <w:t>CTX@PSL</w:t>
      </w:r>
      <w:r>
        <w:rPr>
          <w:rFonts w:ascii="Times New Roman" w:hAnsi="Times New Roman" w:hint="eastAsia"/>
          <w:szCs w:val="24"/>
        </w:rPr>
        <w:t xml:space="preserve">, </w:t>
      </w:r>
      <w:r w:rsidRPr="00117D95">
        <w:rPr>
          <w:rFonts w:ascii="Times New Roman" w:hAnsi="Times New Roman" w:hint="eastAsia"/>
          <w:szCs w:val="24"/>
        </w:rPr>
        <w:t xml:space="preserve">Data are Mean </w:t>
      </w:r>
      <w:r w:rsidRPr="00117D95">
        <w:rPr>
          <w:rFonts w:ascii="Times New Roman" w:hAnsi="Times New Roman" w:hint="eastAsia"/>
          <w:szCs w:val="24"/>
        </w:rPr>
        <w:t>±</w:t>
      </w:r>
      <w:r w:rsidRPr="00117D95">
        <w:rPr>
          <w:rFonts w:ascii="Times New Roman" w:hAnsi="Times New Roman" w:hint="eastAsia"/>
          <w:szCs w:val="24"/>
        </w:rPr>
        <w:t xml:space="preserve"> SD (n=</w:t>
      </w:r>
      <w:r>
        <w:rPr>
          <w:rFonts w:ascii="Times New Roman" w:hAnsi="Times New Roman" w:hint="eastAsia"/>
          <w:szCs w:val="24"/>
        </w:rPr>
        <w:t>3</w:t>
      </w:r>
      <w:r w:rsidRPr="00117D95">
        <w:rPr>
          <w:rFonts w:ascii="Times New Roman" w:hAnsi="Times New Roman" w:hint="eastAsia"/>
          <w:szCs w:val="24"/>
        </w:rPr>
        <w:t>)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562"/>
        <w:gridCol w:w="1975"/>
        <w:gridCol w:w="2175"/>
        <w:gridCol w:w="2224"/>
      </w:tblGrid>
      <w:tr w:rsidR="00117D95" w14:paraId="72ECC47F" w14:textId="77777777" w:rsidTr="003C3E57">
        <w:trPr>
          <w:trHeight w:val="280"/>
          <w:jc w:val="center"/>
        </w:trPr>
        <w:tc>
          <w:tcPr>
            <w:tcW w:w="1990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14793CC" w14:textId="77777777" w:rsidR="00117D95" w:rsidRDefault="00117D95" w:rsidP="003C3E57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lang w:eastAsia="zh-CN"/>
              </w:rPr>
              <w:t>Time</w:t>
            </w: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</w:rPr>
              <w:t>（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color w:val="000000" w:themeColor="text1"/>
                <w:lang w:eastAsia="zh-CN"/>
              </w:rPr>
              <w:t>day</w:t>
            </w: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</w:rPr>
              <w:t>）</w:t>
            </w:r>
          </w:p>
        </w:tc>
        <w:tc>
          <w:tcPr>
            <w:tcW w:w="562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1FDB666" w14:textId="77777777" w:rsidR="00117D95" w:rsidRDefault="00117D95" w:rsidP="003C3E57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</w:t>
            </w:r>
          </w:p>
        </w:tc>
        <w:tc>
          <w:tcPr>
            <w:tcW w:w="1975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D4B573A" w14:textId="77777777" w:rsidR="00117D95" w:rsidRPr="003E2DD4" w:rsidRDefault="00117D95" w:rsidP="003C3E57">
            <w:pPr>
              <w:pStyle w:val="MDPI42tablebody"/>
              <w:spacing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lang w:eastAsia="zh-CN"/>
              </w:rPr>
              <w:t>1</w:t>
            </w:r>
          </w:p>
        </w:tc>
        <w:tc>
          <w:tcPr>
            <w:tcW w:w="2175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E5DFC54" w14:textId="77777777" w:rsidR="00117D95" w:rsidRPr="003E2DD4" w:rsidRDefault="00117D95" w:rsidP="003C3E57">
            <w:pPr>
              <w:pStyle w:val="MDPI42tablebody"/>
              <w:spacing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lang w:eastAsia="zh-CN"/>
              </w:rPr>
              <w:t>7</w:t>
            </w:r>
          </w:p>
        </w:tc>
        <w:tc>
          <w:tcPr>
            <w:tcW w:w="2224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6A5D518" w14:textId="77777777" w:rsidR="00117D95" w:rsidRPr="003E2DD4" w:rsidRDefault="00117D95" w:rsidP="003C3E57">
            <w:pPr>
              <w:pStyle w:val="MDPI42tablebody"/>
              <w:spacing w:line="240" w:lineRule="auto"/>
              <w:rPr>
                <w:rFonts w:ascii="Arial" w:eastAsiaTheme="minorEastAsia" w:hAnsi="Arial" w:cs="Arial"/>
                <w:b/>
                <w:bCs/>
                <w:color w:val="000000" w:themeColor="text1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 w:themeColor="text1"/>
                <w:lang w:eastAsia="zh-CN"/>
              </w:rPr>
              <w:t>15</w:t>
            </w:r>
          </w:p>
        </w:tc>
      </w:tr>
      <w:tr w:rsidR="00117D95" w14:paraId="4648448A" w14:textId="77777777" w:rsidTr="003C3E57">
        <w:trPr>
          <w:trHeight w:val="280"/>
          <w:jc w:val="center"/>
        </w:trPr>
        <w:tc>
          <w:tcPr>
            <w:tcW w:w="199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14:paraId="003B209F" w14:textId="77777777" w:rsidR="00117D95" w:rsidRDefault="00117D95" w:rsidP="003C3E57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E2DD4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zeta potential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14:paraId="775F1733" w14:textId="77777777" w:rsidR="00117D95" w:rsidRDefault="00117D95" w:rsidP="003C3E57">
            <w:pPr>
              <w:pStyle w:val="MDPI42tablebody"/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lang w:eastAsia="zh-CN"/>
              </w:rPr>
              <w:t>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14:paraId="1609FC83" w14:textId="77777777" w:rsidR="00117D95" w:rsidRPr="00343230" w:rsidRDefault="00117D95" w:rsidP="003C3E57">
            <w:pPr>
              <w:pStyle w:val="MDPI42tablebody"/>
              <w:spacing w:line="240" w:lineRule="auto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lang w:eastAsia="zh-CN"/>
              </w:rPr>
              <w:t>-</w:t>
            </w:r>
            <w:r>
              <w:rPr>
                <w:rFonts w:ascii="Arial" w:eastAsiaTheme="minorEastAsia" w:hAnsi="Arial" w:cs="Arial" w:hint="eastAsia"/>
                <w:color w:val="000000" w:themeColor="text1"/>
                <w:lang w:eastAsia="zh-CN"/>
              </w:rPr>
              <w:t>18.9</w:t>
            </w:r>
            <w:r>
              <w:rPr>
                <w:rFonts w:ascii="Arial" w:hAnsi="Arial" w:cs="Arial"/>
                <w:color w:val="000000" w:themeColor="text1"/>
              </w:rPr>
              <w:t xml:space="preserve"> ± </w:t>
            </w:r>
            <w:r>
              <w:rPr>
                <w:rFonts w:ascii="Arial" w:eastAsiaTheme="minorEastAsia" w:hAnsi="Arial" w:cs="Arial" w:hint="eastAsia"/>
                <w:color w:val="000000" w:themeColor="text1"/>
                <w:lang w:eastAsia="zh-CN"/>
              </w:rPr>
              <w:t>0.00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14:paraId="1828EE8E" w14:textId="77777777" w:rsidR="00117D95" w:rsidRPr="00343230" w:rsidRDefault="00117D95" w:rsidP="003C3E57">
            <w:pPr>
              <w:pStyle w:val="MDPI42tablebody"/>
              <w:spacing w:line="240" w:lineRule="auto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lang w:eastAsia="zh-CN"/>
              </w:rPr>
              <w:t>-</w:t>
            </w:r>
            <w:r>
              <w:rPr>
                <w:rFonts w:ascii="Arial" w:eastAsiaTheme="minorEastAsia" w:hAnsi="Arial" w:cs="Arial" w:hint="eastAsia"/>
                <w:color w:val="000000" w:themeColor="text1"/>
                <w:lang w:eastAsia="zh-CN"/>
              </w:rPr>
              <w:t>20.03</w:t>
            </w:r>
            <w:r w:rsidRPr="0034323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 xml:space="preserve"> ±</w:t>
            </w:r>
            <w:r>
              <w:rPr>
                <w:rFonts w:ascii="Arial" w:eastAsiaTheme="minorEastAsia" w:hAnsi="Arial" w:cs="Arial" w:hint="eastAsia"/>
                <w:color w:val="000000" w:themeColor="text1"/>
                <w:lang w:eastAsia="zh-CN"/>
              </w:rPr>
              <w:t xml:space="preserve"> 0.46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14:paraId="75548391" w14:textId="77777777" w:rsidR="00117D95" w:rsidRPr="00343230" w:rsidRDefault="00117D95" w:rsidP="003C3E57">
            <w:pPr>
              <w:pStyle w:val="MDPI42tablebody"/>
              <w:spacing w:line="240" w:lineRule="auto"/>
              <w:rPr>
                <w:rFonts w:ascii="Arial" w:eastAsiaTheme="minorEastAsia" w:hAnsi="Arial" w:cs="Arial"/>
                <w:color w:val="000000" w:themeColor="text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lang w:eastAsia="zh-CN"/>
              </w:rPr>
              <w:t>-</w:t>
            </w:r>
            <w:r>
              <w:rPr>
                <w:rFonts w:ascii="Arial" w:eastAsiaTheme="minorEastAsia" w:hAnsi="Arial" w:cs="Arial" w:hint="eastAsia"/>
                <w:color w:val="000000" w:themeColor="text1"/>
                <w:lang w:eastAsia="zh-CN"/>
              </w:rPr>
              <w:t>23.17</w:t>
            </w:r>
            <w:r w:rsidRPr="00343230">
              <w:rPr>
                <w:rFonts w:ascii="Arial" w:eastAsiaTheme="minorEastAsia" w:hAnsi="Arial" w:cs="Arial"/>
                <w:color w:val="000000" w:themeColor="text1"/>
                <w:lang w:eastAsia="zh-CN"/>
              </w:rPr>
              <w:t xml:space="preserve"> ±</w:t>
            </w:r>
            <w:r>
              <w:rPr>
                <w:rFonts w:ascii="Arial" w:eastAsiaTheme="minorEastAsia" w:hAnsi="Arial" w:cs="Arial" w:hint="eastAsia"/>
                <w:color w:val="000000" w:themeColor="text1"/>
                <w:lang w:eastAsia="zh-CN"/>
              </w:rPr>
              <w:t xml:space="preserve"> 0.23</w:t>
            </w:r>
          </w:p>
        </w:tc>
      </w:tr>
    </w:tbl>
    <w:p w14:paraId="3AA8351B" w14:textId="431D34E1" w:rsidR="00663310" w:rsidRPr="00663310" w:rsidRDefault="00663310" w:rsidP="00663310"/>
    <w:sectPr w:rsidR="00663310" w:rsidRPr="00663310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C94DD" w14:textId="77777777" w:rsidR="004154FB" w:rsidRDefault="004154FB" w:rsidP="00113DF3">
      <w:r>
        <w:separator/>
      </w:r>
    </w:p>
  </w:endnote>
  <w:endnote w:type="continuationSeparator" w:id="0">
    <w:p w14:paraId="165DEC59" w14:textId="77777777" w:rsidR="004154FB" w:rsidRDefault="004154FB" w:rsidP="0011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FB4BB" w14:textId="1DD768BF" w:rsidR="001E0ED4" w:rsidRDefault="001E0E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DA38E8" wp14:editId="04BC1F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2088400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FEB1A" w14:textId="408AECFB" w:rsidR="001E0ED4" w:rsidRPr="001E0ED4" w:rsidRDefault="001E0ED4" w:rsidP="001E0ED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E0ED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A38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11FEB1A" w14:textId="408AECFB" w:rsidR="001E0ED4" w:rsidRPr="001E0ED4" w:rsidRDefault="001E0ED4" w:rsidP="001E0ED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E0ED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42FB3" w14:textId="245E02E3" w:rsidR="001E0ED4" w:rsidRDefault="001E0E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A18EF0" wp14:editId="4A03A0D2">
              <wp:simplePos x="1145263" y="992259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1229164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8FBC8" w14:textId="41BFDF41" w:rsidR="001E0ED4" w:rsidRPr="001E0ED4" w:rsidRDefault="001E0ED4" w:rsidP="001E0ED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E0ED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18E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558FBC8" w14:textId="41BFDF41" w:rsidR="001E0ED4" w:rsidRPr="001E0ED4" w:rsidRDefault="001E0ED4" w:rsidP="001E0ED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E0ED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0D908" w14:textId="2B14D5B8" w:rsidR="001E0ED4" w:rsidRDefault="001E0E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57AB11" wp14:editId="0ACDD0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9304276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93A56" w14:textId="63DFF717" w:rsidR="001E0ED4" w:rsidRPr="001E0ED4" w:rsidRDefault="001E0ED4" w:rsidP="001E0ED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E0ED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7AB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5193A56" w14:textId="63DFF717" w:rsidR="001E0ED4" w:rsidRPr="001E0ED4" w:rsidRDefault="001E0ED4" w:rsidP="001E0ED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E0ED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B2966" w14:textId="77777777" w:rsidR="004154FB" w:rsidRDefault="004154FB" w:rsidP="00113DF3">
      <w:r>
        <w:separator/>
      </w:r>
    </w:p>
  </w:footnote>
  <w:footnote w:type="continuationSeparator" w:id="0">
    <w:p w14:paraId="271EE902" w14:textId="77777777" w:rsidR="004154FB" w:rsidRDefault="004154FB" w:rsidP="00113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1A87305"/>
    <w:multiLevelType w:val="singleLevel"/>
    <w:tmpl w:val="F1A87305"/>
    <w:lvl w:ilvl="0">
      <w:start w:val="3"/>
      <w:numFmt w:val="upperLetter"/>
      <w:suff w:val="space"/>
      <w:lvlText w:val="%1."/>
      <w:lvlJc w:val="left"/>
    </w:lvl>
  </w:abstractNum>
  <w:num w:numId="1" w16cid:durableId="212090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8AD"/>
    <w:rsid w:val="00113DF3"/>
    <w:rsid w:val="00117D95"/>
    <w:rsid w:val="001417EA"/>
    <w:rsid w:val="001B1A64"/>
    <w:rsid w:val="001E0ED4"/>
    <w:rsid w:val="002C13DE"/>
    <w:rsid w:val="00392A7D"/>
    <w:rsid w:val="004154FB"/>
    <w:rsid w:val="00421058"/>
    <w:rsid w:val="00482EFC"/>
    <w:rsid w:val="005D17CF"/>
    <w:rsid w:val="00663310"/>
    <w:rsid w:val="0070532B"/>
    <w:rsid w:val="00752FD8"/>
    <w:rsid w:val="007E6940"/>
    <w:rsid w:val="0083622C"/>
    <w:rsid w:val="00876E1E"/>
    <w:rsid w:val="00931E64"/>
    <w:rsid w:val="009628F6"/>
    <w:rsid w:val="00A4551F"/>
    <w:rsid w:val="00AF6859"/>
    <w:rsid w:val="00B32B42"/>
    <w:rsid w:val="00B7739D"/>
    <w:rsid w:val="00CA5151"/>
    <w:rsid w:val="00CE1942"/>
    <w:rsid w:val="00E96439"/>
    <w:rsid w:val="00F56BDC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5583D"/>
  <w15:docId w15:val="{58553AF4-494C-47A8-B936-138AA5C3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8AD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qFormat/>
    <w:rsid w:val="00CA5151"/>
    <w:pPr>
      <w:keepNext/>
      <w:widowControl/>
      <w:spacing w:before="240" w:after="60" w:line="48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List">
    <w:name w:val="Author List"/>
    <w:basedOn w:val="Subtitle"/>
    <w:next w:val="Normal"/>
    <w:qFormat/>
    <w:rsid w:val="00FE48AD"/>
    <w:pPr>
      <w:widowControl/>
      <w:spacing w:after="240" w:line="240" w:lineRule="auto"/>
      <w:jc w:val="left"/>
      <w:outlineLvl w:val="9"/>
    </w:pPr>
    <w:rPr>
      <w:rFonts w:ascii="Times New Roman" w:eastAsia="SimSun" w:hAnsi="Times New Roman" w:cs="Times New Roman"/>
      <w:bCs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8AD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E48AD"/>
    <w:rPr>
      <w:b/>
      <w:bCs/>
      <w:kern w:val="28"/>
      <w:sz w:val="32"/>
      <w:szCs w:val="32"/>
    </w:rPr>
  </w:style>
  <w:style w:type="paragraph" w:styleId="NormalWeb">
    <w:name w:val="Normal (Web)"/>
    <w:basedOn w:val="Normal"/>
    <w:link w:val="NormalWebChar"/>
    <w:uiPriority w:val="99"/>
    <w:unhideWhenUsed/>
    <w:qFormat/>
    <w:rsid w:val="00392A7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392A7D"/>
    <w:rPr>
      <w:rFonts w:cs="Times New Roman"/>
      <w:kern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113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13DF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13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13DF3"/>
    <w:rPr>
      <w:sz w:val="18"/>
      <w:szCs w:val="18"/>
    </w:rPr>
  </w:style>
  <w:style w:type="character" w:styleId="Hyperlink">
    <w:name w:val="Hyperlink"/>
    <w:basedOn w:val="DefaultParagraphFont"/>
    <w:unhideWhenUsed/>
    <w:rsid w:val="00931E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E1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E1E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A5151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MDPI42tablebody">
    <w:name w:val="MDPI_4.2_table_body"/>
    <w:qFormat/>
    <w:rsid w:val="00117D95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3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夜空 守望者</dc:creator>
  <cp:lastModifiedBy>Nicholson, Tamara</cp:lastModifiedBy>
  <cp:revision>3</cp:revision>
  <dcterms:created xsi:type="dcterms:W3CDTF">2024-04-30T13:46:00Z</dcterms:created>
  <dcterms:modified xsi:type="dcterms:W3CDTF">2024-05-23T19:37:00Z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1c0afa32-794f-43de-94eb-2bd6991d02d4</vt:lpwstr>
  </property>
  <property fmtid="{D5CDD505-2E9C-101B-9397-08002B2CF9AE}" pid="3" name="ClassificationContentMarkingFooterShapeIds">
    <vt:lpwstr>471c634a,609cba29,48421a3f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2024-05-23T19:37:15Z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88c7d000-45f9-4a1e-b460-12f37c4811fd</vt:lpwstr>
  </property>
  <property fmtid="{D5CDD505-2E9C-101B-9397-08002B2CF9AE}" pid="12" name="MSIP_Label_2bbab825-a111-45e4-86a1-18cee0005896_ContentBits">
    <vt:lpwstr>2</vt:lpwstr>
  </property>
</Properties>
</file>