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楷体" w:cs="Times New Roman"/>
          <w:b/>
          <w:bCs/>
          <w:sz w:val="28"/>
          <w:szCs w:val="28"/>
          <w:lang w:val="en-US" w:eastAsia="zh-CN"/>
        </w:rPr>
      </w:pPr>
      <w:r>
        <w:rPr>
          <w:rFonts w:hint="eastAsia" w:ascii="Times New Roman" w:hAnsi="Times New Roman" w:eastAsia="楷体" w:cs="Times New Roman"/>
          <w:b/>
          <w:bCs/>
          <w:sz w:val="28"/>
          <w:szCs w:val="28"/>
          <w:lang w:val="en-US" w:eastAsia="zh-CN"/>
        </w:rPr>
        <w:t>Suppelmentary material</w:t>
      </w:r>
    </w:p>
    <w:p>
      <w:pPr>
        <w:jc w:val="both"/>
        <w:rPr>
          <w:rFonts w:hint="eastAsia" w:ascii="Times New Roman" w:hAnsi="Times New Roman" w:eastAsia="楷体" w:cs="Times New Roman"/>
          <w:b/>
          <w:bCs/>
          <w:sz w:val="28"/>
          <w:szCs w:val="28"/>
          <w:lang w:val="en-US" w:eastAsia="zh-CN"/>
        </w:rPr>
      </w:pPr>
    </w:p>
    <w:p>
      <w:pPr>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drawing>
          <wp:inline distT="0" distB="0" distL="114300" distR="114300">
            <wp:extent cx="5269865" cy="3995420"/>
            <wp:effectExtent l="0" t="0" r="635" b="5080"/>
            <wp:docPr id="1" name="图片 1" descr="补充图JP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补充图JPG(1)(1)"/>
                    <pic:cNvPicPr>
                      <a:picLocks noChangeAspect="1"/>
                    </pic:cNvPicPr>
                  </pic:nvPicPr>
                  <pic:blipFill>
                    <a:blip r:embed="rId4"/>
                    <a:stretch>
                      <a:fillRect/>
                    </a:stretch>
                  </pic:blipFill>
                  <pic:spPr>
                    <a:xfrm>
                      <a:off x="0" y="0"/>
                      <a:ext cx="5269865" cy="3995420"/>
                    </a:xfrm>
                    <a:prstGeom prst="rect">
                      <a:avLst/>
                    </a:prstGeom>
                  </pic:spPr>
                </pic:pic>
              </a:graphicData>
            </a:graphic>
          </wp:inline>
        </w:drawing>
      </w:r>
      <w:bookmarkStart w:id="0" w:name="_GoBack"/>
      <w:bookmarkEnd w:id="0"/>
    </w:p>
    <w:p>
      <w:pPr>
        <w:spacing w:line="360" w:lineRule="auto"/>
        <w:jc w:val="both"/>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Figure S1： TBSS analysis of white matter fibres in OSA patients before and after CPAP treatment, green: mean fractional anisotropy (FA) skeleton; yellow represents the area of change in DTI values in the OSA group after CPAP treatment (FA), blue represents the area of change in DTI values in the OSA group after CPAP treatment (MD and RD), P&lt;0.09.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MDY1MjQxMmZkNzlkMzdmMzBlZGI0ODAwMjZmYTYifQ=="/>
  </w:docVars>
  <w:rsids>
    <w:rsidRoot w:val="00000000"/>
    <w:rsid w:val="0CC46A7B"/>
    <w:rsid w:val="2D5418AE"/>
    <w:rsid w:val="395D0BF4"/>
    <w:rsid w:val="505428F9"/>
    <w:rsid w:val="6F78574C"/>
    <w:rsid w:val="7501454E"/>
    <w:rsid w:val="7A611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2024-03-25T12:25:00Z</dcterms:created>
  <dc:creator>Administrator</dc:creator>
  <cp:lastModifiedBy>翔</cp:lastModifiedBy>
  <dcterms:modified xsi:type="dcterms:W3CDTF">2024-03-29T12:31:56Z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83E1B8DCCDD24017B9F21C0AED3F0686_12</vt:lpwstr>
  </property>
</Properties>
</file>