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97DB" w14:textId="77777777" w:rsidR="002A4F78" w:rsidRPr="004D7832" w:rsidRDefault="002A4F78" w:rsidP="002A4F78">
      <w:pPr>
        <w:outlineLvl w:val="0"/>
        <w:rPr>
          <w:rFonts w:eastAsiaTheme="majorEastAsia" w:cstheme="majorBidi"/>
          <w:b/>
          <w:sz w:val="32"/>
          <w:szCs w:val="44"/>
          <w:lang w:val="en-US"/>
        </w:rPr>
      </w:pPr>
      <w:r w:rsidRPr="004D7832">
        <w:rPr>
          <w:rFonts w:eastAsiaTheme="majorEastAsia" w:cstheme="majorBidi"/>
          <w:b/>
          <w:sz w:val="32"/>
          <w:szCs w:val="44"/>
          <w:lang w:val="en-US"/>
        </w:rPr>
        <w:t xml:space="preserve">Supplementary </w:t>
      </w:r>
      <w:r>
        <w:rPr>
          <w:rFonts w:eastAsiaTheme="majorEastAsia" w:cstheme="majorBidi"/>
          <w:b/>
          <w:sz w:val="32"/>
          <w:szCs w:val="44"/>
          <w:lang w:val="en-US"/>
        </w:rPr>
        <w:t>a</w:t>
      </w:r>
      <w:r w:rsidRPr="003C23C3">
        <w:rPr>
          <w:rFonts w:eastAsiaTheme="majorEastAsia" w:cstheme="majorBidi"/>
          <w:b/>
          <w:sz w:val="32"/>
          <w:szCs w:val="44"/>
          <w:lang w:val="en-US"/>
        </w:rPr>
        <w:t>ppendix</w:t>
      </w:r>
    </w:p>
    <w:p w14:paraId="36778340" w14:textId="77777777" w:rsidR="002A4F78" w:rsidRPr="0051314B" w:rsidRDefault="002A4F78" w:rsidP="002A4F78">
      <w:pPr>
        <w:outlineLvl w:val="1"/>
        <w:rPr>
          <w:rFonts w:eastAsiaTheme="majorEastAsia" w:cstheme="majorBidi"/>
          <w:b/>
          <w:szCs w:val="20"/>
          <w:lang w:val="en-US"/>
        </w:rPr>
      </w:pPr>
      <w:r>
        <w:rPr>
          <w:rFonts w:eastAsiaTheme="majorEastAsia" w:cstheme="majorBidi"/>
          <w:b/>
          <w:szCs w:val="20"/>
          <w:lang w:val="en-US"/>
        </w:rPr>
        <w:t xml:space="preserve">Supplementary Table </w:t>
      </w:r>
      <w:r w:rsidRPr="00D970B0">
        <w:rPr>
          <w:rFonts w:eastAsiaTheme="majorEastAsia" w:cstheme="majorBidi"/>
          <w:b/>
          <w:szCs w:val="20"/>
          <w:lang w:val="en-US"/>
        </w:rPr>
        <w:t>1</w:t>
      </w:r>
      <w:r>
        <w:rPr>
          <w:rFonts w:eastAsiaTheme="majorEastAsia" w:cstheme="majorBidi"/>
          <w:b/>
          <w:szCs w:val="20"/>
          <w:lang w:val="en-US"/>
        </w:rPr>
        <w:t xml:space="preserve"> </w:t>
      </w:r>
      <w:r>
        <w:rPr>
          <w:rFonts w:eastAsiaTheme="majorEastAsia" w:cstheme="majorBidi"/>
          <w:bCs/>
          <w:szCs w:val="20"/>
          <w:lang w:val="en-US"/>
        </w:rPr>
        <w:t xml:space="preserve">Variables analyzed at index or during the baseline period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4"/>
        <w:gridCol w:w="5303"/>
        <w:gridCol w:w="1973"/>
      </w:tblGrid>
      <w:tr w:rsidR="002A4F78" w:rsidRPr="002A4F78" w14:paraId="2858BC7A" w14:textId="77777777" w:rsidTr="005F363A">
        <w:trPr>
          <w:trHeight w:val="499"/>
        </w:trPr>
        <w:tc>
          <w:tcPr>
            <w:tcW w:w="1109" w:type="pct"/>
          </w:tcPr>
          <w:p w14:paraId="21F30E29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/>
                <w:szCs w:val="20"/>
                <w:lang w:val="en-US"/>
              </w:rPr>
            </w:pPr>
            <w:r w:rsidRPr="002A4F78">
              <w:rPr>
                <w:rFonts w:eastAsiaTheme="majorEastAsia" w:cs="Arial"/>
                <w:b/>
                <w:szCs w:val="20"/>
                <w:lang w:val="en-US"/>
              </w:rPr>
              <w:t xml:space="preserve">Variable </w:t>
            </w:r>
          </w:p>
        </w:tc>
        <w:tc>
          <w:tcPr>
            <w:tcW w:w="2836" w:type="pct"/>
          </w:tcPr>
          <w:p w14:paraId="0473018E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/>
                <w:szCs w:val="20"/>
                <w:lang w:val="en-US"/>
              </w:rPr>
            </w:pPr>
            <w:r w:rsidRPr="002A4F78">
              <w:rPr>
                <w:rFonts w:eastAsiaTheme="majorEastAsia" w:cs="Arial"/>
                <w:b/>
                <w:szCs w:val="20"/>
                <w:lang w:val="en-US"/>
              </w:rPr>
              <w:t>Operational definition</w:t>
            </w:r>
          </w:p>
        </w:tc>
        <w:tc>
          <w:tcPr>
            <w:tcW w:w="1056" w:type="pct"/>
          </w:tcPr>
          <w:p w14:paraId="4B0F631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/>
                <w:szCs w:val="20"/>
                <w:lang w:val="en-US"/>
              </w:rPr>
            </w:pPr>
            <w:r w:rsidRPr="002A4F78">
              <w:rPr>
                <w:rFonts w:eastAsiaTheme="majorEastAsia" w:cs="Arial"/>
                <w:b/>
                <w:szCs w:val="20"/>
                <w:lang w:val="en-US"/>
              </w:rPr>
              <w:t>Measurement period</w:t>
            </w:r>
          </w:p>
        </w:tc>
      </w:tr>
      <w:tr w:rsidR="002A4F78" w:rsidRPr="002A4F78" w14:paraId="1CD786F0" w14:textId="77777777" w:rsidTr="005F363A">
        <w:trPr>
          <w:trHeight w:val="484"/>
        </w:trPr>
        <w:tc>
          <w:tcPr>
            <w:tcW w:w="1109" w:type="pct"/>
          </w:tcPr>
          <w:p w14:paraId="6F434F5C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Age</w:t>
            </w:r>
          </w:p>
        </w:tc>
        <w:tc>
          <w:tcPr>
            <w:tcW w:w="2836" w:type="pct"/>
          </w:tcPr>
          <w:p w14:paraId="044881B9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Calculated based on birth year</w:t>
            </w:r>
          </w:p>
        </w:tc>
        <w:tc>
          <w:tcPr>
            <w:tcW w:w="1056" w:type="pct"/>
          </w:tcPr>
          <w:p w14:paraId="6CA54F1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At index</w:t>
            </w:r>
          </w:p>
        </w:tc>
      </w:tr>
      <w:tr w:rsidR="002A4F78" w:rsidRPr="002A4F78" w14:paraId="3BCB21C3" w14:textId="77777777" w:rsidTr="005F363A">
        <w:trPr>
          <w:trHeight w:val="499"/>
        </w:trPr>
        <w:tc>
          <w:tcPr>
            <w:tcW w:w="1109" w:type="pct"/>
          </w:tcPr>
          <w:p w14:paraId="1360628F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Sex</w:t>
            </w:r>
          </w:p>
        </w:tc>
        <w:tc>
          <w:tcPr>
            <w:tcW w:w="2836" w:type="pct"/>
          </w:tcPr>
          <w:p w14:paraId="73B1B25B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Male or female</w:t>
            </w:r>
          </w:p>
        </w:tc>
        <w:tc>
          <w:tcPr>
            <w:tcW w:w="1056" w:type="pct"/>
          </w:tcPr>
          <w:p w14:paraId="031445EC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At index</w:t>
            </w:r>
          </w:p>
        </w:tc>
      </w:tr>
      <w:tr w:rsidR="002A4F78" w:rsidRPr="002A4F78" w14:paraId="3460A6BF" w14:textId="77777777" w:rsidTr="005F363A">
        <w:trPr>
          <w:trHeight w:val="484"/>
        </w:trPr>
        <w:tc>
          <w:tcPr>
            <w:tcW w:w="1109" w:type="pct"/>
          </w:tcPr>
          <w:p w14:paraId="7ADB041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Length of follow-up</w:t>
            </w:r>
          </w:p>
        </w:tc>
        <w:tc>
          <w:tcPr>
            <w:tcW w:w="2836" w:type="pct"/>
          </w:tcPr>
          <w:p w14:paraId="3F37E2EF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Length of the available follow-up period (in days) of each cohort, described with sample statistics (mean, median, SD, min, max)</w:t>
            </w:r>
          </w:p>
        </w:tc>
        <w:tc>
          <w:tcPr>
            <w:tcW w:w="1056" w:type="pct"/>
          </w:tcPr>
          <w:p w14:paraId="5E09ADE2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follow-up (from index until censorship due to death, end of study period, or end of continuous insurance)</w:t>
            </w:r>
          </w:p>
        </w:tc>
      </w:tr>
      <w:tr w:rsidR="002A4F78" w:rsidRPr="002A4F78" w14:paraId="74F06AE7" w14:textId="77777777" w:rsidTr="005F363A">
        <w:trPr>
          <w:trHeight w:val="499"/>
        </w:trPr>
        <w:tc>
          <w:tcPr>
            <w:tcW w:w="1109" w:type="pct"/>
          </w:tcPr>
          <w:p w14:paraId="7AE9B996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Censorship</w:t>
            </w:r>
          </w:p>
        </w:tc>
        <w:tc>
          <w:tcPr>
            <w:tcW w:w="2836" w:type="pct"/>
          </w:tcPr>
          <w:p w14:paraId="7381A547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and percentage of patients censored due to death, end of continuous insurance, and end of the study period</w:t>
            </w:r>
          </w:p>
        </w:tc>
        <w:tc>
          <w:tcPr>
            <w:tcW w:w="1056" w:type="pct"/>
          </w:tcPr>
          <w:p w14:paraId="4FAE835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follow-up (from index until censorship due to death, end of study period, or end of continuous insurance)</w:t>
            </w:r>
          </w:p>
        </w:tc>
      </w:tr>
      <w:tr w:rsidR="002A4F78" w:rsidRPr="002A4F78" w14:paraId="00A12677" w14:textId="77777777" w:rsidTr="005F363A">
        <w:trPr>
          <w:trHeight w:val="499"/>
        </w:trPr>
        <w:tc>
          <w:tcPr>
            <w:tcW w:w="1109" w:type="pct"/>
          </w:tcPr>
          <w:p w14:paraId="46420DC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Level of care</w:t>
            </w:r>
          </w:p>
        </w:tc>
        <w:tc>
          <w:tcPr>
            <w:tcW w:w="2836" w:type="pct"/>
          </w:tcPr>
          <w:p w14:paraId="6F16D6C4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Ranked level of nursing support ranging from independence to heavy impairment of autonomy (nursing care level 5), frequency distribution from level 0–5</w:t>
            </w:r>
          </w:p>
        </w:tc>
        <w:tc>
          <w:tcPr>
            <w:tcW w:w="1056" w:type="pct"/>
          </w:tcPr>
          <w:p w14:paraId="5A3A10BE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At index</w:t>
            </w:r>
          </w:p>
        </w:tc>
      </w:tr>
      <w:tr w:rsidR="002A4F78" w:rsidRPr="002A4F78" w14:paraId="1A3A0061" w14:textId="77777777" w:rsidTr="005F363A">
        <w:trPr>
          <w:trHeight w:val="499"/>
        </w:trPr>
        <w:tc>
          <w:tcPr>
            <w:tcW w:w="1109" w:type="pct"/>
          </w:tcPr>
          <w:p w14:paraId="414D43C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Comorbidities</w:t>
            </w:r>
          </w:p>
        </w:tc>
        <w:tc>
          <w:tcPr>
            <w:tcW w:w="2836" w:type="pct"/>
          </w:tcPr>
          <w:p w14:paraId="4C2CF025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and percentage of patients reported based on list of relevant conditions and the top comorbidities (based on three-digit inpatient/outpatient ICD-10 codes)</w:t>
            </w:r>
          </w:p>
          <w:p w14:paraId="7305A71C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t>Depression</w:t>
            </w:r>
          </w:p>
          <w:p w14:paraId="3AE8DE0D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t>Anxiety</w:t>
            </w:r>
          </w:p>
          <w:p w14:paraId="129B5C63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hAnsi="Arial" w:cs="Arial"/>
                <w:color w:val="080808"/>
                <w:sz w:val="20"/>
                <w:szCs w:val="20"/>
                <w:shd w:val="clear" w:color="auto" w:fill="FFFFFF"/>
                <w:lang w:val="en-US"/>
              </w:rPr>
              <w:t>Gastroesophageal reflux disease </w:t>
            </w:r>
          </w:p>
          <w:p w14:paraId="6D33F643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t>Acute myocardial infarction</w:t>
            </w:r>
          </w:p>
          <w:p w14:paraId="7D7B604C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t>Congestive heart failure</w:t>
            </w:r>
          </w:p>
          <w:p w14:paraId="012A3C79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t>Stroke</w:t>
            </w:r>
          </w:p>
          <w:p w14:paraId="4C5EA0FC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t>Bronchiectasis</w:t>
            </w:r>
          </w:p>
          <w:p w14:paraId="6552B1C5" w14:textId="77777777" w:rsidR="002A4F78" w:rsidRPr="002A4F78" w:rsidRDefault="002A4F78" w:rsidP="002A4F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lastRenderedPageBreak/>
              <w:t>Dementia/cognitive impairment</w:t>
            </w:r>
          </w:p>
          <w:p w14:paraId="307AD026" w14:textId="77777777" w:rsidR="002A4F78" w:rsidRPr="002A4F78" w:rsidRDefault="002A4F78" w:rsidP="002A4F7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</w:pPr>
            <w:r w:rsidRPr="002A4F78">
              <w:rPr>
                <w:rFonts w:ascii="Arial" w:eastAsiaTheme="majorEastAsia" w:hAnsi="Arial" w:cs="Arial"/>
                <w:bCs/>
                <w:sz w:val="20"/>
                <w:szCs w:val="20"/>
                <w:lang w:val="en-US"/>
              </w:rPr>
              <w:t>Rheumatoid/osteoarthritis</w:t>
            </w:r>
          </w:p>
        </w:tc>
        <w:tc>
          <w:tcPr>
            <w:tcW w:w="1056" w:type="pct"/>
          </w:tcPr>
          <w:p w14:paraId="729005C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lastRenderedPageBreak/>
              <w:t>During baseline</w:t>
            </w:r>
          </w:p>
        </w:tc>
      </w:tr>
      <w:tr w:rsidR="002A4F78" w:rsidRPr="002A4F78" w14:paraId="622D087B" w14:textId="77777777" w:rsidTr="005F363A">
        <w:trPr>
          <w:trHeight w:val="499"/>
        </w:trPr>
        <w:tc>
          <w:tcPr>
            <w:tcW w:w="1109" w:type="pct"/>
          </w:tcPr>
          <w:p w14:paraId="3E2D4A8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CCI score</w:t>
            </w:r>
          </w:p>
        </w:tc>
        <w:tc>
          <w:tcPr>
            <w:tcW w:w="2836" w:type="pct"/>
          </w:tcPr>
          <w:p w14:paraId="6A8FF25B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CCI without age component, reported using sample statistics (mean, median, SD, min, max)</w:t>
            </w:r>
          </w:p>
        </w:tc>
        <w:tc>
          <w:tcPr>
            <w:tcW w:w="1056" w:type="pct"/>
          </w:tcPr>
          <w:p w14:paraId="2F516F71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16F239EA" w14:textId="77777777" w:rsidTr="005F363A">
        <w:trPr>
          <w:trHeight w:val="499"/>
        </w:trPr>
        <w:tc>
          <w:tcPr>
            <w:tcW w:w="1109" w:type="pct"/>
          </w:tcPr>
          <w:p w14:paraId="74AB4CFE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Smoking status/history</w:t>
            </w:r>
          </w:p>
        </w:tc>
        <w:tc>
          <w:tcPr>
            <w:tcW w:w="2836" w:type="pct"/>
          </w:tcPr>
          <w:p w14:paraId="6AB5A535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and percentage of patients who smoke or have smoked reported based on the following outpatient and inpatient ICD-10 codes:</w:t>
            </w:r>
          </w:p>
          <w:p w14:paraId="558FC2B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Mental and behavioral disorders due to tobacco (F17)</w:t>
            </w:r>
          </w:p>
          <w:p w14:paraId="072CAB04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Toxic effects of tobacco and nicotine (T65.2)</w:t>
            </w:r>
          </w:p>
        </w:tc>
        <w:tc>
          <w:tcPr>
            <w:tcW w:w="1056" w:type="pct"/>
          </w:tcPr>
          <w:p w14:paraId="57A95A18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6B2974AE" w14:textId="77777777" w:rsidTr="005F363A">
        <w:trPr>
          <w:trHeight w:val="499"/>
        </w:trPr>
        <w:tc>
          <w:tcPr>
            <w:tcW w:w="1109" w:type="pct"/>
          </w:tcPr>
          <w:p w14:paraId="65A48EC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of visits to a lung doctor</w:t>
            </w:r>
          </w:p>
        </w:tc>
        <w:tc>
          <w:tcPr>
            <w:tcW w:w="2836" w:type="pct"/>
          </w:tcPr>
          <w:p w14:paraId="7505B6FD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of outpatient visits to a lung specialist (specialist code 30). Outcomes reported using summary statistics (mean, median, SD, min, max).</w:t>
            </w:r>
          </w:p>
        </w:tc>
        <w:tc>
          <w:tcPr>
            <w:tcW w:w="1056" w:type="pct"/>
          </w:tcPr>
          <w:p w14:paraId="7749F42E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4982D034" w14:textId="77777777" w:rsidTr="005F363A">
        <w:trPr>
          <w:trHeight w:val="499"/>
        </w:trPr>
        <w:tc>
          <w:tcPr>
            <w:tcW w:w="1109" w:type="pct"/>
          </w:tcPr>
          <w:p w14:paraId="306E2DAD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of moderate/severe exacerbations</w:t>
            </w:r>
          </w:p>
        </w:tc>
        <w:tc>
          <w:tcPr>
            <w:tcW w:w="2836" w:type="pct"/>
          </w:tcPr>
          <w:p w14:paraId="0DDB0012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of hospitalizations with a J44.1 code (acute exacerbation) or J44 (COPD) recorded as the main diagnosis. Outcomes reported using summary statistics (mean, median, SD, min, max) and frequency distributions (based on the number/percentage of patients with 0, 1, 2, and ≥3 exacerbations)</w:t>
            </w:r>
          </w:p>
        </w:tc>
        <w:tc>
          <w:tcPr>
            <w:tcW w:w="1056" w:type="pct"/>
          </w:tcPr>
          <w:p w14:paraId="259E6B3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62335F40" w14:textId="77777777" w:rsidTr="005F363A">
        <w:trPr>
          <w:trHeight w:val="499"/>
        </w:trPr>
        <w:tc>
          <w:tcPr>
            <w:tcW w:w="1109" w:type="pct"/>
          </w:tcPr>
          <w:p w14:paraId="3A7A2479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Asthma diagnosis</w:t>
            </w:r>
          </w:p>
        </w:tc>
        <w:tc>
          <w:tcPr>
            <w:tcW w:w="2836" w:type="pct"/>
          </w:tcPr>
          <w:p w14:paraId="7AD5F7AA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Whether patients had at least one inpatient/two confirmed outpatient asthma diagnoses by a lung specialist (ICD-10 J45–J46)</w:t>
            </w:r>
          </w:p>
        </w:tc>
        <w:tc>
          <w:tcPr>
            <w:tcW w:w="1056" w:type="pct"/>
          </w:tcPr>
          <w:p w14:paraId="7D8B406C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501E9D79" w14:textId="77777777" w:rsidTr="005F363A">
        <w:trPr>
          <w:trHeight w:val="499"/>
        </w:trPr>
        <w:tc>
          <w:tcPr>
            <w:tcW w:w="1109" w:type="pct"/>
          </w:tcPr>
          <w:p w14:paraId="67DA095E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FEV</w:t>
            </w:r>
            <w:r w:rsidRPr="002A4F78">
              <w:rPr>
                <w:rFonts w:eastAsiaTheme="majorEastAsia" w:cs="Arial"/>
                <w:bCs/>
                <w:szCs w:val="20"/>
                <w:vertAlign w:val="subscript"/>
                <w:lang w:val="en-US"/>
              </w:rPr>
              <w:t>1</w:t>
            </w: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% predicted</w:t>
            </w:r>
          </w:p>
        </w:tc>
        <w:tc>
          <w:tcPr>
            <w:tcW w:w="2836" w:type="pct"/>
          </w:tcPr>
          <w:p w14:paraId="32A6434D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 xml:space="preserve">Reported using frequency distributions based on ICD-10 codes: </w:t>
            </w:r>
          </w:p>
          <w:p w14:paraId="2F70A6E2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FEV</w:t>
            </w:r>
            <w:r w:rsidRPr="002A4F78">
              <w:rPr>
                <w:rFonts w:eastAsiaTheme="majorEastAsia" w:cs="Arial"/>
                <w:bCs/>
                <w:szCs w:val="20"/>
                <w:vertAlign w:val="subscript"/>
                <w:lang w:val="en-US"/>
              </w:rPr>
              <w:t>1</w:t>
            </w: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 xml:space="preserve">% predicted &lt;35% (J44.00) </w:t>
            </w:r>
          </w:p>
          <w:p w14:paraId="0FBEF1A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FEV</w:t>
            </w:r>
            <w:r w:rsidRPr="002A4F78">
              <w:rPr>
                <w:rFonts w:eastAsiaTheme="majorEastAsia" w:cs="Arial"/>
                <w:bCs/>
                <w:szCs w:val="20"/>
                <w:vertAlign w:val="subscript"/>
                <w:lang w:val="en-US"/>
              </w:rPr>
              <w:t>1</w:t>
            </w: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% predicted ≥35% and &lt;50% (J44.01)</w:t>
            </w:r>
          </w:p>
          <w:p w14:paraId="2B48C346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FEV</w:t>
            </w:r>
            <w:r w:rsidRPr="002A4F78">
              <w:rPr>
                <w:rFonts w:eastAsiaTheme="majorEastAsia" w:cs="Arial"/>
                <w:bCs/>
                <w:szCs w:val="20"/>
                <w:vertAlign w:val="subscript"/>
                <w:lang w:val="en-US"/>
              </w:rPr>
              <w:t>1</w:t>
            </w: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 xml:space="preserve">% predicted ≥50% and &lt;70% (J44.02) </w:t>
            </w:r>
          </w:p>
          <w:p w14:paraId="21780BBB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FEV</w:t>
            </w:r>
            <w:r w:rsidRPr="002A4F78">
              <w:rPr>
                <w:rFonts w:eastAsiaTheme="majorEastAsia" w:cs="Arial"/>
                <w:bCs/>
                <w:szCs w:val="20"/>
                <w:vertAlign w:val="subscript"/>
                <w:lang w:val="en-US"/>
              </w:rPr>
              <w:t>1</w:t>
            </w: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% predicted ≥79% (J44.03)</w:t>
            </w:r>
          </w:p>
          <w:p w14:paraId="1566BA5C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FEV</w:t>
            </w:r>
            <w:r w:rsidRPr="002A4F78">
              <w:rPr>
                <w:rFonts w:eastAsiaTheme="majorEastAsia" w:cs="Arial"/>
                <w:bCs/>
                <w:szCs w:val="20"/>
                <w:vertAlign w:val="subscript"/>
                <w:lang w:val="en-US"/>
              </w:rPr>
              <w:t>1</w:t>
            </w: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% predicted not specified (J44.09)</w:t>
            </w:r>
          </w:p>
        </w:tc>
        <w:tc>
          <w:tcPr>
            <w:tcW w:w="1056" w:type="pct"/>
          </w:tcPr>
          <w:p w14:paraId="21082275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 xml:space="preserve">During the baseline period – the last registered code before the index date </w:t>
            </w:r>
          </w:p>
        </w:tc>
      </w:tr>
      <w:tr w:rsidR="002A4F78" w:rsidRPr="002A4F78" w14:paraId="3358DE84" w14:textId="77777777" w:rsidTr="005F363A">
        <w:trPr>
          <w:trHeight w:val="499"/>
        </w:trPr>
        <w:tc>
          <w:tcPr>
            <w:tcW w:w="1109" w:type="pct"/>
          </w:tcPr>
          <w:p w14:paraId="418C02EC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All-cause hospitalizations</w:t>
            </w:r>
          </w:p>
        </w:tc>
        <w:tc>
          <w:tcPr>
            <w:tcW w:w="2836" w:type="pct"/>
          </w:tcPr>
          <w:p w14:paraId="3358FB04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of all-cause hospitalizations reported using summary statistics (mean, median, SD, min, max) and frequency distributions (based on the number/percentage of patients with 0, 1, 2, and ≥3 hospitalizations)</w:t>
            </w:r>
          </w:p>
        </w:tc>
        <w:tc>
          <w:tcPr>
            <w:tcW w:w="1056" w:type="pct"/>
          </w:tcPr>
          <w:p w14:paraId="77A295C7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30B1B302" w14:textId="77777777" w:rsidTr="005F363A">
        <w:trPr>
          <w:trHeight w:val="499"/>
        </w:trPr>
        <w:tc>
          <w:tcPr>
            <w:tcW w:w="1109" w:type="pct"/>
          </w:tcPr>
          <w:p w14:paraId="735D4518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 xml:space="preserve">COPD therapy use during baseline </w:t>
            </w:r>
          </w:p>
        </w:tc>
        <w:tc>
          <w:tcPr>
            <w:tcW w:w="2836" w:type="pct"/>
          </w:tcPr>
          <w:p w14:paraId="5C308D1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and percentage of patients receiving prescriptions for each agent/combination as well as each agent class</w:t>
            </w:r>
          </w:p>
        </w:tc>
        <w:tc>
          <w:tcPr>
            <w:tcW w:w="1056" w:type="pct"/>
          </w:tcPr>
          <w:p w14:paraId="4DA0E659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04D6EAA5" w14:textId="77777777" w:rsidTr="005F363A">
        <w:trPr>
          <w:trHeight w:val="499"/>
        </w:trPr>
        <w:tc>
          <w:tcPr>
            <w:tcW w:w="1109" w:type="pct"/>
          </w:tcPr>
          <w:p w14:paraId="2C2D22ED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lastRenderedPageBreak/>
              <w:t xml:space="preserve">Use of inhalation/respiratory devices during baseline </w:t>
            </w:r>
          </w:p>
        </w:tc>
        <w:tc>
          <w:tcPr>
            <w:tcW w:w="2836" w:type="pct"/>
          </w:tcPr>
          <w:p w14:paraId="5AA1B7B6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Inhalation and respiratory devices, prescribed in an outpatient setting, identified through the catalog of remedies and aids (Product Group 14-)</w:t>
            </w:r>
          </w:p>
        </w:tc>
        <w:tc>
          <w:tcPr>
            <w:tcW w:w="1056" w:type="pct"/>
          </w:tcPr>
          <w:p w14:paraId="0911A44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baseline</w:t>
            </w:r>
          </w:p>
        </w:tc>
      </w:tr>
      <w:tr w:rsidR="002A4F78" w:rsidRPr="002A4F78" w14:paraId="4982BE38" w14:textId="77777777" w:rsidTr="005F363A">
        <w:trPr>
          <w:trHeight w:val="499"/>
        </w:trPr>
        <w:tc>
          <w:tcPr>
            <w:tcW w:w="1109" w:type="pct"/>
          </w:tcPr>
          <w:p w14:paraId="43F462AE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 xml:space="preserve">COPD therapy use during follow-up </w:t>
            </w:r>
          </w:p>
        </w:tc>
        <w:tc>
          <w:tcPr>
            <w:tcW w:w="2836" w:type="pct"/>
          </w:tcPr>
          <w:p w14:paraId="117A8388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Number and percentage of patients receiving prescriptions for MITT, FF/UMEC/VI, FOR/BDP/GLY, and FOR/GLY/BUD (where applicable) and each agent/combination</w:t>
            </w:r>
          </w:p>
        </w:tc>
        <w:tc>
          <w:tcPr>
            <w:tcW w:w="1056" w:type="pct"/>
          </w:tcPr>
          <w:p w14:paraId="2414B57A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individual patient follow-up period</w:t>
            </w:r>
          </w:p>
        </w:tc>
      </w:tr>
      <w:tr w:rsidR="002A4F78" w:rsidRPr="002A4F78" w14:paraId="5B768141" w14:textId="77777777" w:rsidTr="005F363A">
        <w:trPr>
          <w:trHeight w:val="499"/>
        </w:trPr>
        <w:tc>
          <w:tcPr>
            <w:tcW w:w="1109" w:type="pct"/>
          </w:tcPr>
          <w:p w14:paraId="37C84D53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Use of inhalation/respiratory devices during follow-up</w:t>
            </w:r>
          </w:p>
        </w:tc>
        <w:tc>
          <w:tcPr>
            <w:tcW w:w="2836" w:type="pct"/>
          </w:tcPr>
          <w:p w14:paraId="1A4B40F9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Inhalation and respiratory devices, prescribed in an outpatient setting, identified through the catalog of remedies and aids (Product Group 14-)</w:t>
            </w:r>
          </w:p>
        </w:tc>
        <w:tc>
          <w:tcPr>
            <w:tcW w:w="1056" w:type="pct"/>
          </w:tcPr>
          <w:p w14:paraId="54083F70" w14:textId="77777777" w:rsidR="002A4F78" w:rsidRPr="002A4F78" w:rsidRDefault="002A4F78" w:rsidP="005F363A">
            <w:pPr>
              <w:spacing w:line="360" w:lineRule="auto"/>
              <w:rPr>
                <w:rFonts w:eastAsiaTheme="majorEastAsia" w:cs="Arial"/>
                <w:bCs/>
                <w:szCs w:val="20"/>
                <w:lang w:val="en-US"/>
              </w:rPr>
            </w:pPr>
            <w:r w:rsidRPr="002A4F78">
              <w:rPr>
                <w:rFonts w:eastAsiaTheme="majorEastAsia" w:cs="Arial"/>
                <w:bCs/>
                <w:szCs w:val="20"/>
                <w:lang w:val="en-US"/>
              </w:rPr>
              <w:t>During individual patient follow-up period</w:t>
            </w:r>
          </w:p>
        </w:tc>
      </w:tr>
    </w:tbl>
    <w:p w14:paraId="6C498516" w14:textId="77777777" w:rsidR="002A4F78" w:rsidRDefault="002A4F78" w:rsidP="002A4F78">
      <w:pPr>
        <w:spacing w:line="360" w:lineRule="auto"/>
        <w:rPr>
          <w:rFonts w:eastAsiaTheme="majorEastAsia" w:cstheme="majorBidi"/>
          <w:bCs/>
          <w:szCs w:val="20"/>
          <w:lang w:val="en-US"/>
        </w:rPr>
        <w:sectPr w:rsidR="002A4F78" w:rsidSect="009A097E">
          <w:pgSz w:w="12240" w:h="15840"/>
          <w:pgMar w:top="1440" w:right="1440" w:bottom="1440" w:left="1440" w:header="0" w:footer="720" w:gutter="0"/>
          <w:cols w:space="720"/>
          <w:formProt w:val="0"/>
          <w:docGrid w:linePitch="360"/>
        </w:sectPr>
      </w:pPr>
      <w:r w:rsidRPr="00927D90">
        <w:rPr>
          <w:rFonts w:eastAsiaTheme="majorEastAsia" w:cstheme="majorBidi"/>
          <w:b/>
          <w:szCs w:val="20"/>
          <w:lang w:val="en-US"/>
        </w:rPr>
        <w:t xml:space="preserve">Abbreviations: </w:t>
      </w:r>
      <w:r w:rsidRPr="001C7527">
        <w:rPr>
          <w:rFonts w:eastAsiaTheme="majorEastAsia" w:cstheme="majorBidi"/>
          <w:bCs/>
          <w:szCs w:val="20"/>
          <w:lang w:val="en-US"/>
        </w:rPr>
        <w:t>CCI, Charlson Comorbidity Index;</w:t>
      </w:r>
      <w:r>
        <w:rPr>
          <w:rFonts w:eastAsiaTheme="majorEastAsia" w:cstheme="majorBidi"/>
          <w:b/>
          <w:szCs w:val="20"/>
          <w:lang w:val="en-US"/>
        </w:rPr>
        <w:t xml:space="preserve"> </w:t>
      </w:r>
      <w:r>
        <w:rPr>
          <w:rFonts w:eastAsiaTheme="majorEastAsia" w:cstheme="majorBidi"/>
          <w:bCs/>
          <w:szCs w:val="20"/>
          <w:lang w:val="en-US"/>
        </w:rPr>
        <w:t xml:space="preserve">COPD, chronic obstructive pulmonary disease; </w:t>
      </w:r>
      <w:r>
        <w:rPr>
          <w:rFonts w:eastAsiaTheme="majorEastAsia" w:cstheme="majorBidi"/>
          <w:bCs/>
          <w:szCs w:val="20"/>
          <w:lang w:val="en-US"/>
        </w:rPr>
        <w:br/>
        <w:t>FEV</w:t>
      </w:r>
      <w:r w:rsidRPr="00185E83">
        <w:rPr>
          <w:rFonts w:eastAsiaTheme="majorEastAsia" w:cstheme="majorBidi"/>
          <w:bCs/>
          <w:szCs w:val="20"/>
          <w:vertAlign w:val="subscript"/>
          <w:lang w:val="en-US"/>
        </w:rPr>
        <w:t>1</w:t>
      </w:r>
      <w:r>
        <w:rPr>
          <w:rFonts w:eastAsiaTheme="majorEastAsia" w:cstheme="majorBidi"/>
          <w:bCs/>
          <w:szCs w:val="20"/>
          <w:lang w:val="en-US"/>
        </w:rPr>
        <w:t xml:space="preserve">, forced expiratory volume in 1 second; FF/UMEC/VI, </w:t>
      </w:r>
      <w:r w:rsidRPr="00667913">
        <w:rPr>
          <w:rFonts w:eastAsiaTheme="majorEastAsia" w:cstheme="majorBidi"/>
          <w:bCs/>
          <w:szCs w:val="20"/>
          <w:lang w:val="en-US"/>
        </w:rPr>
        <w:t>fluticasone furoate/umeclidinium/vilanterol</w:t>
      </w:r>
      <w:r>
        <w:rPr>
          <w:rFonts w:eastAsiaTheme="majorEastAsia" w:cstheme="majorBidi"/>
          <w:bCs/>
          <w:szCs w:val="20"/>
          <w:lang w:val="en-US"/>
        </w:rPr>
        <w:t xml:space="preserve">; FOR/BDP/GLY, </w:t>
      </w:r>
      <w:r w:rsidRPr="006F27F8">
        <w:rPr>
          <w:rFonts w:cs="Arial"/>
          <w:bCs/>
          <w:szCs w:val="20"/>
          <w:lang w:val="en-US"/>
        </w:rPr>
        <w:t>formoterol/beclomethasone/glycopyrronium bromide</w:t>
      </w:r>
      <w:r>
        <w:rPr>
          <w:rFonts w:cs="Arial"/>
          <w:bCs/>
          <w:szCs w:val="20"/>
          <w:lang w:val="en-US"/>
        </w:rPr>
        <w:t xml:space="preserve">; </w:t>
      </w:r>
      <w:r w:rsidRPr="007D4BA4">
        <w:rPr>
          <w:rFonts w:cs="Arial"/>
          <w:bCs/>
          <w:szCs w:val="20"/>
          <w:lang w:val="en-US"/>
        </w:rPr>
        <w:t>FOR/GLY/BUD, formoterol/glycopyrronium bromide/budesonide; ICD-10</w:t>
      </w:r>
      <w:r>
        <w:rPr>
          <w:rFonts w:cs="Arial"/>
          <w:bCs/>
          <w:szCs w:val="20"/>
          <w:lang w:val="en-US"/>
        </w:rPr>
        <w:t xml:space="preserve">, International </w:t>
      </w:r>
      <w:r w:rsidRPr="00E844E3">
        <w:rPr>
          <w:rFonts w:cs="Arial"/>
          <w:bCs/>
          <w:szCs w:val="20"/>
          <w:lang w:val="en-US"/>
        </w:rPr>
        <w:t xml:space="preserve">Statistical </w:t>
      </w:r>
      <w:r>
        <w:rPr>
          <w:rFonts w:cs="Arial"/>
          <w:bCs/>
          <w:szCs w:val="20"/>
          <w:lang w:val="en-US"/>
        </w:rPr>
        <w:t>Classification of Diseases</w:t>
      </w:r>
      <w:r w:rsidRPr="00E844E3">
        <w:rPr>
          <w:rFonts w:cs="Arial"/>
          <w:bCs/>
          <w:szCs w:val="20"/>
          <w:lang w:val="en-US"/>
        </w:rPr>
        <w:t xml:space="preserve"> and Related Health Problems</w:t>
      </w:r>
      <w:r w:rsidRPr="007D4BA4">
        <w:rPr>
          <w:rFonts w:cs="Arial"/>
          <w:bCs/>
          <w:szCs w:val="20"/>
          <w:lang w:val="en-US"/>
        </w:rPr>
        <w:t>, Tenth Revision</w:t>
      </w:r>
      <w:r>
        <w:rPr>
          <w:rFonts w:cs="Arial"/>
          <w:bCs/>
          <w:szCs w:val="20"/>
          <w:lang w:val="en-US"/>
        </w:rPr>
        <w:t xml:space="preserve">; </w:t>
      </w:r>
      <w:r>
        <w:rPr>
          <w:rFonts w:eastAsiaTheme="majorEastAsia" w:cstheme="majorBidi"/>
          <w:bCs/>
          <w:szCs w:val="20"/>
          <w:lang w:val="en-US"/>
        </w:rPr>
        <w:t>MITT, multiple-inhaler triple therapy; SD, standard deviation</w:t>
      </w:r>
      <w:r w:rsidRPr="007D4BA4">
        <w:rPr>
          <w:rFonts w:eastAsiaTheme="majorEastAsia" w:cstheme="majorBidi"/>
          <w:bCs/>
          <w:szCs w:val="20"/>
          <w:lang w:val="en-US"/>
        </w:rPr>
        <w:t>.</w:t>
      </w:r>
    </w:p>
    <w:p w14:paraId="5B837B1A" w14:textId="77777777" w:rsidR="002A4F78" w:rsidRDefault="002A4F78" w:rsidP="002A4F78">
      <w:pPr>
        <w:outlineLvl w:val="1"/>
        <w:rPr>
          <w:rFonts w:eastAsiaTheme="majorEastAsia" w:cstheme="majorBidi"/>
          <w:b/>
          <w:szCs w:val="20"/>
          <w:lang w:val="en-US"/>
        </w:rPr>
      </w:pPr>
      <w:r>
        <w:rPr>
          <w:rFonts w:eastAsiaTheme="majorEastAsia" w:cstheme="majorBidi"/>
          <w:b/>
          <w:szCs w:val="20"/>
          <w:lang w:val="en-US"/>
        </w:rPr>
        <w:lastRenderedPageBreak/>
        <w:t xml:space="preserve">Supplementary </w:t>
      </w:r>
      <w:r w:rsidRPr="00D970B0">
        <w:rPr>
          <w:rFonts w:eastAsiaTheme="majorEastAsia" w:cstheme="majorBidi"/>
          <w:b/>
          <w:szCs w:val="20"/>
          <w:lang w:val="en-US"/>
        </w:rPr>
        <w:t xml:space="preserve">Table </w:t>
      </w:r>
      <w:r>
        <w:rPr>
          <w:rFonts w:eastAsiaTheme="majorEastAsia" w:cstheme="majorBidi"/>
          <w:b/>
          <w:szCs w:val="20"/>
          <w:lang w:val="en-US"/>
        </w:rPr>
        <w:t xml:space="preserve">2 </w:t>
      </w:r>
      <w:r w:rsidRPr="00D210D2">
        <w:rPr>
          <w:rFonts w:eastAsiaTheme="majorEastAsia" w:cstheme="majorBidi"/>
          <w:bCs/>
          <w:szCs w:val="20"/>
          <w:lang w:val="en-US"/>
        </w:rPr>
        <w:t>Mean PDC for MITT, SITT, FF/UMEC/VI, and FOR/BDP/GLY cohorts at 6, 12, and 18 months post-index</w:t>
      </w:r>
      <w:r>
        <w:rPr>
          <w:rFonts w:eastAsiaTheme="majorEastAsia" w:cstheme="majorBidi"/>
          <w:bCs/>
          <w:szCs w:val="20"/>
          <w:lang w:val="en-US"/>
        </w:rPr>
        <w:t xml:space="preserve">, using </w:t>
      </w:r>
      <w:r w:rsidRPr="00D210D2">
        <w:rPr>
          <w:rFonts w:eastAsiaTheme="majorEastAsia" w:cstheme="majorBidi"/>
          <w:bCs/>
          <w:szCs w:val="20"/>
          <w:lang w:val="en-US"/>
        </w:rPr>
        <w:t>different methods to calculate adherence (</w:t>
      </w:r>
      <w:r>
        <w:rPr>
          <w:rFonts w:eastAsiaTheme="majorEastAsia" w:cstheme="majorBidi"/>
          <w:bCs/>
          <w:szCs w:val="20"/>
          <w:lang w:val="en-US"/>
        </w:rPr>
        <w:t xml:space="preserve">Baseline, </w:t>
      </w:r>
      <w:r w:rsidRPr="00D210D2">
        <w:rPr>
          <w:rFonts w:eastAsiaTheme="majorEastAsia" w:cstheme="majorBidi"/>
          <w:bCs/>
          <w:szCs w:val="20"/>
          <w:lang w:val="en-US"/>
        </w:rPr>
        <w:t>1A, 1B, 2, and 3</w:t>
      </w:r>
      <w:r>
        <w:rPr>
          <w:rFonts w:eastAsiaTheme="majorEastAsia" w:cstheme="majorBidi"/>
          <w:bCs/>
          <w:szCs w:val="20"/>
          <w:lang w:val="en-US"/>
        </w:rPr>
        <w:t>)</w:t>
      </w:r>
    </w:p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2081"/>
        <w:gridCol w:w="1719"/>
        <w:gridCol w:w="1720"/>
        <w:gridCol w:w="1719"/>
        <w:gridCol w:w="1720"/>
      </w:tblGrid>
      <w:tr w:rsidR="002A4F78" w14:paraId="7E21D151" w14:textId="77777777" w:rsidTr="005F363A">
        <w:trPr>
          <w:trHeight w:val="430"/>
        </w:trPr>
        <w:tc>
          <w:tcPr>
            <w:tcW w:w="2081" w:type="dxa"/>
          </w:tcPr>
          <w:p w14:paraId="5E1673AD" w14:textId="77777777" w:rsidR="002A4F78" w:rsidRDefault="002A4F78" w:rsidP="005F363A">
            <w:pPr>
              <w:spacing w:line="300" w:lineRule="auto"/>
              <w:rPr>
                <w:rFonts w:eastAsiaTheme="majorEastAsia" w:cstheme="majorBidi"/>
                <w:b/>
                <w:szCs w:val="20"/>
                <w:lang w:val="en-US"/>
              </w:rPr>
            </w:pPr>
          </w:p>
        </w:tc>
        <w:tc>
          <w:tcPr>
            <w:tcW w:w="6878" w:type="dxa"/>
            <w:gridSpan w:val="4"/>
            <w:vAlign w:val="center"/>
          </w:tcPr>
          <w:p w14:paraId="1E60AEE2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Mean (SD) PDC, %</w:t>
            </w:r>
          </w:p>
        </w:tc>
      </w:tr>
      <w:tr w:rsidR="002A4F78" w14:paraId="1301A9FC" w14:textId="77777777" w:rsidTr="005F363A">
        <w:trPr>
          <w:trHeight w:val="521"/>
        </w:trPr>
        <w:tc>
          <w:tcPr>
            <w:tcW w:w="2081" w:type="dxa"/>
          </w:tcPr>
          <w:p w14:paraId="7267F99F" w14:textId="77777777" w:rsidR="002A4F78" w:rsidRDefault="002A4F78" w:rsidP="005F363A">
            <w:pPr>
              <w:spacing w:line="300" w:lineRule="auto"/>
              <w:rPr>
                <w:rFonts w:eastAsiaTheme="majorEastAsia" w:cstheme="majorBidi"/>
                <w:b/>
                <w:szCs w:val="20"/>
                <w:lang w:val="en-US"/>
              </w:rPr>
            </w:pPr>
          </w:p>
        </w:tc>
        <w:tc>
          <w:tcPr>
            <w:tcW w:w="1719" w:type="dxa"/>
            <w:vAlign w:val="center"/>
          </w:tcPr>
          <w:p w14:paraId="19E049DE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MITT</w:t>
            </w:r>
          </w:p>
        </w:tc>
        <w:tc>
          <w:tcPr>
            <w:tcW w:w="1720" w:type="dxa"/>
            <w:vAlign w:val="center"/>
          </w:tcPr>
          <w:p w14:paraId="4C7E7BED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SITT</w:t>
            </w:r>
          </w:p>
        </w:tc>
        <w:tc>
          <w:tcPr>
            <w:tcW w:w="1719" w:type="dxa"/>
            <w:vAlign w:val="center"/>
          </w:tcPr>
          <w:p w14:paraId="2B65085E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FF/UMEC/VI</w:t>
            </w:r>
          </w:p>
        </w:tc>
        <w:tc>
          <w:tcPr>
            <w:tcW w:w="1720" w:type="dxa"/>
            <w:vAlign w:val="center"/>
          </w:tcPr>
          <w:p w14:paraId="5DFECCBF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FOR/BDP/GLY</w:t>
            </w:r>
          </w:p>
        </w:tc>
      </w:tr>
      <w:tr w:rsidR="002A4F78" w14:paraId="3CCFA5B2" w14:textId="77777777" w:rsidTr="005F363A">
        <w:trPr>
          <w:trHeight w:val="496"/>
        </w:trPr>
        <w:tc>
          <w:tcPr>
            <w:tcW w:w="2081" w:type="dxa"/>
            <w:vAlign w:val="center"/>
          </w:tcPr>
          <w:p w14:paraId="41E2DFEB" w14:textId="77777777" w:rsidR="002A4F78" w:rsidRDefault="002A4F78" w:rsidP="005F363A">
            <w:pPr>
              <w:spacing w:line="300" w:lineRule="auto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Baseline approach</w:t>
            </w:r>
          </w:p>
        </w:tc>
        <w:tc>
          <w:tcPr>
            <w:tcW w:w="1719" w:type="dxa"/>
          </w:tcPr>
          <w:p w14:paraId="37B51D21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3A2B3DE6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</w:p>
        </w:tc>
        <w:tc>
          <w:tcPr>
            <w:tcW w:w="1719" w:type="dxa"/>
          </w:tcPr>
          <w:p w14:paraId="27F28243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1D7C18C9" w14:textId="77777777" w:rsidR="002A4F78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/>
                <w:szCs w:val="20"/>
                <w:lang w:val="en-US"/>
              </w:rPr>
            </w:pPr>
          </w:p>
        </w:tc>
      </w:tr>
      <w:tr w:rsidR="002A4F78" w14:paraId="594F807A" w14:textId="77777777" w:rsidTr="005F363A">
        <w:trPr>
          <w:trHeight w:val="273"/>
        </w:trPr>
        <w:tc>
          <w:tcPr>
            <w:tcW w:w="2081" w:type="dxa"/>
          </w:tcPr>
          <w:p w14:paraId="05146CDE" w14:textId="77777777" w:rsidR="002A4F78" w:rsidRPr="00D972A6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Cs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6 months</w:t>
            </w:r>
          </w:p>
        </w:tc>
        <w:tc>
          <w:tcPr>
            <w:tcW w:w="1719" w:type="dxa"/>
          </w:tcPr>
          <w:p w14:paraId="7BA133E5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 w:rsidRPr="00984C46">
              <w:rPr>
                <w:rFonts w:eastAsiaTheme="majorEastAsia" w:cstheme="majorBidi"/>
                <w:bCs/>
                <w:szCs w:val="20"/>
                <w:lang w:val="en-US"/>
              </w:rPr>
              <w:t>45.91</w:t>
            </w:r>
            <w:r>
              <w:rPr>
                <w:rFonts w:eastAsiaTheme="majorEastAsia" w:cstheme="majorBidi"/>
                <w:bCs/>
                <w:szCs w:val="20"/>
                <w:lang w:val="en-US"/>
              </w:rPr>
              <w:t xml:space="preserve"> (6.54)</w:t>
            </w:r>
          </w:p>
        </w:tc>
        <w:tc>
          <w:tcPr>
            <w:tcW w:w="1720" w:type="dxa"/>
          </w:tcPr>
          <w:p w14:paraId="7250E1AF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59.98 (9.16)</w:t>
            </w:r>
          </w:p>
        </w:tc>
        <w:tc>
          <w:tcPr>
            <w:tcW w:w="1719" w:type="dxa"/>
          </w:tcPr>
          <w:p w14:paraId="23EEDC67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62.53 (9.71)</w:t>
            </w:r>
          </w:p>
        </w:tc>
        <w:tc>
          <w:tcPr>
            <w:tcW w:w="1720" w:type="dxa"/>
          </w:tcPr>
          <w:p w14:paraId="1D8A2F91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58.18 (8.71)</w:t>
            </w:r>
          </w:p>
        </w:tc>
      </w:tr>
      <w:tr w:rsidR="002A4F78" w14:paraId="570E93AA" w14:textId="77777777" w:rsidTr="005F363A">
        <w:trPr>
          <w:trHeight w:val="288"/>
        </w:trPr>
        <w:tc>
          <w:tcPr>
            <w:tcW w:w="2081" w:type="dxa"/>
          </w:tcPr>
          <w:p w14:paraId="5A00A801" w14:textId="77777777" w:rsidR="002A4F78" w:rsidRPr="00D972A6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Cs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12 months</w:t>
            </w:r>
          </w:p>
        </w:tc>
        <w:tc>
          <w:tcPr>
            <w:tcW w:w="1719" w:type="dxa"/>
          </w:tcPr>
          <w:p w14:paraId="663A067A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35.45 (6.71)</w:t>
            </w:r>
          </w:p>
        </w:tc>
        <w:tc>
          <w:tcPr>
            <w:tcW w:w="1720" w:type="dxa"/>
          </w:tcPr>
          <w:p w14:paraId="5B17678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52.08 (10.32)</w:t>
            </w:r>
          </w:p>
        </w:tc>
        <w:tc>
          <w:tcPr>
            <w:tcW w:w="1719" w:type="dxa"/>
          </w:tcPr>
          <w:p w14:paraId="2BEBDE38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54.30 (11.20)</w:t>
            </w:r>
          </w:p>
        </w:tc>
        <w:tc>
          <w:tcPr>
            <w:tcW w:w="1720" w:type="dxa"/>
          </w:tcPr>
          <w:p w14:paraId="12B8CFF5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50.52 (9.66)</w:t>
            </w:r>
          </w:p>
        </w:tc>
      </w:tr>
      <w:tr w:rsidR="002A4F78" w14:paraId="53C36EEA" w14:textId="77777777" w:rsidTr="005F363A">
        <w:trPr>
          <w:trHeight w:val="273"/>
        </w:trPr>
        <w:tc>
          <w:tcPr>
            <w:tcW w:w="2081" w:type="dxa"/>
          </w:tcPr>
          <w:p w14:paraId="6543BA4C" w14:textId="77777777" w:rsidR="002A4F78" w:rsidRPr="00D972A6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Cs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18 months</w:t>
            </w:r>
          </w:p>
        </w:tc>
        <w:tc>
          <w:tcPr>
            <w:tcW w:w="1719" w:type="dxa"/>
          </w:tcPr>
          <w:p w14:paraId="724ED1C5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31.45 (6.71)</w:t>
            </w:r>
          </w:p>
        </w:tc>
        <w:tc>
          <w:tcPr>
            <w:tcW w:w="1720" w:type="dxa"/>
          </w:tcPr>
          <w:p w14:paraId="54D25C70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48.67 (10.65)</w:t>
            </w:r>
          </w:p>
        </w:tc>
        <w:tc>
          <w:tcPr>
            <w:tcW w:w="1719" w:type="dxa"/>
          </w:tcPr>
          <w:p w14:paraId="253127DB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50.56 (11.54)</w:t>
            </w:r>
          </w:p>
        </w:tc>
        <w:tc>
          <w:tcPr>
            <w:tcW w:w="1720" w:type="dxa"/>
          </w:tcPr>
          <w:p w14:paraId="69D2B700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47.34 (10.00)</w:t>
            </w:r>
          </w:p>
        </w:tc>
      </w:tr>
      <w:tr w:rsidR="002A4F78" w14:paraId="46BD36FE" w14:textId="77777777" w:rsidTr="005F363A">
        <w:trPr>
          <w:trHeight w:val="498"/>
        </w:trPr>
        <w:tc>
          <w:tcPr>
            <w:tcW w:w="2081" w:type="dxa"/>
            <w:vAlign w:val="center"/>
          </w:tcPr>
          <w:p w14:paraId="0B82E0C7" w14:textId="77777777" w:rsidR="002A4F78" w:rsidRDefault="002A4F78" w:rsidP="005F363A">
            <w:pPr>
              <w:spacing w:line="300" w:lineRule="auto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1A</w:t>
            </w:r>
          </w:p>
        </w:tc>
        <w:tc>
          <w:tcPr>
            <w:tcW w:w="1719" w:type="dxa"/>
          </w:tcPr>
          <w:p w14:paraId="36F5D6A2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1037E25E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19" w:type="dxa"/>
          </w:tcPr>
          <w:p w14:paraId="4AF3D7A3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07A4577E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</w:tr>
      <w:tr w:rsidR="002A4F78" w14:paraId="220F2C58" w14:textId="77777777" w:rsidTr="005F363A">
        <w:trPr>
          <w:trHeight w:val="273"/>
        </w:trPr>
        <w:tc>
          <w:tcPr>
            <w:tcW w:w="2081" w:type="dxa"/>
          </w:tcPr>
          <w:p w14:paraId="63F38D48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6 months</w:t>
            </w:r>
          </w:p>
        </w:tc>
        <w:tc>
          <w:tcPr>
            <w:tcW w:w="1719" w:type="dxa"/>
          </w:tcPr>
          <w:p w14:paraId="117FE94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65.39 (5.06)</w:t>
            </w:r>
          </w:p>
        </w:tc>
        <w:tc>
          <w:tcPr>
            <w:tcW w:w="1720" w:type="dxa"/>
          </w:tcPr>
          <w:p w14:paraId="73255F1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77.29 (4.22)</w:t>
            </w:r>
          </w:p>
        </w:tc>
        <w:tc>
          <w:tcPr>
            <w:tcW w:w="1719" w:type="dxa"/>
          </w:tcPr>
          <w:p w14:paraId="7BBE2A27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79.52 (3.56)</w:t>
            </w:r>
          </w:p>
        </w:tc>
        <w:tc>
          <w:tcPr>
            <w:tcW w:w="1720" w:type="dxa"/>
          </w:tcPr>
          <w:p w14:paraId="496425E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75.76 (4.62)</w:t>
            </w:r>
          </w:p>
        </w:tc>
      </w:tr>
      <w:tr w:rsidR="002A4F78" w14:paraId="4C4C6E83" w14:textId="77777777" w:rsidTr="005F363A">
        <w:trPr>
          <w:trHeight w:val="288"/>
        </w:trPr>
        <w:tc>
          <w:tcPr>
            <w:tcW w:w="2081" w:type="dxa"/>
          </w:tcPr>
          <w:p w14:paraId="3B24F77F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12 months</w:t>
            </w:r>
          </w:p>
        </w:tc>
        <w:tc>
          <w:tcPr>
            <w:tcW w:w="1719" w:type="dxa"/>
          </w:tcPr>
          <w:p w14:paraId="1437A093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52.34 (6.16)</w:t>
            </w:r>
          </w:p>
        </w:tc>
        <w:tc>
          <w:tcPr>
            <w:tcW w:w="1720" w:type="dxa"/>
          </w:tcPr>
          <w:p w14:paraId="3517EE4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69.62 (6.30)</w:t>
            </w:r>
          </w:p>
        </w:tc>
        <w:tc>
          <w:tcPr>
            <w:tcW w:w="1719" w:type="dxa"/>
          </w:tcPr>
          <w:p w14:paraId="721D39E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71.12 (6.11)</w:t>
            </w:r>
          </w:p>
        </w:tc>
        <w:tc>
          <w:tcPr>
            <w:tcW w:w="1720" w:type="dxa"/>
          </w:tcPr>
          <w:p w14:paraId="6643A637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68.59 (6.43)</w:t>
            </w:r>
          </w:p>
        </w:tc>
      </w:tr>
      <w:tr w:rsidR="002A4F78" w14:paraId="3584ABD2" w14:textId="77777777" w:rsidTr="005F363A">
        <w:trPr>
          <w:trHeight w:val="273"/>
        </w:trPr>
        <w:tc>
          <w:tcPr>
            <w:tcW w:w="2081" w:type="dxa"/>
          </w:tcPr>
          <w:p w14:paraId="2B386BF6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18 months</w:t>
            </w:r>
          </w:p>
        </w:tc>
        <w:tc>
          <w:tcPr>
            <w:tcW w:w="1719" w:type="dxa"/>
          </w:tcPr>
          <w:p w14:paraId="2E928413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47.21 (6.79)</w:t>
            </w:r>
          </w:p>
        </w:tc>
        <w:tc>
          <w:tcPr>
            <w:tcW w:w="1720" w:type="dxa"/>
          </w:tcPr>
          <w:p w14:paraId="45E1A03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66.22 (7.34)</w:t>
            </w:r>
          </w:p>
        </w:tc>
        <w:tc>
          <w:tcPr>
            <w:tcW w:w="1719" w:type="dxa"/>
          </w:tcPr>
          <w:p w14:paraId="7BCC83F1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67.25 (7.55)</w:t>
            </w:r>
          </w:p>
        </w:tc>
        <w:tc>
          <w:tcPr>
            <w:tcW w:w="1720" w:type="dxa"/>
          </w:tcPr>
          <w:p w14:paraId="6FEEC190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65.52 (7.21)</w:t>
            </w:r>
          </w:p>
        </w:tc>
      </w:tr>
      <w:tr w:rsidR="002A4F78" w14:paraId="5DD4D54D" w14:textId="77777777" w:rsidTr="005F363A">
        <w:trPr>
          <w:trHeight w:val="483"/>
        </w:trPr>
        <w:tc>
          <w:tcPr>
            <w:tcW w:w="2081" w:type="dxa"/>
            <w:vAlign w:val="center"/>
          </w:tcPr>
          <w:p w14:paraId="3DC07087" w14:textId="77777777" w:rsidR="002A4F78" w:rsidRDefault="002A4F78" w:rsidP="005F363A">
            <w:pPr>
              <w:spacing w:line="300" w:lineRule="auto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1B</w:t>
            </w:r>
          </w:p>
        </w:tc>
        <w:tc>
          <w:tcPr>
            <w:tcW w:w="1719" w:type="dxa"/>
          </w:tcPr>
          <w:p w14:paraId="1AA9D1B3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7FDE6DA8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19" w:type="dxa"/>
          </w:tcPr>
          <w:p w14:paraId="1321B7A0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0F8E36B1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</w:tr>
      <w:tr w:rsidR="002A4F78" w14:paraId="15A40596" w14:textId="77777777" w:rsidTr="005F363A">
        <w:trPr>
          <w:trHeight w:val="273"/>
        </w:trPr>
        <w:tc>
          <w:tcPr>
            <w:tcW w:w="2081" w:type="dxa"/>
          </w:tcPr>
          <w:p w14:paraId="4907E33B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6 months</w:t>
            </w:r>
          </w:p>
        </w:tc>
        <w:tc>
          <w:tcPr>
            <w:tcW w:w="1719" w:type="dxa"/>
          </w:tcPr>
          <w:p w14:paraId="4EA53CBA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69.62 (5.46)</w:t>
            </w:r>
          </w:p>
        </w:tc>
        <w:tc>
          <w:tcPr>
            <w:tcW w:w="1720" w:type="dxa"/>
          </w:tcPr>
          <w:p w14:paraId="341793CC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79.49 (3.96)</w:t>
            </w:r>
          </w:p>
        </w:tc>
        <w:tc>
          <w:tcPr>
            <w:tcW w:w="1719" w:type="dxa"/>
          </w:tcPr>
          <w:p w14:paraId="078DC5FD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81.36 (3.41)</w:t>
            </w:r>
          </w:p>
        </w:tc>
        <w:tc>
          <w:tcPr>
            <w:tcW w:w="1720" w:type="dxa"/>
          </w:tcPr>
          <w:p w14:paraId="64F13C52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78.21 (4.32)</w:t>
            </w:r>
          </w:p>
        </w:tc>
      </w:tr>
      <w:tr w:rsidR="002A4F78" w14:paraId="27151365" w14:textId="77777777" w:rsidTr="005F363A">
        <w:trPr>
          <w:trHeight w:val="288"/>
        </w:trPr>
        <w:tc>
          <w:tcPr>
            <w:tcW w:w="2081" w:type="dxa"/>
          </w:tcPr>
          <w:p w14:paraId="5076FF44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12 months</w:t>
            </w:r>
          </w:p>
        </w:tc>
        <w:tc>
          <w:tcPr>
            <w:tcW w:w="1719" w:type="dxa"/>
          </w:tcPr>
          <w:p w14:paraId="002BC141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59.55 (7.45)</w:t>
            </w:r>
          </w:p>
        </w:tc>
        <w:tc>
          <w:tcPr>
            <w:tcW w:w="1720" w:type="dxa"/>
          </w:tcPr>
          <w:p w14:paraId="29A17D28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73.67 (5.78)</w:t>
            </w:r>
          </w:p>
        </w:tc>
        <w:tc>
          <w:tcPr>
            <w:tcW w:w="1719" w:type="dxa"/>
          </w:tcPr>
          <w:p w14:paraId="334B3742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75.14 (5.59)</w:t>
            </w:r>
          </w:p>
        </w:tc>
        <w:tc>
          <w:tcPr>
            <w:tcW w:w="1720" w:type="dxa"/>
          </w:tcPr>
          <w:p w14:paraId="6793AB07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72.65 (5.91)</w:t>
            </w:r>
          </w:p>
        </w:tc>
      </w:tr>
      <w:tr w:rsidR="002A4F78" w14:paraId="5D584B70" w14:textId="77777777" w:rsidTr="005F363A">
        <w:trPr>
          <w:trHeight w:val="273"/>
        </w:trPr>
        <w:tc>
          <w:tcPr>
            <w:tcW w:w="2081" w:type="dxa"/>
          </w:tcPr>
          <w:p w14:paraId="6E95DA16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18 months</w:t>
            </w:r>
          </w:p>
        </w:tc>
        <w:tc>
          <w:tcPr>
            <w:tcW w:w="1719" w:type="dxa"/>
          </w:tcPr>
          <w:p w14:paraId="05DC7A61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55.89 (8.51)</w:t>
            </w:r>
          </w:p>
        </w:tc>
        <w:tc>
          <w:tcPr>
            <w:tcW w:w="1720" w:type="dxa"/>
          </w:tcPr>
          <w:p w14:paraId="764F7C6E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71.14 (6.65)</w:t>
            </w:r>
          </w:p>
        </w:tc>
        <w:tc>
          <w:tcPr>
            <w:tcW w:w="1719" w:type="dxa"/>
          </w:tcPr>
          <w:p w14:paraId="626573B5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72.37 (6.82)</w:t>
            </w:r>
          </w:p>
        </w:tc>
        <w:tc>
          <w:tcPr>
            <w:tcW w:w="1720" w:type="dxa"/>
          </w:tcPr>
          <w:p w14:paraId="6914C862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70.30 (6.54)</w:t>
            </w:r>
          </w:p>
        </w:tc>
      </w:tr>
      <w:tr w:rsidR="002A4F78" w14:paraId="027121E2" w14:textId="77777777" w:rsidTr="005F363A">
        <w:trPr>
          <w:trHeight w:val="485"/>
        </w:trPr>
        <w:tc>
          <w:tcPr>
            <w:tcW w:w="2081" w:type="dxa"/>
            <w:vAlign w:val="center"/>
          </w:tcPr>
          <w:p w14:paraId="1F5300D9" w14:textId="77777777" w:rsidR="002A4F78" w:rsidRDefault="002A4F78" w:rsidP="005F363A">
            <w:pPr>
              <w:spacing w:line="300" w:lineRule="auto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2</w:t>
            </w:r>
          </w:p>
        </w:tc>
        <w:tc>
          <w:tcPr>
            <w:tcW w:w="1719" w:type="dxa"/>
          </w:tcPr>
          <w:p w14:paraId="4E5453A8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141A312C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19" w:type="dxa"/>
          </w:tcPr>
          <w:p w14:paraId="4BDD0FFE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7ABB6726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</w:tr>
      <w:tr w:rsidR="002A4F78" w14:paraId="2F4375BB" w14:textId="77777777" w:rsidTr="005F363A">
        <w:trPr>
          <w:trHeight w:val="273"/>
        </w:trPr>
        <w:tc>
          <w:tcPr>
            <w:tcW w:w="2081" w:type="dxa"/>
          </w:tcPr>
          <w:p w14:paraId="492D7EFE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6 months</w:t>
            </w:r>
          </w:p>
        </w:tc>
        <w:tc>
          <w:tcPr>
            <w:tcW w:w="1719" w:type="dxa"/>
          </w:tcPr>
          <w:p w14:paraId="716DB056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49.99 (7.97)</w:t>
            </w:r>
          </w:p>
        </w:tc>
        <w:tc>
          <w:tcPr>
            <w:tcW w:w="1720" w:type="dxa"/>
          </w:tcPr>
          <w:p w14:paraId="1812D0D3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61.77 (9.92)</w:t>
            </w:r>
          </w:p>
        </w:tc>
        <w:tc>
          <w:tcPr>
            <w:tcW w:w="1719" w:type="dxa"/>
          </w:tcPr>
          <w:p w14:paraId="24E1F29D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64.22 (10.44)</w:t>
            </w:r>
          </w:p>
        </w:tc>
        <w:tc>
          <w:tcPr>
            <w:tcW w:w="1720" w:type="dxa"/>
          </w:tcPr>
          <w:p w14:paraId="0B254136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60.04 (9.49)</w:t>
            </w:r>
          </w:p>
        </w:tc>
      </w:tr>
      <w:tr w:rsidR="002A4F78" w14:paraId="43344EB3" w14:textId="77777777" w:rsidTr="005F363A">
        <w:trPr>
          <w:trHeight w:val="288"/>
        </w:trPr>
        <w:tc>
          <w:tcPr>
            <w:tcW w:w="2081" w:type="dxa"/>
          </w:tcPr>
          <w:p w14:paraId="4A085ADA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12 months</w:t>
            </w:r>
          </w:p>
        </w:tc>
        <w:tc>
          <w:tcPr>
            <w:tcW w:w="1719" w:type="dxa"/>
          </w:tcPr>
          <w:p w14:paraId="3D9247D2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39.43 (8.50)</w:t>
            </w:r>
          </w:p>
        </w:tc>
        <w:tc>
          <w:tcPr>
            <w:tcW w:w="1720" w:type="dxa"/>
          </w:tcPr>
          <w:p w14:paraId="2FDA08F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54.27 (11.41)</w:t>
            </w:r>
          </w:p>
        </w:tc>
        <w:tc>
          <w:tcPr>
            <w:tcW w:w="1719" w:type="dxa"/>
          </w:tcPr>
          <w:p w14:paraId="5A970F73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56.63 (12.43)</w:t>
            </w:r>
          </w:p>
        </w:tc>
        <w:tc>
          <w:tcPr>
            <w:tcW w:w="1720" w:type="dxa"/>
          </w:tcPr>
          <w:p w14:paraId="70388431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52.60 (10.64)</w:t>
            </w:r>
          </w:p>
        </w:tc>
      </w:tr>
      <w:tr w:rsidR="002A4F78" w14:paraId="07CBF6B4" w14:textId="77777777" w:rsidTr="005F363A">
        <w:trPr>
          <w:trHeight w:val="273"/>
        </w:trPr>
        <w:tc>
          <w:tcPr>
            <w:tcW w:w="2081" w:type="dxa"/>
          </w:tcPr>
          <w:p w14:paraId="48BC0F74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18 months</w:t>
            </w:r>
          </w:p>
        </w:tc>
        <w:tc>
          <w:tcPr>
            <w:tcW w:w="1719" w:type="dxa"/>
          </w:tcPr>
          <w:p w14:paraId="71A9BA97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35.30 (8.60)</w:t>
            </w:r>
          </w:p>
        </w:tc>
        <w:tc>
          <w:tcPr>
            <w:tcW w:w="1720" w:type="dxa"/>
          </w:tcPr>
          <w:p w14:paraId="176830D0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51.09 (11.94)</w:t>
            </w:r>
          </w:p>
        </w:tc>
        <w:tc>
          <w:tcPr>
            <w:tcW w:w="1719" w:type="dxa"/>
          </w:tcPr>
          <w:p w14:paraId="13255C14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53.20 (12.98)</w:t>
            </w:r>
          </w:p>
        </w:tc>
        <w:tc>
          <w:tcPr>
            <w:tcW w:w="1720" w:type="dxa"/>
          </w:tcPr>
          <w:p w14:paraId="1B4A2DCE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49.60 (11.16)</w:t>
            </w:r>
          </w:p>
        </w:tc>
      </w:tr>
      <w:tr w:rsidR="002A4F78" w14:paraId="32D2FA68" w14:textId="77777777" w:rsidTr="005F363A">
        <w:trPr>
          <w:trHeight w:val="506"/>
        </w:trPr>
        <w:tc>
          <w:tcPr>
            <w:tcW w:w="2081" w:type="dxa"/>
            <w:vAlign w:val="center"/>
          </w:tcPr>
          <w:p w14:paraId="36C41A14" w14:textId="77777777" w:rsidR="002A4F78" w:rsidRDefault="002A4F78" w:rsidP="005F363A">
            <w:pPr>
              <w:spacing w:line="300" w:lineRule="auto"/>
              <w:rPr>
                <w:rFonts w:eastAsiaTheme="majorEastAsia" w:cstheme="majorBidi"/>
                <w:b/>
                <w:szCs w:val="20"/>
                <w:lang w:val="en-US"/>
              </w:rPr>
            </w:pPr>
            <w:r>
              <w:rPr>
                <w:rFonts w:eastAsiaTheme="majorEastAsia" w:cstheme="majorBidi"/>
                <w:b/>
                <w:szCs w:val="20"/>
                <w:lang w:val="en-US"/>
              </w:rPr>
              <w:t>3</w:t>
            </w:r>
          </w:p>
        </w:tc>
        <w:tc>
          <w:tcPr>
            <w:tcW w:w="1719" w:type="dxa"/>
          </w:tcPr>
          <w:p w14:paraId="1C293E12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753EF2FB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19" w:type="dxa"/>
          </w:tcPr>
          <w:p w14:paraId="0AFC7B1A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  <w:tc>
          <w:tcPr>
            <w:tcW w:w="1720" w:type="dxa"/>
          </w:tcPr>
          <w:p w14:paraId="130B47ED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</w:p>
        </w:tc>
      </w:tr>
      <w:tr w:rsidR="002A4F78" w14:paraId="270EE7C4" w14:textId="77777777" w:rsidTr="005F363A">
        <w:trPr>
          <w:trHeight w:val="273"/>
        </w:trPr>
        <w:tc>
          <w:tcPr>
            <w:tcW w:w="2081" w:type="dxa"/>
          </w:tcPr>
          <w:p w14:paraId="62DD412B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6 months</w:t>
            </w:r>
          </w:p>
        </w:tc>
        <w:tc>
          <w:tcPr>
            <w:tcW w:w="1719" w:type="dxa"/>
          </w:tcPr>
          <w:p w14:paraId="5D1A0335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51.39 (8.25)</w:t>
            </w:r>
          </w:p>
        </w:tc>
        <w:tc>
          <w:tcPr>
            <w:tcW w:w="1720" w:type="dxa"/>
          </w:tcPr>
          <w:p w14:paraId="49F9FA5F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62.85 (9.99)</w:t>
            </w:r>
          </w:p>
        </w:tc>
        <w:tc>
          <w:tcPr>
            <w:tcW w:w="1719" w:type="dxa"/>
          </w:tcPr>
          <w:p w14:paraId="1606DA7E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65.06 (10.45)</w:t>
            </w:r>
          </w:p>
        </w:tc>
        <w:tc>
          <w:tcPr>
            <w:tcW w:w="1720" w:type="dxa"/>
          </w:tcPr>
          <w:p w14:paraId="1FF8CE4B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61.30 (9.62)</w:t>
            </w:r>
          </w:p>
        </w:tc>
      </w:tr>
      <w:tr w:rsidR="002A4F78" w14:paraId="6D07C102" w14:textId="77777777" w:rsidTr="005F363A">
        <w:trPr>
          <w:trHeight w:val="273"/>
        </w:trPr>
        <w:tc>
          <w:tcPr>
            <w:tcW w:w="2081" w:type="dxa"/>
          </w:tcPr>
          <w:p w14:paraId="01DE1FDA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12 months</w:t>
            </w:r>
          </w:p>
        </w:tc>
        <w:tc>
          <w:tcPr>
            <w:tcW w:w="1719" w:type="dxa"/>
          </w:tcPr>
          <w:p w14:paraId="417892E9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40.75 (9.00)</w:t>
            </w:r>
          </w:p>
        </w:tc>
        <w:tc>
          <w:tcPr>
            <w:tcW w:w="1720" w:type="dxa"/>
          </w:tcPr>
          <w:p w14:paraId="49A8CEA3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55.44 (11.68)</w:t>
            </w:r>
          </w:p>
        </w:tc>
        <w:tc>
          <w:tcPr>
            <w:tcW w:w="1719" w:type="dxa"/>
          </w:tcPr>
          <w:p w14:paraId="6C0C1376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57.64 (12.62)</w:t>
            </w:r>
          </w:p>
        </w:tc>
        <w:tc>
          <w:tcPr>
            <w:tcW w:w="1720" w:type="dxa"/>
          </w:tcPr>
          <w:p w14:paraId="26538450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53.89 (10.97)</w:t>
            </w:r>
          </w:p>
        </w:tc>
      </w:tr>
      <w:tr w:rsidR="002A4F78" w14:paraId="3B060306" w14:textId="77777777" w:rsidTr="005F363A">
        <w:trPr>
          <w:trHeight w:val="273"/>
        </w:trPr>
        <w:tc>
          <w:tcPr>
            <w:tcW w:w="2081" w:type="dxa"/>
          </w:tcPr>
          <w:p w14:paraId="5D8462A9" w14:textId="77777777" w:rsidR="002A4F78" w:rsidRDefault="002A4F78" w:rsidP="005F363A">
            <w:pPr>
              <w:spacing w:line="300" w:lineRule="auto"/>
              <w:ind w:left="283"/>
              <w:rPr>
                <w:rFonts w:eastAsiaTheme="majorEastAsia" w:cstheme="majorBidi"/>
                <w:b/>
                <w:szCs w:val="20"/>
                <w:lang w:val="en-US"/>
              </w:rPr>
            </w:pPr>
            <w:r w:rsidRPr="00D972A6">
              <w:rPr>
                <w:rFonts w:eastAsiaTheme="majorEastAsia" w:cstheme="majorBidi"/>
                <w:bCs/>
                <w:szCs w:val="20"/>
                <w:lang w:val="en-US"/>
              </w:rPr>
              <w:t>18 months</w:t>
            </w:r>
          </w:p>
        </w:tc>
        <w:tc>
          <w:tcPr>
            <w:tcW w:w="1719" w:type="dxa"/>
          </w:tcPr>
          <w:p w14:paraId="3AC9CDD4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36.59 (9.20)</w:t>
            </w:r>
          </w:p>
        </w:tc>
        <w:tc>
          <w:tcPr>
            <w:tcW w:w="1720" w:type="dxa"/>
          </w:tcPr>
          <w:p w14:paraId="6AEA0F16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52.25 (12.27)</w:t>
            </w:r>
          </w:p>
        </w:tc>
        <w:tc>
          <w:tcPr>
            <w:tcW w:w="1719" w:type="dxa"/>
          </w:tcPr>
          <w:p w14:paraId="3051AD5D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54.18 (13.22)</w:t>
            </w:r>
          </w:p>
        </w:tc>
        <w:tc>
          <w:tcPr>
            <w:tcW w:w="1720" w:type="dxa"/>
          </w:tcPr>
          <w:p w14:paraId="487491B1" w14:textId="77777777" w:rsidR="002A4F78" w:rsidRPr="00984C46" w:rsidRDefault="002A4F78" w:rsidP="005F363A">
            <w:pPr>
              <w:spacing w:line="300" w:lineRule="auto"/>
              <w:jc w:val="center"/>
              <w:rPr>
                <w:rFonts w:eastAsiaTheme="majorEastAsia" w:cstheme="majorBidi"/>
                <w:bCs/>
                <w:szCs w:val="20"/>
                <w:lang w:val="en-US"/>
              </w:rPr>
            </w:pPr>
            <w:r>
              <w:rPr>
                <w:rFonts w:eastAsiaTheme="majorEastAsia" w:cstheme="majorBidi"/>
                <w:bCs/>
                <w:szCs w:val="20"/>
                <w:lang w:val="en-US"/>
              </w:rPr>
              <w:t>50.90 (11.58)</w:t>
            </w:r>
          </w:p>
        </w:tc>
      </w:tr>
    </w:tbl>
    <w:p w14:paraId="70AEE135" w14:textId="77777777" w:rsidR="002A4F78" w:rsidRPr="00691976" w:rsidRDefault="002A4F78" w:rsidP="002A4F78">
      <w:pPr>
        <w:spacing w:line="360" w:lineRule="auto"/>
        <w:rPr>
          <w:rFonts w:eastAsiaTheme="majorEastAsia" w:cstheme="majorBidi"/>
          <w:bCs/>
          <w:szCs w:val="20"/>
          <w:lang w:val="en-US"/>
        </w:rPr>
      </w:pPr>
      <w:r>
        <w:rPr>
          <w:rFonts w:eastAsiaTheme="majorEastAsia" w:cstheme="majorBidi"/>
          <w:b/>
          <w:szCs w:val="20"/>
          <w:lang w:val="en-US"/>
        </w:rPr>
        <w:t xml:space="preserve">Notes: </w:t>
      </w:r>
      <w:r>
        <w:rPr>
          <w:rFonts w:eastAsiaTheme="majorEastAsia" w:cstheme="majorBidi"/>
          <w:bCs/>
          <w:szCs w:val="20"/>
          <w:lang w:val="en-US"/>
        </w:rPr>
        <w:t xml:space="preserve">Methods to calculate adherence were as follows: Baseline approach) PDC reported among all patients without accounting for stockpiling or hospitalization; </w:t>
      </w:r>
      <w:r>
        <w:rPr>
          <w:lang w:val="en-US"/>
        </w:rPr>
        <w:t xml:space="preserve">1A) PDC was only reported among patients with </w:t>
      </w:r>
      <w:r>
        <w:rPr>
          <w:rFonts w:cs="Arial"/>
          <w:lang w:val="en-US"/>
        </w:rPr>
        <w:t>≥</w:t>
      </w:r>
      <w:r>
        <w:rPr>
          <w:lang w:val="en-US"/>
        </w:rPr>
        <w:t>1 follow-up prescription for the index triple therapy within 2 months of the index date; 1B) PDC was only reported during periods of continuous therapy (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no discontinuation or treatment switches); </w:t>
      </w:r>
      <w:r>
        <w:rPr>
          <w:lang w:val="en-US"/>
        </w:rPr>
        <w:br/>
        <w:t>2)</w:t>
      </w:r>
      <w:r w:rsidRPr="003C23C3">
        <w:rPr>
          <w:lang w:val="en-US"/>
        </w:rPr>
        <w:t xml:space="preserve"> </w:t>
      </w:r>
      <w:r>
        <w:rPr>
          <w:lang w:val="en-US"/>
        </w:rPr>
        <w:t>s</w:t>
      </w:r>
      <w:r w:rsidRPr="00EE33DB">
        <w:rPr>
          <w:lang w:val="en-US"/>
        </w:rPr>
        <w:t>tockpiling was permitted (</w:t>
      </w:r>
      <w:proofErr w:type="spellStart"/>
      <w:r w:rsidRPr="00EE33DB">
        <w:rPr>
          <w:lang w:val="en-US"/>
        </w:rPr>
        <w:t>ie</w:t>
      </w:r>
      <w:proofErr w:type="spellEnd"/>
      <w:r w:rsidRPr="00EE33DB">
        <w:rPr>
          <w:lang w:val="en-US"/>
        </w:rPr>
        <w:t xml:space="preserve"> treatment supply could be allocated to a later point in the observation period)</w:t>
      </w:r>
      <w:r>
        <w:rPr>
          <w:lang w:val="en-US"/>
        </w:rPr>
        <w:t xml:space="preserve">; </w:t>
      </w:r>
      <w:r w:rsidRPr="00EE33DB">
        <w:rPr>
          <w:lang w:val="en-US"/>
        </w:rPr>
        <w:t>3</w:t>
      </w:r>
      <w:r>
        <w:rPr>
          <w:lang w:val="en-US"/>
        </w:rPr>
        <w:t>)</w:t>
      </w:r>
      <w:r w:rsidRPr="00EE33DB">
        <w:rPr>
          <w:lang w:val="en-US"/>
        </w:rPr>
        <w:t xml:space="preserve"> </w:t>
      </w:r>
      <w:r>
        <w:rPr>
          <w:lang w:val="en-US"/>
        </w:rPr>
        <w:t>s</w:t>
      </w:r>
      <w:r w:rsidRPr="00EE33DB">
        <w:rPr>
          <w:lang w:val="en-US"/>
        </w:rPr>
        <w:t>tockpiling was permitted and periods of hospitalization were considered covered</w:t>
      </w:r>
      <w:r>
        <w:rPr>
          <w:lang w:val="en-US"/>
        </w:rPr>
        <w:t>.</w:t>
      </w:r>
    </w:p>
    <w:p w14:paraId="00029AE7" w14:textId="77777777" w:rsidR="002A4F78" w:rsidRDefault="002A4F78" w:rsidP="002A4F78">
      <w:pPr>
        <w:spacing w:line="360" w:lineRule="auto"/>
        <w:rPr>
          <w:rFonts w:eastAsiaTheme="majorEastAsia" w:cstheme="majorBidi"/>
          <w:b/>
          <w:szCs w:val="20"/>
          <w:lang w:val="en-US"/>
        </w:rPr>
        <w:sectPr w:rsidR="002A4F78" w:rsidSect="009A097E">
          <w:pgSz w:w="12240" w:h="15840"/>
          <w:pgMar w:top="1440" w:right="1440" w:bottom="1440" w:left="1440" w:header="0" w:footer="720" w:gutter="0"/>
          <w:cols w:space="720"/>
          <w:formProt w:val="0"/>
          <w:docGrid w:linePitch="360"/>
        </w:sectPr>
      </w:pPr>
      <w:r>
        <w:rPr>
          <w:rFonts w:eastAsiaTheme="majorEastAsia" w:cstheme="majorBidi"/>
          <w:b/>
          <w:szCs w:val="20"/>
          <w:lang w:val="en-US"/>
        </w:rPr>
        <w:t xml:space="preserve">Abbreviations: </w:t>
      </w:r>
      <w:r>
        <w:rPr>
          <w:rFonts w:eastAsiaTheme="majorEastAsia" w:cstheme="majorBidi"/>
          <w:bCs/>
          <w:szCs w:val="20"/>
          <w:lang w:val="en-US"/>
        </w:rPr>
        <w:t xml:space="preserve">FF/UMEC/VI, </w:t>
      </w:r>
      <w:r w:rsidRPr="00667913">
        <w:rPr>
          <w:rFonts w:eastAsiaTheme="majorEastAsia" w:cstheme="majorBidi"/>
          <w:bCs/>
          <w:szCs w:val="20"/>
          <w:lang w:val="en-US"/>
        </w:rPr>
        <w:t>fluticasone furoate/umeclidinium/vilanterol</w:t>
      </w:r>
      <w:r>
        <w:rPr>
          <w:rFonts w:eastAsiaTheme="majorEastAsia" w:cstheme="majorBidi"/>
          <w:bCs/>
          <w:szCs w:val="20"/>
          <w:lang w:val="en-US"/>
        </w:rPr>
        <w:t xml:space="preserve">; FOR/BDP/GLY, </w:t>
      </w:r>
      <w:r w:rsidRPr="006F27F8">
        <w:rPr>
          <w:rFonts w:cs="Arial"/>
          <w:bCs/>
          <w:szCs w:val="20"/>
          <w:lang w:val="en-US"/>
        </w:rPr>
        <w:t>formoterol/beclomethasone/glycopyrronium bromide</w:t>
      </w:r>
      <w:r>
        <w:rPr>
          <w:rFonts w:cs="Arial"/>
          <w:bCs/>
          <w:szCs w:val="20"/>
          <w:lang w:val="en-US"/>
        </w:rPr>
        <w:t xml:space="preserve">; </w:t>
      </w:r>
      <w:r w:rsidRPr="009A0E37">
        <w:rPr>
          <w:bCs/>
          <w:szCs w:val="20"/>
          <w:lang w:val="en-US"/>
        </w:rPr>
        <w:t>MITT</w:t>
      </w:r>
      <w:r>
        <w:rPr>
          <w:szCs w:val="20"/>
          <w:lang w:val="en-US"/>
        </w:rPr>
        <w:t xml:space="preserve">, multiple-inhaler triple therapy; </w:t>
      </w:r>
      <w:r w:rsidRPr="006C03BB">
        <w:rPr>
          <w:szCs w:val="20"/>
          <w:lang w:val="en-US"/>
        </w:rPr>
        <w:br/>
      </w:r>
      <w:r>
        <w:rPr>
          <w:szCs w:val="20"/>
          <w:lang w:val="en-US"/>
        </w:rPr>
        <w:t>PDC, proportion of days covered; SD, standard deviation; SITT, single-inhaler triple therapy</w:t>
      </w:r>
      <w:r w:rsidRPr="006C03BB">
        <w:rPr>
          <w:szCs w:val="20"/>
          <w:lang w:val="en-US"/>
        </w:rPr>
        <w:t>.</w:t>
      </w:r>
    </w:p>
    <w:p w14:paraId="7EFD5213" w14:textId="77777777" w:rsidR="002A4F78" w:rsidRDefault="002A4F78" w:rsidP="002A4F78">
      <w:pPr>
        <w:outlineLvl w:val="1"/>
        <w:rPr>
          <w:rFonts w:eastAsiaTheme="majorEastAsia" w:cstheme="majorBidi"/>
          <w:bCs/>
          <w:szCs w:val="20"/>
          <w:lang w:val="en-US"/>
        </w:rPr>
      </w:pPr>
      <w:r w:rsidRPr="00FD3873">
        <w:rPr>
          <w:rFonts w:eastAsiaTheme="majorEastAsia" w:cstheme="majorBidi"/>
          <w:b/>
          <w:szCs w:val="20"/>
          <w:lang w:val="en-US"/>
        </w:rPr>
        <w:lastRenderedPageBreak/>
        <w:t xml:space="preserve">Supplementary Figure </w:t>
      </w:r>
      <w:r w:rsidRPr="00BE5372">
        <w:rPr>
          <w:rFonts w:eastAsiaTheme="majorEastAsia" w:cstheme="majorBidi"/>
          <w:b/>
          <w:szCs w:val="20"/>
          <w:lang w:val="en-US"/>
        </w:rPr>
        <w:t>1</w:t>
      </w:r>
      <w:r>
        <w:rPr>
          <w:rFonts w:eastAsiaTheme="majorEastAsia" w:cstheme="majorBidi"/>
          <w:b/>
          <w:szCs w:val="20"/>
          <w:lang w:val="en-US"/>
        </w:rPr>
        <w:t xml:space="preserve"> </w:t>
      </w:r>
      <w:r w:rsidRPr="00130BDE">
        <w:rPr>
          <w:rFonts w:eastAsiaTheme="majorEastAsia" w:cstheme="majorBidi"/>
          <w:bCs/>
          <w:szCs w:val="20"/>
          <w:lang w:val="en-US"/>
        </w:rPr>
        <w:t>Difference in the proportion of adherent patients</w:t>
      </w:r>
      <w:r>
        <w:rPr>
          <w:rFonts w:eastAsiaTheme="majorEastAsia" w:cstheme="majorBidi"/>
          <w:bCs/>
          <w:szCs w:val="20"/>
          <w:lang w:val="en-US"/>
        </w:rPr>
        <w:t xml:space="preserve"> (PDC </w:t>
      </w:r>
      <w:r w:rsidRPr="00BE5372">
        <w:rPr>
          <w:rFonts w:eastAsiaTheme="majorEastAsia" w:cstheme="majorBidi"/>
          <w:szCs w:val="20"/>
          <w:lang w:val="en-US"/>
        </w:rPr>
        <w:t>≥</w:t>
      </w:r>
      <w:r>
        <w:rPr>
          <w:rFonts w:eastAsiaTheme="majorEastAsia" w:cstheme="majorBidi"/>
          <w:bCs/>
          <w:szCs w:val="20"/>
          <w:lang w:val="en-US"/>
        </w:rPr>
        <w:t>80%) using different methods to calculate adherence (Baseline, 1A, 1B, 2, and 3)</w:t>
      </w:r>
      <w:r w:rsidRPr="00130BDE">
        <w:rPr>
          <w:rFonts w:eastAsiaTheme="majorEastAsia" w:cstheme="majorBidi"/>
          <w:bCs/>
          <w:szCs w:val="20"/>
          <w:lang w:val="en-US"/>
        </w:rPr>
        <w:t xml:space="preserve">: SITT </w:t>
      </w:r>
      <w:r>
        <w:rPr>
          <w:rFonts w:eastAsiaTheme="majorEastAsia" w:cstheme="majorBidi"/>
          <w:bCs/>
          <w:szCs w:val="20"/>
          <w:lang w:val="en-US"/>
        </w:rPr>
        <w:t>vs</w:t>
      </w:r>
      <w:r w:rsidRPr="00BE5372">
        <w:rPr>
          <w:rFonts w:eastAsiaTheme="majorEastAsia" w:cstheme="majorBidi"/>
          <w:bCs/>
          <w:szCs w:val="20"/>
          <w:lang w:val="en-US"/>
        </w:rPr>
        <w:t xml:space="preserve"> </w:t>
      </w:r>
      <w:r w:rsidRPr="00130BDE">
        <w:rPr>
          <w:rFonts w:eastAsiaTheme="majorEastAsia" w:cstheme="majorBidi"/>
          <w:bCs/>
          <w:szCs w:val="20"/>
          <w:lang w:val="en-US"/>
        </w:rPr>
        <w:t>MITT, IPTW weighted</w:t>
      </w:r>
      <w:r w:rsidRPr="00BE5372">
        <w:rPr>
          <w:rFonts w:eastAsiaTheme="majorEastAsia" w:cstheme="majorBidi"/>
          <w:bCs/>
          <w:szCs w:val="20"/>
          <w:lang w:val="en-US"/>
        </w:rPr>
        <w:t>.</w:t>
      </w:r>
    </w:p>
    <w:p w14:paraId="5742B204" w14:textId="77777777" w:rsidR="002A4F78" w:rsidRDefault="002A4F78" w:rsidP="002A4F78">
      <w:pPr>
        <w:spacing w:line="360" w:lineRule="auto"/>
        <w:rPr>
          <w:rFonts w:eastAsiaTheme="majorEastAsia" w:cstheme="majorBidi"/>
          <w:bCs/>
          <w:szCs w:val="20"/>
          <w:lang w:val="en-US"/>
        </w:rPr>
      </w:pPr>
      <w:r w:rsidRPr="003C23C3">
        <w:rPr>
          <w:noProof/>
          <w:lang w:val="en-US"/>
        </w:rPr>
        <w:drawing>
          <wp:inline distT="0" distB="0" distL="0" distR="0" wp14:anchorId="4C3266D0" wp14:editId="449F0491">
            <wp:extent cx="8228983" cy="3818534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467" b="5854"/>
                    <a:stretch/>
                  </pic:blipFill>
                  <pic:spPr bwMode="auto">
                    <a:xfrm>
                      <a:off x="0" y="0"/>
                      <a:ext cx="8229600" cy="381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428AF" w14:textId="77777777" w:rsidR="002A4F78" w:rsidRPr="00691976" w:rsidRDefault="002A4F78" w:rsidP="002A4F78">
      <w:pPr>
        <w:spacing w:line="360" w:lineRule="auto"/>
        <w:rPr>
          <w:rFonts w:eastAsiaTheme="majorEastAsia" w:cstheme="majorBidi"/>
          <w:bCs/>
          <w:szCs w:val="20"/>
          <w:lang w:val="en-US"/>
        </w:rPr>
      </w:pPr>
      <w:r>
        <w:rPr>
          <w:rFonts w:eastAsiaTheme="majorEastAsia" w:cstheme="majorBidi"/>
          <w:b/>
          <w:szCs w:val="20"/>
          <w:lang w:val="en-US"/>
        </w:rPr>
        <w:t xml:space="preserve">Notes: </w:t>
      </w:r>
      <w:r>
        <w:rPr>
          <w:rFonts w:eastAsiaTheme="majorEastAsia" w:cstheme="majorBidi"/>
          <w:bCs/>
          <w:szCs w:val="20"/>
          <w:lang w:val="en-US"/>
        </w:rPr>
        <w:t xml:space="preserve">Methods to calculate adherence were as follows: Baseline approach) PDC reported among all patients without accounting for stockpiling or hospitalization; </w:t>
      </w:r>
      <w:r>
        <w:rPr>
          <w:lang w:val="en-US"/>
        </w:rPr>
        <w:t xml:space="preserve">1A) PDC was only reported among patients with </w:t>
      </w:r>
      <w:r>
        <w:rPr>
          <w:rFonts w:cs="Arial"/>
          <w:lang w:val="en-US"/>
        </w:rPr>
        <w:t>≥</w:t>
      </w:r>
      <w:r>
        <w:rPr>
          <w:lang w:val="en-US"/>
        </w:rPr>
        <w:t>1 follow-up prescription for the index triple therapy within 2 months of the index date; 1B) PDC was only reported during periods of continuous therapy (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no discontinuation or treatment switches); 2)</w:t>
      </w:r>
      <w:r w:rsidRPr="003C23C3">
        <w:rPr>
          <w:lang w:val="en-US"/>
        </w:rPr>
        <w:t xml:space="preserve"> </w:t>
      </w:r>
      <w:r>
        <w:rPr>
          <w:lang w:val="en-US"/>
        </w:rPr>
        <w:t>s</w:t>
      </w:r>
      <w:r w:rsidRPr="00EE33DB">
        <w:rPr>
          <w:lang w:val="en-US"/>
        </w:rPr>
        <w:t>tockpiling was permitted (</w:t>
      </w:r>
      <w:proofErr w:type="spellStart"/>
      <w:r w:rsidRPr="00EE33DB">
        <w:rPr>
          <w:lang w:val="en-US"/>
        </w:rPr>
        <w:t>ie</w:t>
      </w:r>
      <w:proofErr w:type="spellEnd"/>
      <w:r w:rsidRPr="00EE33DB">
        <w:rPr>
          <w:lang w:val="en-US"/>
        </w:rPr>
        <w:t xml:space="preserve"> treatment supply could be allocated to a later point in the observation period)</w:t>
      </w:r>
      <w:r>
        <w:rPr>
          <w:lang w:val="en-US"/>
        </w:rPr>
        <w:t xml:space="preserve">; </w:t>
      </w:r>
      <w:r w:rsidRPr="00EE33DB">
        <w:rPr>
          <w:lang w:val="en-US"/>
        </w:rPr>
        <w:t>3</w:t>
      </w:r>
      <w:r>
        <w:rPr>
          <w:lang w:val="en-US"/>
        </w:rPr>
        <w:t>)</w:t>
      </w:r>
      <w:r w:rsidRPr="00EE33DB">
        <w:rPr>
          <w:lang w:val="en-US"/>
        </w:rPr>
        <w:t xml:space="preserve"> </w:t>
      </w:r>
      <w:r>
        <w:rPr>
          <w:lang w:val="en-US"/>
        </w:rPr>
        <w:t>s</w:t>
      </w:r>
      <w:r w:rsidRPr="00EE33DB">
        <w:rPr>
          <w:lang w:val="en-US"/>
        </w:rPr>
        <w:t>tockpiling was permitted and periods of hospitalization were considered covered</w:t>
      </w:r>
      <w:r>
        <w:rPr>
          <w:lang w:val="en-US"/>
        </w:rPr>
        <w:t>.</w:t>
      </w:r>
    </w:p>
    <w:p w14:paraId="7E898442" w14:textId="77777777" w:rsidR="002A4F78" w:rsidRDefault="002A4F78" w:rsidP="002A4F78">
      <w:pPr>
        <w:spacing w:line="360" w:lineRule="auto"/>
        <w:rPr>
          <w:rFonts w:eastAsiaTheme="majorEastAsia" w:cstheme="majorBidi"/>
          <w:b/>
          <w:szCs w:val="20"/>
          <w:lang w:val="en-US"/>
        </w:rPr>
      </w:pPr>
      <w:r>
        <w:rPr>
          <w:rFonts w:eastAsiaTheme="majorEastAsia" w:cstheme="majorBidi"/>
          <w:b/>
          <w:szCs w:val="20"/>
          <w:lang w:val="en-US"/>
        </w:rPr>
        <w:t xml:space="preserve">Abbreviations: </w:t>
      </w:r>
      <w:r w:rsidRPr="009A0E37">
        <w:rPr>
          <w:rFonts w:eastAsiaTheme="majorEastAsia" w:cstheme="majorBidi"/>
          <w:bCs/>
          <w:szCs w:val="20"/>
          <w:lang w:val="en-US"/>
        </w:rPr>
        <w:t xml:space="preserve">IPTW, inverse probability of treatment weighting; </w:t>
      </w:r>
      <w:r w:rsidRPr="009A0E37">
        <w:rPr>
          <w:bCs/>
          <w:szCs w:val="20"/>
          <w:lang w:val="en-US"/>
        </w:rPr>
        <w:t>MITT</w:t>
      </w:r>
      <w:r>
        <w:rPr>
          <w:szCs w:val="20"/>
          <w:lang w:val="en-US"/>
        </w:rPr>
        <w:t xml:space="preserve">, multiple-inhaler triple therapy; PDC, proportion of days covered; </w:t>
      </w:r>
      <w:r w:rsidRPr="00142DCC">
        <w:rPr>
          <w:szCs w:val="20"/>
          <w:lang w:val="en-US"/>
        </w:rPr>
        <w:br/>
      </w:r>
      <w:r>
        <w:rPr>
          <w:szCs w:val="20"/>
          <w:lang w:val="en-US"/>
        </w:rPr>
        <w:t>SITT, single-inhaler triple therapy</w:t>
      </w:r>
      <w:r w:rsidRPr="00142DCC">
        <w:rPr>
          <w:szCs w:val="20"/>
          <w:lang w:val="en-US"/>
        </w:rPr>
        <w:t>.</w:t>
      </w:r>
    </w:p>
    <w:p w14:paraId="7CA3CB23" w14:textId="77777777" w:rsidR="002A4F78" w:rsidRDefault="002A4F78" w:rsidP="002A4F78">
      <w:pPr>
        <w:spacing w:line="240" w:lineRule="auto"/>
        <w:rPr>
          <w:rFonts w:eastAsiaTheme="majorEastAsia" w:cstheme="majorBidi"/>
          <w:szCs w:val="20"/>
          <w:lang w:val="en-US"/>
        </w:rPr>
        <w:sectPr w:rsidR="002A4F78" w:rsidSect="004A5ADF">
          <w:pgSz w:w="15840" w:h="12240" w:orient="landscape"/>
          <w:pgMar w:top="1440" w:right="1440" w:bottom="1440" w:left="1440" w:header="0" w:footer="720" w:gutter="0"/>
          <w:cols w:space="720"/>
          <w:formProt w:val="0"/>
          <w:docGrid w:linePitch="360"/>
        </w:sectPr>
      </w:pPr>
    </w:p>
    <w:p w14:paraId="32B504F6" w14:textId="77777777" w:rsidR="002A4F78" w:rsidRPr="00BE5372" w:rsidRDefault="002A4F78" w:rsidP="002A4F78">
      <w:pPr>
        <w:outlineLvl w:val="1"/>
        <w:rPr>
          <w:rFonts w:eastAsiaTheme="majorEastAsia" w:cstheme="majorBidi"/>
          <w:szCs w:val="20"/>
          <w:lang w:val="en-US"/>
        </w:rPr>
      </w:pPr>
      <w:r w:rsidRPr="00BE5372">
        <w:rPr>
          <w:rFonts w:eastAsiaTheme="majorEastAsia" w:cstheme="majorBidi"/>
          <w:b/>
          <w:szCs w:val="20"/>
          <w:lang w:val="en-US"/>
        </w:rPr>
        <w:lastRenderedPageBreak/>
        <w:t xml:space="preserve">Supplementary Figure 2 </w:t>
      </w:r>
      <w:r w:rsidRPr="00125405">
        <w:rPr>
          <w:rFonts w:eastAsiaTheme="majorEastAsia" w:cstheme="majorBidi"/>
          <w:bCs/>
          <w:szCs w:val="20"/>
          <w:lang w:val="en-US"/>
        </w:rPr>
        <w:t>(</w:t>
      </w:r>
      <w:r w:rsidRPr="00125405">
        <w:rPr>
          <w:rFonts w:eastAsiaTheme="majorEastAsia" w:cstheme="majorBidi"/>
          <w:b/>
          <w:szCs w:val="20"/>
          <w:lang w:val="en-US"/>
        </w:rPr>
        <w:t>A</w:t>
      </w:r>
      <w:r w:rsidRPr="00BE5372">
        <w:rPr>
          <w:rFonts w:eastAsiaTheme="majorEastAsia" w:cstheme="majorBidi"/>
          <w:szCs w:val="20"/>
          <w:lang w:val="en-US"/>
        </w:rPr>
        <w:t xml:space="preserve">) </w:t>
      </w:r>
      <w:r w:rsidRPr="00BE5372">
        <w:rPr>
          <w:rFonts w:eastAsiaTheme="majorEastAsia" w:cstheme="majorBidi"/>
          <w:bCs/>
          <w:szCs w:val="20"/>
          <w:lang w:val="en-US"/>
        </w:rPr>
        <w:t>proportion</w:t>
      </w:r>
      <w:r w:rsidRPr="00BE5372">
        <w:rPr>
          <w:rFonts w:eastAsiaTheme="majorEastAsia" w:cstheme="majorBidi"/>
          <w:szCs w:val="20"/>
          <w:lang w:val="en-US"/>
        </w:rPr>
        <w:t xml:space="preserve"> of adherent patients (PDC</w:t>
      </w:r>
      <w:r>
        <w:rPr>
          <w:rFonts w:eastAsiaTheme="majorEastAsia" w:cstheme="majorBidi"/>
          <w:szCs w:val="20"/>
          <w:lang w:val="en-US"/>
        </w:rPr>
        <w:t xml:space="preserve"> </w:t>
      </w:r>
      <w:r w:rsidRPr="00BE5372">
        <w:rPr>
          <w:rFonts w:eastAsiaTheme="majorEastAsia" w:cstheme="majorBidi"/>
          <w:szCs w:val="20"/>
          <w:lang w:val="en-US"/>
        </w:rPr>
        <w:t xml:space="preserve">≥80%) and </w:t>
      </w:r>
      <w:r>
        <w:rPr>
          <w:rFonts w:eastAsiaTheme="majorEastAsia" w:cstheme="majorBidi"/>
          <w:bCs/>
          <w:szCs w:val="20"/>
          <w:lang w:val="en-US"/>
        </w:rPr>
        <w:t>(</w:t>
      </w:r>
      <w:r w:rsidRPr="00125405">
        <w:rPr>
          <w:rFonts w:eastAsiaTheme="majorEastAsia" w:cstheme="majorBidi"/>
          <w:b/>
          <w:szCs w:val="20"/>
          <w:lang w:val="en-US"/>
        </w:rPr>
        <w:t>B</w:t>
      </w:r>
      <w:r w:rsidRPr="00BE5372">
        <w:rPr>
          <w:rFonts w:eastAsiaTheme="majorEastAsia" w:cstheme="majorBidi"/>
          <w:szCs w:val="20"/>
          <w:lang w:val="en-US"/>
        </w:rPr>
        <w:t>) Kaplan–Meier curve of persistence (exploratory analysis during COVID-</w:t>
      </w:r>
      <w:r w:rsidRPr="00BE5372">
        <w:rPr>
          <w:rFonts w:eastAsiaTheme="majorEastAsia" w:cstheme="majorBidi"/>
          <w:bCs/>
          <w:szCs w:val="20"/>
          <w:lang w:val="en-US"/>
        </w:rPr>
        <w:t>19</w:t>
      </w:r>
      <w:r w:rsidRPr="00BE5372">
        <w:rPr>
          <w:rFonts w:eastAsiaTheme="majorEastAsia" w:cstheme="majorBidi"/>
          <w:szCs w:val="20"/>
          <w:lang w:val="en-US"/>
        </w:rPr>
        <w:t xml:space="preserve"> period</w:t>
      </w:r>
      <w:r w:rsidRPr="00BE5372">
        <w:rPr>
          <w:rFonts w:eastAsiaTheme="majorEastAsia" w:cstheme="majorBidi"/>
          <w:bCs/>
          <w:szCs w:val="20"/>
          <w:lang w:val="en-US"/>
        </w:rPr>
        <w:t>).</w:t>
      </w:r>
    </w:p>
    <w:p w14:paraId="658C25F6" w14:textId="77777777" w:rsidR="002A4F78" w:rsidRPr="001A1D5C" w:rsidRDefault="002A4F78" w:rsidP="002A4F78">
      <w:pPr>
        <w:rPr>
          <w:rFonts w:eastAsiaTheme="majorEastAsia" w:cstheme="majorBidi"/>
          <w:bCs/>
          <w:szCs w:val="28"/>
          <w:lang w:val="en-US"/>
        </w:rPr>
      </w:pPr>
      <w:r w:rsidRPr="00936316">
        <w:rPr>
          <w:rFonts w:eastAsiaTheme="majorEastAsia" w:cstheme="majorBidi"/>
          <w:b/>
          <w:szCs w:val="28"/>
          <w:lang w:val="en-US"/>
        </w:rPr>
        <w:t xml:space="preserve">A </w:t>
      </w:r>
    </w:p>
    <w:p w14:paraId="4C992AFA" w14:textId="77777777" w:rsidR="002A4F78" w:rsidRDefault="002A4F78" w:rsidP="002A4F78">
      <w:pPr>
        <w:rPr>
          <w:rFonts w:eastAsiaTheme="majorEastAsia" w:cstheme="majorBidi"/>
          <w:b/>
          <w:szCs w:val="28"/>
          <w:lang w:val="en-US"/>
        </w:rPr>
      </w:pPr>
      <w:r w:rsidRPr="003C23C3">
        <w:rPr>
          <w:noProof/>
          <w:lang w:val="en-US"/>
        </w:rPr>
        <w:drawing>
          <wp:inline distT="0" distB="0" distL="0" distR="0" wp14:anchorId="237F01B3" wp14:editId="5A70ED64">
            <wp:extent cx="4653887" cy="248194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917" b="1639"/>
                    <a:stretch/>
                  </pic:blipFill>
                  <pic:spPr bwMode="auto">
                    <a:xfrm>
                      <a:off x="0" y="0"/>
                      <a:ext cx="4670056" cy="2490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2A624" w14:textId="77777777" w:rsidR="002A4F78" w:rsidRDefault="002A4F78" w:rsidP="002A4F78">
      <w:pPr>
        <w:rPr>
          <w:rFonts w:eastAsiaTheme="majorEastAsia" w:cstheme="majorBidi"/>
          <w:b/>
          <w:szCs w:val="28"/>
          <w:lang w:val="en-US"/>
        </w:rPr>
      </w:pPr>
      <w:r>
        <w:rPr>
          <w:rFonts w:eastAsiaTheme="majorEastAsia" w:cstheme="majorBidi"/>
          <w:b/>
          <w:szCs w:val="28"/>
          <w:lang w:val="en-US"/>
        </w:rPr>
        <w:t xml:space="preserve">B </w:t>
      </w:r>
    </w:p>
    <w:p w14:paraId="057C8D72" w14:textId="77777777" w:rsidR="002A4F78" w:rsidRDefault="002A4F78" w:rsidP="002A4F78">
      <w:pPr>
        <w:rPr>
          <w:rFonts w:eastAsiaTheme="majorEastAsia" w:cstheme="majorBidi"/>
          <w:bCs/>
          <w:szCs w:val="28"/>
          <w:lang w:val="en-US"/>
        </w:rPr>
      </w:pPr>
      <w:r>
        <w:rPr>
          <w:noProof/>
        </w:rPr>
        <w:drawing>
          <wp:inline distT="0" distB="0" distL="0" distR="0" wp14:anchorId="39500C77" wp14:editId="4EFB03BA">
            <wp:extent cx="3590925" cy="3438617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999" cy="344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959E" w14:textId="38FCCFD7" w:rsidR="00166A09" w:rsidRPr="002A4F78" w:rsidRDefault="002A4F78" w:rsidP="002A4F78">
      <w:pPr>
        <w:spacing w:line="360" w:lineRule="auto"/>
        <w:rPr>
          <w:rFonts w:eastAsiaTheme="majorEastAsia" w:cstheme="majorBidi"/>
          <w:b/>
          <w:szCs w:val="20"/>
          <w:lang w:val="en-US"/>
        </w:rPr>
      </w:pPr>
      <w:r>
        <w:rPr>
          <w:rFonts w:eastAsiaTheme="majorEastAsia" w:cstheme="majorBidi"/>
          <w:b/>
          <w:szCs w:val="20"/>
          <w:lang w:val="en-US"/>
        </w:rPr>
        <w:t xml:space="preserve">Abbreviations: </w:t>
      </w:r>
      <w:r>
        <w:rPr>
          <w:szCs w:val="20"/>
          <w:lang w:val="en-US"/>
        </w:rPr>
        <w:t xml:space="preserve">FF/UMEC/VI, </w:t>
      </w:r>
      <w:r w:rsidRPr="002F090D">
        <w:rPr>
          <w:szCs w:val="20"/>
          <w:lang w:val="en-US"/>
        </w:rPr>
        <w:t>fluticasone furoate/umeclidinium/vilanterol</w:t>
      </w:r>
      <w:r>
        <w:rPr>
          <w:szCs w:val="20"/>
          <w:lang w:val="en-US"/>
        </w:rPr>
        <w:t>; FOR/BDP/GLY,</w:t>
      </w:r>
      <w:r w:rsidRPr="00DF62FA">
        <w:rPr>
          <w:lang w:val="en-US"/>
        </w:rPr>
        <w:t xml:space="preserve"> </w:t>
      </w:r>
      <w:r w:rsidRPr="002F090D">
        <w:rPr>
          <w:szCs w:val="20"/>
          <w:lang w:val="en-US"/>
        </w:rPr>
        <w:t>formoterol/beclomethasone/glycopyrronium bromide</w:t>
      </w:r>
      <w:r>
        <w:rPr>
          <w:szCs w:val="20"/>
          <w:lang w:val="en-US"/>
        </w:rPr>
        <w:t xml:space="preserve">; </w:t>
      </w:r>
      <w:r w:rsidRPr="00DF62FA">
        <w:rPr>
          <w:szCs w:val="20"/>
          <w:lang w:val="en-US"/>
        </w:rPr>
        <w:t xml:space="preserve">FOR/GLY/BUD, formoterol/glycopyrronium bromide/budesonide; </w:t>
      </w:r>
      <w:r>
        <w:rPr>
          <w:szCs w:val="20"/>
          <w:lang w:val="en-US"/>
        </w:rPr>
        <w:t xml:space="preserve">MITT, multiple-inhaler triple therapy; PDC, proportion of days covered; </w:t>
      </w:r>
      <w:r w:rsidRPr="00DF62FA">
        <w:rPr>
          <w:szCs w:val="20"/>
          <w:lang w:val="en-US"/>
        </w:rPr>
        <w:br/>
      </w:r>
      <w:r>
        <w:rPr>
          <w:szCs w:val="20"/>
          <w:lang w:val="en-US"/>
        </w:rPr>
        <w:t>SITT, single-inhaler triple therapy</w:t>
      </w:r>
      <w:r w:rsidRPr="00DF62FA">
        <w:rPr>
          <w:szCs w:val="20"/>
          <w:lang w:val="en-US"/>
        </w:rPr>
        <w:t>.</w:t>
      </w:r>
    </w:p>
    <w:sectPr w:rsidR="00166A09" w:rsidRPr="002A4F78" w:rsidSect="009A097E"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B71"/>
    <w:multiLevelType w:val="hybridMultilevel"/>
    <w:tmpl w:val="5254F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B55BA"/>
    <w:multiLevelType w:val="hybridMultilevel"/>
    <w:tmpl w:val="1D5E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40170">
    <w:abstractNumId w:val="0"/>
  </w:num>
  <w:num w:numId="2" w16cid:durableId="68694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78"/>
    <w:rsid w:val="00166A09"/>
    <w:rsid w:val="002A4F78"/>
    <w:rsid w:val="00E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243C"/>
  <w15:chartTrackingRefBased/>
  <w15:docId w15:val="{CA6E30BB-2DFE-45EB-905A-17877CA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78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A4F78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A4F78"/>
    <w:pPr>
      <w:ind w:left="720"/>
      <w:contextualSpacing/>
    </w:pPr>
    <w:rPr>
      <w:rFonts w:ascii="Times New Roman" w:hAnsi="Times New Roman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2A4F7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3AF4C3812148A61739EEDD98EC44" ma:contentTypeVersion="8" ma:contentTypeDescription="Create a new document." ma:contentTypeScope="" ma:versionID="89df44bdbc21b4dab3d8a4d9692a174f">
  <xsd:schema xmlns:xsd="http://www.w3.org/2001/XMLSchema" xmlns:xs="http://www.w3.org/2001/XMLSchema" xmlns:p="http://schemas.microsoft.com/office/2006/metadata/properties" xmlns:ns1="http://schemas.microsoft.com/sharepoint/v3" xmlns:ns2="7f9c56cb-d15a-4551-840a-39c89227f738" xmlns:ns3="0256d653-f31e-4e0e-8309-eadac25a8b8d" xmlns:ns4="20280fe6-6c23-486a-8f97-9ead9cb44225" xmlns:ns5="9ec7de23-bb5a-49de-ace5-5cac4066ed19" targetNamespace="http://schemas.microsoft.com/office/2006/metadata/properties" ma:root="true" ma:fieldsID="1442cff116e4057544025d64fa892fa0" ns1:_="" ns2:_="" ns3:_="" ns4:_="" ns5:_="">
    <xsd:import namespace="http://schemas.microsoft.com/sharepoint/v3"/>
    <xsd:import namespace="7f9c56cb-d15a-4551-840a-39c89227f738"/>
    <xsd:import namespace="0256d653-f31e-4e0e-8309-eadac25a8b8d"/>
    <xsd:import namespace="20280fe6-6c23-486a-8f97-9ead9cb44225"/>
    <xsd:import namespace="9ec7de23-bb5a-49de-ace5-5cac4066ed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LengthInSecond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c56cb-d15a-4551-840a-39c89227f7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92ca2d3d-5e9e-448f-a267-95438d541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6d653-f31e-4e0e-8309-eadac25a8b8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fd7999f-fafe-49af-aa8c-13c3680a5a28}" ma:internalName="TaxCatchAll" ma:showField="CatchAllData" ma:web="0256d653-f31e-4e0e-8309-eadac25a8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80fe6-6c23-486a-8f97-9ead9cb4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7de23-bb5a-49de-ace5-5cac4066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f9c56cb-d15a-4551-840a-39c89227f738" xsi:nil="true"/>
    <_ip_UnifiedCompliancePolicyUIAction xmlns="http://schemas.microsoft.com/sharepoint/v3" xsi:nil="true"/>
    <TaxCatchAll xmlns="0256d653-f31e-4e0e-8309-eadac25a8b8d" xsi:nil="true"/>
    <lcf76f155ced4ddcb4097134ff3c332f xmlns="7f9c56cb-d15a-4551-840a-39c89227f73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5EC389-CE6A-43F5-9C21-B928CD628AB6}"/>
</file>

<file path=customXml/itemProps2.xml><?xml version="1.0" encoding="utf-8"?>
<ds:datastoreItem xmlns:ds="http://schemas.openxmlformats.org/officeDocument/2006/customXml" ds:itemID="{2753C113-0842-4B3E-B845-AB4EF38F6723}"/>
</file>

<file path=customXml/itemProps3.xml><?xml version="1.0" encoding="utf-8"?>
<ds:datastoreItem xmlns:ds="http://schemas.openxmlformats.org/officeDocument/2006/customXml" ds:itemID="{2EC13308-A1C4-4443-A4DB-C5B3B5AB3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Cunningham</dc:creator>
  <cp:keywords/>
  <dc:description/>
  <cp:lastModifiedBy>Rebecca Cunningham</cp:lastModifiedBy>
  <cp:revision>1</cp:revision>
  <dcterms:created xsi:type="dcterms:W3CDTF">2024-01-19T13:55:00Z</dcterms:created>
  <dcterms:modified xsi:type="dcterms:W3CDTF">2024-01-19T13:56:00Z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0x010100E2993AF4C3812148A61739EEDD98EC44</vt:lpwstr>
  </property>
</Properties>
</file>