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894"/>
        <w:gridCol w:w="709"/>
        <w:gridCol w:w="850"/>
        <w:gridCol w:w="851"/>
        <w:gridCol w:w="708"/>
        <w:gridCol w:w="851"/>
        <w:gridCol w:w="850"/>
        <w:gridCol w:w="851"/>
        <w:gridCol w:w="708"/>
      </w:tblGrid>
      <w:tr w:rsidR="00715E16" w:rsidRPr="00715E16" w14:paraId="4A1EAFE9" w14:textId="77777777" w:rsidTr="001B0216">
        <w:trPr>
          <w:trHeight w:val="268"/>
          <w:jc w:val="center"/>
        </w:trPr>
        <w:tc>
          <w:tcPr>
            <w:tcW w:w="907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C3E3908" w14:textId="192A2122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 xml:space="preserve">Table A.1 Perceived challenges to teleradiology according to experience (years after residency) and workplace (MOH: </w:t>
            </w:r>
            <w:r w:rsidR="00715E16"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Ministry</w:t>
            </w: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 xml:space="preserve"> of Health; non-MOH govt: governmental hospitals that are not part of MOH; Private: private hospitals and polyclinics)</w:t>
            </w:r>
          </w:p>
        </w:tc>
      </w:tr>
      <w:tr w:rsidR="00715E16" w:rsidRPr="00715E16" w14:paraId="003C878E" w14:textId="77777777" w:rsidTr="001B0216">
        <w:trPr>
          <w:trHeight w:val="268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4F6CD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Challenge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0F3CD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Response*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EAC1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Years after residency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C1AD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p-value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D70B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Workplace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AA79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p-value</w:t>
            </w:r>
          </w:p>
        </w:tc>
      </w:tr>
      <w:tr w:rsidR="00715E16" w:rsidRPr="00715E16" w14:paraId="66650D9C" w14:textId="77777777" w:rsidTr="001B0216">
        <w:trPr>
          <w:trHeight w:val="243"/>
          <w:jc w:val="center"/>
        </w:trPr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29067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E8C4D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D43F4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 to 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C521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26 or more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6519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Under 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E5C74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1AE76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MOH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2D2B6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Non-MOH govt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E5AF2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Private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47C7A1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1565FA6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DC815AD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Lack of proximity to the technologist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F47F4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3D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5(13%)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319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71E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9(15%)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7DC69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0.095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E39867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6(11.1%)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FE8992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48A57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7301A65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.554</w:t>
            </w:r>
          </w:p>
        </w:tc>
      </w:tr>
      <w:tr w:rsidR="00715E16" w:rsidRPr="00715E16" w14:paraId="7D89C1FF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09A01E4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EB63B6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1174F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C141C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0580E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13(21%)</w:t>
            </w:r>
          </w:p>
        </w:tc>
        <w:tc>
          <w:tcPr>
            <w:tcW w:w="708" w:type="dxa"/>
            <w:vMerge/>
            <w:vAlign w:val="center"/>
            <w:hideMark/>
          </w:tcPr>
          <w:p w14:paraId="632E0EC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8FAD15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16(29.6%)</w:t>
            </w:r>
          </w:p>
        </w:tc>
        <w:tc>
          <w:tcPr>
            <w:tcW w:w="850" w:type="dxa"/>
            <w:vAlign w:val="center"/>
          </w:tcPr>
          <w:p w14:paraId="493F0FD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13506FE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0FE2740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1A9F2109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28E4603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C4B7B7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CB5BA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87884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83121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23(38%)</w:t>
            </w:r>
          </w:p>
        </w:tc>
        <w:tc>
          <w:tcPr>
            <w:tcW w:w="708" w:type="dxa"/>
            <w:vMerge/>
            <w:vAlign w:val="center"/>
            <w:hideMark/>
          </w:tcPr>
          <w:p w14:paraId="235A969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550C1B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15(27.8%)</w:t>
            </w:r>
          </w:p>
        </w:tc>
        <w:tc>
          <w:tcPr>
            <w:tcW w:w="850" w:type="dxa"/>
            <w:vAlign w:val="center"/>
          </w:tcPr>
          <w:p w14:paraId="6624DB5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12(27.3%)</w:t>
            </w:r>
          </w:p>
        </w:tc>
        <w:tc>
          <w:tcPr>
            <w:tcW w:w="851" w:type="dxa"/>
            <w:vAlign w:val="center"/>
          </w:tcPr>
          <w:p w14:paraId="2F00034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2E8AB71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5BAED1A1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65C31FC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9A6D00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87D2B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AABFF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92731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9(15%)</w:t>
            </w:r>
          </w:p>
        </w:tc>
        <w:tc>
          <w:tcPr>
            <w:tcW w:w="708" w:type="dxa"/>
            <w:vMerge/>
            <w:vAlign w:val="center"/>
            <w:hideMark/>
          </w:tcPr>
          <w:p w14:paraId="1257156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1DCB92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50" w:type="dxa"/>
            <w:vAlign w:val="center"/>
          </w:tcPr>
          <w:p w14:paraId="7BB8EC5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851" w:type="dxa"/>
            <w:vAlign w:val="center"/>
          </w:tcPr>
          <w:p w14:paraId="0050465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/>
          </w:tcPr>
          <w:p w14:paraId="22A62A3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8405D32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5CACFE8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73AE6B1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F6BF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EC7F2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D7A28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7(11%)</w:t>
            </w:r>
          </w:p>
        </w:tc>
        <w:tc>
          <w:tcPr>
            <w:tcW w:w="708" w:type="dxa"/>
            <w:vMerge/>
            <w:vAlign w:val="center"/>
            <w:hideMark/>
          </w:tcPr>
          <w:p w14:paraId="4C833CA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1BADF8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6(11.1%)</w:t>
            </w:r>
          </w:p>
        </w:tc>
        <w:tc>
          <w:tcPr>
            <w:tcW w:w="850" w:type="dxa"/>
            <w:vAlign w:val="center"/>
          </w:tcPr>
          <w:p w14:paraId="591E50D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11(25.0%)</w:t>
            </w:r>
          </w:p>
        </w:tc>
        <w:tc>
          <w:tcPr>
            <w:tcW w:w="851" w:type="dxa"/>
            <w:vAlign w:val="center"/>
          </w:tcPr>
          <w:p w14:paraId="7B0FA87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22BF843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72F11605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4843FC8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733B140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3C7BC2E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EA560E6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25E6B28E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Lack of proximity to the referring physician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E5CCB6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F4E64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32BE7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C15CB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5(8%)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1C0F3DB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0.214</w:t>
            </w:r>
          </w:p>
        </w:tc>
        <w:tc>
          <w:tcPr>
            <w:tcW w:w="851" w:type="dxa"/>
            <w:vAlign w:val="center"/>
          </w:tcPr>
          <w:p w14:paraId="0FBE54E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5(9.3%)</w:t>
            </w:r>
          </w:p>
        </w:tc>
        <w:tc>
          <w:tcPr>
            <w:tcW w:w="850" w:type="dxa"/>
            <w:vAlign w:val="center"/>
          </w:tcPr>
          <w:p w14:paraId="13CC75E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851" w:type="dxa"/>
            <w:vAlign w:val="center"/>
          </w:tcPr>
          <w:p w14:paraId="25D3805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 w:val="restart"/>
          </w:tcPr>
          <w:p w14:paraId="3DEFABF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.045</w:t>
            </w:r>
          </w:p>
        </w:tc>
      </w:tr>
      <w:tr w:rsidR="00715E16" w:rsidRPr="00715E16" w14:paraId="30B41E47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983318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910811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35B9F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2BBAF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B0F3E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13(21%)</w:t>
            </w:r>
          </w:p>
        </w:tc>
        <w:tc>
          <w:tcPr>
            <w:tcW w:w="708" w:type="dxa"/>
            <w:vMerge/>
            <w:vAlign w:val="center"/>
            <w:hideMark/>
          </w:tcPr>
          <w:p w14:paraId="1C89615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D676B6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12(22.2%)</w:t>
            </w:r>
          </w:p>
        </w:tc>
        <w:tc>
          <w:tcPr>
            <w:tcW w:w="850" w:type="dxa"/>
            <w:vAlign w:val="center"/>
          </w:tcPr>
          <w:p w14:paraId="6390BF8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8(18.2%)</w:t>
            </w:r>
          </w:p>
        </w:tc>
        <w:tc>
          <w:tcPr>
            <w:tcW w:w="851" w:type="dxa"/>
            <w:vAlign w:val="center"/>
          </w:tcPr>
          <w:p w14:paraId="4310D88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785003F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0DE3C413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08FA48A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4C23E1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D4786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1CF4C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5(83%)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E6F71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21(34%)</w:t>
            </w:r>
          </w:p>
        </w:tc>
        <w:tc>
          <w:tcPr>
            <w:tcW w:w="708" w:type="dxa"/>
            <w:vMerge/>
            <w:vAlign w:val="center"/>
            <w:hideMark/>
          </w:tcPr>
          <w:p w14:paraId="18A313A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3362B7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18(33.3%)</w:t>
            </w:r>
          </w:p>
        </w:tc>
        <w:tc>
          <w:tcPr>
            <w:tcW w:w="850" w:type="dxa"/>
            <w:vAlign w:val="center"/>
          </w:tcPr>
          <w:p w14:paraId="102E2B6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14(31.8%)</w:t>
            </w:r>
          </w:p>
        </w:tc>
        <w:tc>
          <w:tcPr>
            <w:tcW w:w="851" w:type="dxa"/>
            <w:vAlign w:val="center"/>
          </w:tcPr>
          <w:p w14:paraId="5642F61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5(71.4%)</w:t>
            </w:r>
          </w:p>
        </w:tc>
        <w:tc>
          <w:tcPr>
            <w:tcW w:w="708" w:type="dxa"/>
            <w:vMerge/>
          </w:tcPr>
          <w:p w14:paraId="61E79FA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074728D9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75E5C58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AD871F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99C09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7D435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8DDB3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9(15%)</w:t>
            </w:r>
          </w:p>
        </w:tc>
        <w:tc>
          <w:tcPr>
            <w:tcW w:w="708" w:type="dxa"/>
            <w:vMerge/>
            <w:vAlign w:val="center"/>
            <w:hideMark/>
          </w:tcPr>
          <w:p w14:paraId="2620A38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D2F43B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14(25.9%)</w:t>
            </w:r>
          </w:p>
        </w:tc>
        <w:tc>
          <w:tcPr>
            <w:tcW w:w="850" w:type="dxa"/>
            <w:vAlign w:val="center"/>
          </w:tcPr>
          <w:p w14:paraId="2946C2F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851" w:type="dxa"/>
            <w:vAlign w:val="center"/>
          </w:tcPr>
          <w:p w14:paraId="1AB249A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44BFA5C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3436DA09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4FF6BBB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478D104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B5A29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8(21%)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2A98C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33C6B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13(21%)</w:t>
            </w:r>
          </w:p>
        </w:tc>
        <w:tc>
          <w:tcPr>
            <w:tcW w:w="708" w:type="dxa"/>
            <w:vMerge/>
            <w:vAlign w:val="center"/>
            <w:hideMark/>
          </w:tcPr>
          <w:p w14:paraId="1E5A10D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045368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5(9.3%)</w:t>
            </w:r>
          </w:p>
        </w:tc>
        <w:tc>
          <w:tcPr>
            <w:tcW w:w="850" w:type="dxa"/>
            <w:vAlign w:val="center"/>
          </w:tcPr>
          <w:p w14:paraId="7A4A209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14(31.8%)</w:t>
            </w:r>
          </w:p>
        </w:tc>
        <w:tc>
          <w:tcPr>
            <w:tcW w:w="851" w:type="dxa"/>
            <w:vAlign w:val="center"/>
          </w:tcPr>
          <w:p w14:paraId="08D09C7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/>
          </w:tcPr>
          <w:p w14:paraId="460E78A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5186AD67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3757566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2C9B4E3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5D13894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710A82C7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36B73A3C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Lack of proximity to other radiologists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2E41E64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2B89B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13(34%)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EB7C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ED0AA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18(30%)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0CBEC63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0.766</w:t>
            </w:r>
          </w:p>
        </w:tc>
        <w:tc>
          <w:tcPr>
            <w:tcW w:w="851" w:type="dxa"/>
            <w:vAlign w:val="center"/>
          </w:tcPr>
          <w:p w14:paraId="0DC811F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16(29.6%)</w:t>
            </w:r>
          </w:p>
        </w:tc>
        <w:tc>
          <w:tcPr>
            <w:tcW w:w="850" w:type="dxa"/>
            <w:vAlign w:val="center"/>
          </w:tcPr>
          <w:p w14:paraId="4F66EC1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12(27.3%)</w:t>
            </w:r>
          </w:p>
        </w:tc>
        <w:tc>
          <w:tcPr>
            <w:tcW w:w="851" w:type="dxa"/>
            <w:vAlign w:val="center"/>
          </w:tcPr>
          <w:p w14:paraId="3A7C8F7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08" w:type="dxa"/>
            <w:vMerge w:val="restart"/>
          </w:tcPr>
          <w:p w14:paraId="5797AE6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.021</w:t>
            </w:r>
          </w:p>
        </w:tc>
      </w:tr>
      <w:tr w:rsidR="00715E16" w:rsidRPr="00715E16" w14:paraId="60CCBE8F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3B47F29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231A2A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38E14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8(21%)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27B5D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76D5E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14(23%)</w:t>
            </w:r>
          </w:p>
        </w:tc>
        <w:tc>
          <w:tcPr>
            <w:tcW w:w="708" w:type="dxa"/>
            <w:vMerge/>
            <w:vAlign w:val="center"/>
            <w:hideMark/>
          </w:tcPr>
          <w:p w14:paraId="11F9345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059151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16(29.6%)</w:t>
            </w:r>
          </w:p>
        </w:tc>
        <w:tc>
          <w:tcPr>
            <w:tcW w:w="850" w:type="dxa"/>
            <w:vAlign w:val="center"/>
          </w:tcPr>
          <w:p w14:paraId="148BE5E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851" w:type="dxa"/>
            <w:vAlign w:val="center"/>
          </w:tcPr>
          <w:p w14:paraId="55FEDB9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08" w:type="dxa"/>
            <w:vMerge/>
          </w:tcPr>
          <w:p w14:paraId="2D3B8E3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5D065ACC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29B74C3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77F3B2C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E12C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C2FC4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556BD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17(28%)</w:t>
            </w:r>
          </w:p>
        </w:tc>
        <w:tc>
          <w:tcPr>
            <w:tcW w:w="708" w:type="dxa"/>
            <w:vMerge/>
            <w:vAlign w:val="center"/>
            <w:hideMark/>
          </w:tcPr>
          <w:p w14:paraId="5217D3F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72BFDC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17(31.5%)</w:t>
            </w:r>
          </w:p>
        </w:tc>
        <w:tc>
          <w:tcPr>
            <w:tcW w:w="850" w:type="dxa"/>
            <w:vAlign w:val="center"/>
          </w:tcPr>
          <w:p w14:paraId="6DB4957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43D6B09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1E41CA9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750280A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57D630A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4F16649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EE05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90FC0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21D95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5(8%)</w:t>
            </w:r>
          </w:p>
        </w:tc>
        <w:tc>
          <w:tcPr>
            <w:tcW w:w="708" w:type="dxa"/>
            <w:vMerge/>
            <w:vAlign w:val="center"/>
            <w:hideMark/>
          </w:tcPr>
          <w:p w14:paraId="2E9B799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D940B9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50" w:type="dxa"/>
            <w:vAlign w:val="center"/>
          </w:tcPr>
          <w:p w14:paraId="538D7E1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851" w:type="dxa"/>
            <w:vAlign w:val="center"/>
          </w:tcPr>
          <w:p w14:paraId="762C0BB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12C9EB2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4FE3A20A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091CE9C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3541C24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6D3B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B5F17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FD737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7(11%)</w:t>
            </w:r>
          </w:p>
        </w:tc>
        <w:tc>
          <w:tcPr>
            <w:tcW w:w="708" w:type="dxa"/>
            <w:vMerge/>
            <w:vAlign w:val="center"/>
            <w:hideMark/>
          </w:tcPr>
          <w:p w14:paraId="604290A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4B3AE3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50" w:type="dxa"/>
            <w:vAlign w:val="center"/>
          </w:tcPr>
          <w:p w14:paraId="2C2EFDC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11(25.0%)</w:t>
            </w:r>
          </w:p>
        </w:tc>
        <w:tc>
          <w:tcPr>
            <w:tcW w:w="851" w:type="dxa"/>
            <w:vAlign w:val="center"/>
          </w:tcPr>
          <w:p w14:paraId="21CB4D2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0F5BCD6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738793C8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6ACC274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350AEFB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7F9ADFC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0850821B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333D4C61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Accessing prior imaging exams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1A7EE4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6D90E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5CF01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72A99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7(11%)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61E0275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0.157</w:t>
            </w:r>
          </w:p>
        </w:tc>
        <w:tc>
          <w:tcPr>
            <w:tcW w:w="851" w:type="dxa"/>
            <w:vAlign w:val="center"/>
          </w:tcPr>
          <w:p w14:paraId="6F533F8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50" w:type="dxa"/>
            <w:vAlign w:val="center"/>
          </w:tcPr>
          <w:p w14:paraId="67B9EE7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11(25.0%)</w:t>
            </w:r>
          </w:p>
        </w:tc>
        <w:tc>
          <w:tcPr>
            <w:tcW w:w="851" w:type="dxa"/>
            <w:vAlign w:val="center"/>
          </w:tcPr>
          <w:p w14:paraId="62FE614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 w:val="restart"/>
          </w:tcPr>
          <w:p w14:paraId="53E80D3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.298</w:t>
            </w:r>
          </w:p>
        </w:tc>
      </w:tr>
      <w:tr w:rsidR="00715E16" w:rsidRPr="00715E16" w14:paraId="3685EE40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39BE7F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F1F351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439F7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48C32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74DC1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4(7%)</w:t>
            </w:r>
          </w:p>
        </w:tc>
        <w:tc>
          <w:tcPr>
            <w:tcW w:w="708" w:type="dxa"/>
            <w:vMerge/>
            <w:vAlign w:val="center"/>
            <w:hideMark/>
          </w:tcPr>
          <w:p w14:paraId="342AFA3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FCD4CB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50" w:type="dxa"/>
            <w:vAlign w:val="center"/>
          </w:tcPr>
          <w:p w14:paraId="32041E2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851" w:type="dxa"/>
            <w:vAlign w:val="center"/>
          </w:tcPr>
          <w:p w14:paraId="6305C81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6FDAC35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58C8582C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4B11E5E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8AD311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415AA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40B3C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3EC39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17(28%)</w:t>
            </w:r>
          </w:p>
        </w:tc>
        <w:tc>
          <w:tcPr>
            <w:tcW w:w="708" w:type="dxa"/>
            <w:vMerge/>
            <w:vAlign w:val="center"/>
            <w:hideMark/>
          </w:tcPr>
          <w:p w14:paraId="64E19AC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DFC470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12(22.2%)</w:t>
            </w:r>
          </w:p>
        </w:tc>
        <w:tc>
          <w:tcPr>
            <w:tcW w:w="850" w:type="dxa"/>
            <w:vAlign w:val="center"/>
          </w:tcPr>
          <w:p w14:paraId="123D6C8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7(15.9%)</w:t>
            </w:r>
          </w:p>
        </w:tc>
        <w:tc>
          <w:tcPr>
            <w:tcW w:w="851" w:type="dxa"/>
            <w:vAlign w:val="center"/>
          </w:tcPr>
          <w:p w14:paraId="5979251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17920B4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BFA6A9C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8EB699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A3EF5B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652CD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14(37%)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77341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712E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14(23%)</w:t>
            </w:r>
          </w:p>
        </w:tc>
        <w:tc>
          <w:tcPr>
            <w:tcW w:w="708" w:type="dxa"/>
            <w:vMerge/>
            <w:vAlign w:val="center"/>
            <w:hideMark/>
          </w:tcPr>
          <w:p w14:paraId="783DF87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C72F74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17(31.5%)</w:t>
            </w:r>
          </w:p>
        </w:tc>
        <w:tc>
          <w:tcPr>
            <w:tcW w:w="850" w:type="dxa"/>
            <w:vAlign w:val="center"/>
          </w:tcPr>
          <w:p w14:paraId="6185423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10(22.7%)</w:t>
            </w:r>
          </w:p>
        </w:tc>
        <w:tc>
          <w:tcPr>
            <w:tcW w:w="851" w:type="dxa"/>
            <w:vAlign w:val="center"/>
          </w:tcPr>
          <w:p w14:paraId="504A600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/>
          </w:tcPr>
          <w:p w14:paraId="50536FF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3A668161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40D8B86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526A66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C986B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14(37%)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43070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70A55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19(31%)</w:t>
            </w:r>
          </w:p>
        </w:tc>
        <w:tc>
          <w:tcPr>
            <w:tcW w:w="708" w:type="dxa"/>
            <w:vMerge/>
            <w:vAlign w:val="center"/>
            <w:hideMark/>
          </w:tcPr>
          <w:p w14:paraId="66844E6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CC1989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17(31.5%)</w:t>
            </w:r>
          </w:p>
        </w:tc>
        <w:tc>
          <w:tcPr>
            <w:tcW w:w="850" w:type="dxa"/>
            <w:vAlign w:val="center"/>
          </w:tcPr>
          <w:p w14:paraId="2A08CA4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13(29.5%)</w:t>
            </w:r>
          </w:p>
        </w:tc>
        <w:tc>
          <w:tcPr>
            <w:tcW w:w="851" w:type="dxa"/>
            <w:vAlign w:val="center"/>
          </w:tcPr>
          <w:p w14:paraId="2E43E5F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4(57.1%)</w:t>
            </w:r>
          </w:p>
        </w:tc>
        <w:tc>
          <w:tcPr>
            <w:tcW w:w="708" w:type="dxa"/>
            <w:vMerge/>
          </w:tcPr>
          <w:p w14:paraId="7DDA4A6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3833A749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097E463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4C58C65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BD8B9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76A1CC9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0E9B654A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30A565ED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Accessing the patient’s record in the Electronic Health Record (EHR)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443F6B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5D68A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83DCA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B3D4C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1(2%)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46F7548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0.08</w:t>
            </w:r>
          </w:p>
        </w:tc>
        <w:tc>
          <w:tcPr>
            <w:tcW w:w="851" w:type="dxa"/>
            <w:vAlign w:val="center"/>
          </w:tcPr>
          <w:p w14:paraId="19727E4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50" w:type="dxa"/>
            <w:vAlign w:val="center"/>
          </w:tcPr>
          <w:p w14:paraId="586375A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1(2.3%)</w:t>
            </w:r>
          </w:p>
        </w:tc>
        <w:tc>
          <w:tcPr>
            <w:tcW w:w="851" w:type="dxa"/>
            <w:vAlign w:val="center"/>
          </w:tcPr>
          <w:p w14:paraId="7AA6992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 w:val="restart"/>
          </w:tcPr>
          <w:p w14:paraId="644D900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.390</w:t>
            </w:r>
          </w:p>
        </w:tc>
      </w:tr>
      <w:tr w:rsidR="00715E16" w:rsidRPr="00715E16" w14:paraId="77DB13EB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7A898E5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A25896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13FA8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7EA79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F4B0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4(7%)</w:t>
            </w:r>
          </w:p>
        </w:tc>
        <w:tc>
          <w:tcPr>
            <w:tcW w:w="708" w:type="dxa"/>
            <w:vMerge/>
            <w:vAlign w:val="center"/>
            <w:hideMark/>
          </w:tcPr>
          <w:p w14:paraId="0A1F28B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86992A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50" w:type="dxa"/>
            <w:vAlign w:val="center"/>
          </w:tcPr>
          <w:p w14:paraId="352CD86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4(9.1%)</w:t>
            </w:r>
          </w:p>
        </w:tc>
        <w:tc>
          <w:tcPr>
            <w:tcW w:w="851" w:type="dxa"/>
            <w:vAlign w:val="center"/>
          </w:tcPr>
          <w:p w14:paraId="1476D44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2DBAF1C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8625ACC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2A98256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29DF537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91791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DF02B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7798C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17(28%)</w:t>
            </w:r>
          </w:p>
        </w:tc>
        <w:tc>
          <w:tcPr>
            <w:tcW w:w="708" w:type="dxa"/>
            <w:vMerge/>
            <w:vAlign w:val="center"/>
            <w:hideMark/>
          </w:tcPr>
          <w:p w14:paraId="672C8E3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357B25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50" w:type="dxa"/>
            <w:vAlign w:val="center"/>
          </w:tcPr>
          <w:p w14:paraId="466254F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10(22.7%)</w:t>
            </w:r>
          </w:p>
        </w:tc>
        <w:tc>
          <w:tcPr>
            <w:tcW w:w="851" w:type="dxa"/>
            <w:vAlign w:val="center"/>
          </w:tcPr>
          <w:p w14:paraId="4562E7B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7E5F483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547AE4A9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6041FE7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ECC7B4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A1BD9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16(42%)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F3143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5A301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15(25%)</w:t>
            </w:r>
          </w:p>
        </w:tc>
        <w:tc>
          <w:tcPr>
            <w:tcW w:w="708" w:type="dxa"/>
            <w:vMerge/>
            <w:vAlign w:val="center"/>
            <w:hideMark/>
          </w:tcPr>
          <w:p w14:paraId="4EF45E4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FD1244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20(37.0%)</w:t>
            </w:r>
          </w:p>
        </w:tc>
        <w:tc>
          <w:tcPr>
            <w:tcW w:w="850" w:type="dxa"/>
            <w:vAlign w:val="center"/>
          </w:tcPr>
          <w:p w14:paraId="6568AB6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7B8372F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/>
          </w:tcPr>
          <w:p w14:paraId="7CDD650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94E59A3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09A31D1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1A07C5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CFB05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14(37%)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BAD3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2069F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24(39%)</w:t>
            </w:r>
          </w:p>
        </w:tc>
        <w:tc>
          <w:tcPr>
            <w:tcW w:w="708" w:type="dxa"/>
            <w:vMerge/>
            <w:vAlign w:val="center"/>
            <w:hideMark/>
          </w:tcPr>
          <w:p w14:paraId="458D62D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C15006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18(33.3%)</w:t>
            </w:r>
          </w:p>
        </w:tc>
        <w:tc>
          <w:tcPr>
            <w:tcW w:w="850" w:type="dxa"/>
            <w:vAlign w:val="center"/>
          </w:tcPr>
          <w:p w14:paraId="2CBE7C9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20(45.5%)</w:t>
            </w:r>
          </w:p>
        </w:tc>
        <w:tc>
          <w:tcPr>
            <w:tcW w:w="851" w:type="dxa"/>
            <w:vAlign w:val="center"/>
          </w:tcPr>
          <w:p w14:paraId="22BF682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08" w:type="dxa"/>
            <w:vMerge/>
          </w:tcPr>
          <w:p w14:paraId="240B873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5F3F6077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7DD19F3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6DD5515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2B9DC94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08F647E8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1D648D80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Achieving credentialing for interpreting off-site exams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359519E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107C4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7D82B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0BAFA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8(13%)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4C5E23C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0.702</w:t>
            </w:r>
          </w:p>
        </w:tc>
        <w:tc>
          <w:tcPr>
            <w:tcW w:w="851" w:type="dxa"/>
            <w:vAlign w:val="center"/>
          </w:tcPr>
          <w:p w14:paraId="528F9D8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9(16.7%)</w:t>
            </w:r>
          </w:p>
        </w:tc>
        <w:tc>
          <w:tcPr>
            <w:tcW w:w="850" w:type="dxa"/>
            <w:vAlign w:val="center"/>
          </w:tcPr>
          <w:p w14:paraId="6A9A1C4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353BB56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 w:val="restart"/>
          </w:tcPr>
          <w:p w14:paraId="4EAAC93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.800</w:t>
            </w:r>
          </w:p>
        </w:tc>
      </w:tr>
      <w:tr w:rsidR="00715E16" w:rsidRPr="00715E16" w14:paraId="7910D921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6B314B9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D2E0EE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FE004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5E115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CB229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9(15%)</w:t>
            </w:r>
          </w:p>
        </w:tc>
        <w:tc>
          <w:tcPr>
            <w:tcW w:w="708" w:type="dxa"/>
            <w:vMerge/>
            <w:vAlign w:val="center"/>
            <w:hideMark/>
          </w:tcPr>
          <w:p w14:paraId="47FC119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C3ABF6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6(11.1%)</w:t>
            </w:r>
          </w:p>
        </w:tc>
        <w:tc>
          <w:tcPr>
            <w:tcW w:w="850" w:type="dxa"/>
            <w:vAlign w:val="center"/>
          </w:tcPr>
          <w:p w14:paraId="64CE3A3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851" w:type="dxa"/>
            <w:vAlign w:val="center"/>
          </w:tcPr>
          <w:p w14:paraId="569D5C9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6DF55D8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050CA241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666BAE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7E1D09C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0C292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16(42%)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93705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9BC2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29(48%)</w:t>
            </w:r>
          </w:p>
        </w:tc>
        <w:tc>
          <w:tcPr>
            <w:tcW w:w="708" w:type="dxa"/>
            <w:vMerge/>
            <w:vAlign w:val="center"/>
            <w:hideMark/>
          </w:tcPr>
          <w:p w14:paraId="6AC327D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BDD160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28(51.9%)</w:t>
            </w:r>
          </w:p>
        </w:tc>
        <w:tc>
          <w:tcPr>
            <w:tcW w:w="850" w:type="dxa"/>
            <w:vAlign w:val="center"/>
          </w:tcPr>
          <w:p w14:paraId="4BA24AE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16(36.4%)</w:t>
            </w:r>
          </w:p>
        </w:tc>
        <w:tc>
          <w:tcPr>
            <w:tcW w:w="851" w:type="dxa"/>
            <w:vAlign w:val="center"/>
          </w:tcPr>
          <w:p w14:paraId="2C215E2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4(57.1%)</w:t>
            </w:r>
          </w:p>
        </w:tc>
        <w:tc>
          <w:tcPr>
            <w:tcW w:w="708" w:type="dxa"/>
            <w:vMerge/>
          </w:tcPr>
          <w:p w14:paraId="172517B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80A38BA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50B93D0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6D661B5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3B97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FC50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1593F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10(16%)</w:t>
            </w:r>
          </w:p>
        </w:tc>
        <w:tc>
          <w:tcPr>
            <w:tcW w:w="708" w:type="dxa"/>
            <w:vMerge/>
            <w:vAlign w:val="center"/>
            <w:hideMark/>
          </w:tcPr>
          <w:p w14:paraId="4FDAB03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3A80CD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8(14.8%)</w:t>
            </w:r>
          </w:p>
        </w:tc>
        <w:tc>
          <w:tcPr>
            <w:tcW w:w="850" w:type="dxa"/>
            <w:vAlign w:val="center"/>
          </w:tcPr>
          <w:p w14:paraId="3102926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7(15.9%)</w:t>
            </w:r>
          </w:p>
        </w:tc>
        <w:tc>
          <w:tcPr>
            <w:tcW w:w="851" w:type="dxa"/>
            <w:vAlign w:val="center"/>
          </w:tcPr>
          <w:p w14:paraId="4AB6D5D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6335F52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3F72B00A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2B2EF87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43FE85E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62FFB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F9472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A9E8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5(8%)</w:t>
            </w:r>
          </w:p>
        </w:tc>
        <w:tc>
          <w:tcPr>
            <w:tcW w:w="708" w:type="dxa"/>
            <w:vMerge/>
            <w:vAlign w:val="center"/>
            <w:hideMark/>
          </w:tcPr>
          <w:p w14:paraId="3A11278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F25D7E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50" w:type="dxa"/>
            <w:vAlign w:val="center"/>
          </w:tcPr>
          <w:p w14:paraId="29D7C64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851" w:type="dxa"/>
            <w:vAlign w:val="center"/>
          </w:tcPr>
          <w:p w14:paraId="55DE6F1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5158319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6E3B22B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2DD84F1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5E5F0EE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7FCC97A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5A415FE7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4837123B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Receiving reimbursement for interpreting off-site exams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3C34FE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DC3A8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BE84C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F83BB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8(13%)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7A18376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0.361</w:t>
            </w:r>
          </w:p>
        </w:tc>
        <w:tc>
          <w:tcPr>
            <w:tcW w:w="851" w:type="dxa"/>
            <w:vAlign w:val="center"/>
          </w:tcPr>
          <w:p w14:paraId="0E11FBF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6(11.1%)</w:t>
            </w:r>
          </w:p>
        </w:tc>
        <w:tc>
          <w:tcPr>
            <w:tcW w:w="850" w:type="dxa"/>
            <w:vAlign w:val="center"/>
          </w:tcPr>
          <w:p w14:paraId="62FB869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666775F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 w:val="restart"/>
          </w:tcPr>
          <w:p w14:paraId="2A24A10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.455</w:t>
            </w:r>
          </w:p>
        </w:tc>
      </w:tr>
      <w:tr w:rsidR="00715E16" w:rsidRPr="00715E16" w14:paraId="3F2894D1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909182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CEF837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2CE5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0280E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16DDB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14(23%)</w:t>
            </w:r>
          </w:p>
        </w:tc>
        <w:tc>
          <w:tcPr>
            <w:tcW w:w="708" w:type="dxa"/>
            <w:vMerge/>
            <w:vAlign w:val="center"/>
            <w:hideMark/>
          </w:tcPr>
          <w:p w14:paraId="314505E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00161B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14(25.9%)</w:t>
            </w:r>
          </w:p>
        </w:tc>
        <w:tc>
          <w:tcPr>
            <w:tcW w:w="850" w:type="dxa"/>
            <w:vAlign w:val="center"/>
          </w:tcPr>
          <w:p w14:paraId="100F672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39F6092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2ECB0FC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C1D9D53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2E1DBC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7DB8866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0910F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C647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609E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25(41%)</w:t>
            </w:r>
          </w:p>
        </w:tc>
        <w:tc>
          <w:tcPr>
            <w:tcW w:w="708" w:type="dxa"/>
            <w:vMerge/>
            <w:vAlign w:val="center"/>
            <w:hideMark/>
          </w:tcPr>
          <w:p w14:paraId="59B7E93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F7AE98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20(37.0%)</w:t>
            </w:r>
          </w:p>
        </w:tc>
        <w:tc>
          <w:tcPr>
            <w:tcW w:w="850" w:type="dxa"/>
            <w:vAlign w:val="center"/>
          </w:tcPr>
          <w:p w14:paraId="295EA8C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13(29.5%)</w:t>
            </w:r>
          </w:p>
        </w:tc>
        <w:tc>
          <w:tcPr>
            <w:tcW w:w="851" w:type="dxa"/>
            <w:vAlign w:val="center"/>
          </w:tcPr>
          <w:p w14:paraId="2F7CC88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4(57.1%)</w:t>
            </w:r>
          </w:p>
        </w:tc>
        <w:tc>
          <w:tcPr>
            <w:tcW w:w="708" w:type="dxa"/>
            <w:vMerge/>
          </w:tcPr>
          <w:p w14:paraId="6126E49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99363FF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072952C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7590C5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AFEA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759F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52BBF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8(13%)</w:t>
            </w:r>
          </w:p>
        </w:tc>
        <w:tc>
          <w:tcPr>
            <w:tcW w:w="708" w:type="dxa"/>
            <w:vMerge/>
            <w:vAlign w:val="center"/>
            <w:hideMark/>
          </w:tcPr>
          <w:p w14:paraId="6501896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702429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50" w:type="dxa"/>
            <w:vAlign w:val="center"/>
          </w:tcPr>
          <w:p w14:paraId="7CC1577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851" w:type="dxa"/>
            <w:vAlign w:val="center"/>
          </w:tcPr>
          <w:p w14:paraId="204594C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2869454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4E27F248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5670181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2559C84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65516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F03DF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87433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6(10%)</w:t>
            </w:r>
          </w:p>
        </w:tc>
        <w:tc>
          <w:tcPr>
            <w:tcW w:w="708" w:type="dxa"/>
            <w:vMerge/>
            <w:vAlign w:val="center"/>
            <w:hideMark/>
          </w:tcPr>
          <w:p w14:paraId="002A8C9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B5F6C9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50" w:type="dxa"/>
            <w:vAlign w:val="center"/>
          </w:tcPr>
          <w:p w14:paraId="16D6D05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7(15.9%)</w:t>
            </w:r>
          </w:p>
        </w:tc>
        <w:tc>
          <w:tcPr>
            <w:tcW w:w="851" w:type="dxa"/>
            <w:vAlign w:val="center"/>
          </w:tcPr>
          <w:p w14:paraId="4A03E49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12652AC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0298377C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6D869F0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608EC3F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6000325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5D421D3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24953789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Performing quality assurance of off-site exams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B80520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D8679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A951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05BA7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78D03D4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0.205</w:t>
            </w:r>
          </w:p>
        </w:tc>
        <w:tc>
          <w:tcPr>
            <w:tcW w:w="851" w:type="dxa"/>
            <w:vAlign w:val="center"/>
          </w:tcPr>
          <w:p w14:paraId="67CBADE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50" w:type="dxa"/>
            <w:vAlign w:val="center"/>
          </w:tcPr>
          <w:p w14:paraId="0BDB39F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851" w:type="dxa"/>
            <w:vAlign w:val="center"/>
          </w:tcPr>
          <w:p w14:paraId="744C1B7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 w:val="restart"/>
          </w:tcPr>
          <w:p w14:paraId="26C6706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.260</w:t>
            </w:r>
          </w:p>
        </w:tc>
      </w:tr>
      <w:tr w:rsidR="00715E16" w:rsidRPr="00715E16" w14:paraId="5AFDB594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56226AC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016726F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4DAC7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DD2A1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A3AA6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7(11%)</w:t>
            </w:r>
          </w:p>
        </w:tc>
        <w:tc>
          <w:tcPr>
            <w:tcW w:w="708" w:type="dxa"/>
            <w:vMerge/>
            <w:vAlign w:val="center"/>
            <w:hideMark/>
          </w:tcPr>
          <w:p w14:paraId="53CD6EF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B27A88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8(14.8%)</w:t>
            </w:r>
          </w:p>
        </w:tc>
        <w:tc>
          <w:tcPr>
            <w:tcW w:w="850" w:type="dxa"/>
            <w:vAlign w:val="center"/>
          </w:tcPr>
          <w:p w14:paraId="0B78AA2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7(15.9%)</w:t>
            </w:r>
          </w:p>
        </w:tc>
        <w:tc>
          <w:tcPr>
            <w:tcW w:w="851" w:type="dxa"/>
            <w:vAlign w:val="center"/>
          </w:tcPr>
          <w:p w14:paraId="2F2501C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/>
          </w:tcPr>
          <w:p w14:paraId="39C1CDB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4004FECE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522BCF4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75BB887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F4DD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0A20D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A11D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18(30%)</w:t>
            </w:r>
          </w:p>
        </w:tc>
        <w:tc>
          <w:tcPr>
            <w:tcW w:w="708" w:type="dxa"/>
            <w:vMerge/>
            <w:vAlign w:val="center"/>
            <w:hideMark/>
          </w:tcPr>
          <w:p w14:paraId="53AA96F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26DFD8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50" w:type="dxa"/>
            <w:vAlign w:val="center"/>
          </w:tcPr>
          <w:p w14:paraId="60A4440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15(34.1%)</w:t>
            </w:r>
          </w:p>
        </w:tc>
        <w:tc>
          <w:tcPr>
            <w:tcW w:w="851" w:type="dxa"/>
            <w:vAlign w:val="center"/>
          </w:tcPr>
          <w:p w14:paraId="18D21FB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5017E6F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741CF36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AAFF39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6B2097A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6703E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0CFF0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A1323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11(18%)</w:t>
            </w:r>
          </w:p>
        </w:tc>
        <w:tc>
          <w:tcPr>
            <w:tcW w:w="708" w:type="dxa"/>
            <w:vMerge/>
            <w:vAlign w:val="center"/>
            <w:hideMark/>
          </w:tcPr>
          <w:p w14:paraId="6B0F82E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D1DB07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17(31.5%)</w:t>
            </w:r>
          </w:p>
        </w:tc>
        <w:tc>
          <w:tcPr>
            <w:tcW w:w="850" w:type="dxa"/>
            <w:vAlign w:val="center"/>
          </w:tcPr>
          <w:p w14:paraId="0708538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851" w:type="dxa"/>
            <w:vAlign w:val="center"/>
          </w:tcPr>
          <w:p w14:paraId="65780FC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/>
          </w:tcPr>
          <w:p w14:paraId="4A02C4B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77424A67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62B73AE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2A5CC76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59A4F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1956B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087E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21(34%)</w:t>
            </w:r>
          </w:p>
        </w:tc>
        <w:tc>
          <w:tcPr>
            <w:tcW w:w="708" w:type="dxa"/>
            <w:vMerge/>
            <w:vAlign w:val="center"/>
            <w:hideMark/>
          </w:tcPr>
          <w:p w14:paraId="140B094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66ED62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14(25.9%)</w:t>
            </w:r>
          </w:p>
        </w:tc>
        <w:tc>
          <w:tcPr>
            <w:tcW w:w="850" w:type="dxa"/>
            <w:vAlign w:val="center"/>
          </w:tcPr>
          <w:p w14:paraId="651AAAA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14(31.8%)</w:t>
            </w:r>
          </w:p>
        </w:tc>
        <w:tc>
          <w:tcPr>
            <w:tcW w:w="851" w:type="dxa"/>
            <w:vAlign w:val="center"/>
          </w:tcPr>
          <w:p w14:paraId="4B12892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08" w:type="dxa"/>
            <w:vMerge/>
          </w:tcPr>
          <w:p w14:paraId="2123D8D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122AB64B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452D484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7539C2B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43F1111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7B733441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0BA02188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lastRenderedPageBreak/>
              <w:t>Maintaining privacy and security of off-site exams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933206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6F83A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13(34%)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1BB01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3FEC5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25(41%)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225B0BC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0.095</w:t>
            </w:r>
          </w:p>
        </w:tc>
        <w:tc>
          <w:tcPr>
            <w:tcW w:w="851" w:type="dxa"/>
            <w:vAlign w:val="center"/>
          </w:tcPr>
          <w:p w14:paraId="19E02F1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19(35.2%)</w:t>
            </w:r>
          </w:p>
        </w:tc>
        <w:tc>
          <w:tcPr>
            <w:tcW w:w="850" w:type="dxa"/>
            <w:vAlign w:val="center"/>
          </w:tcPr>
          <w:p w14:paraId="487B054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16(36.4%)</w:t>
            </w:r>
          </w:p>
        </w:tc>
        <w:tc>
          <w:tcPr>
            <w:tcW w:w="851" w:type="dxa"/>
            <w:vAlign w:val="center"/>
          </w:tcPr>
          <w:p w14:paraId="32866E0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08" w:type="dxa"/>
            <w:vMerge w:val="restart"/>
          </w:tcPr>
          <w:p w14:paraId="6A37D85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.254</w:t>
            </w:r>
          </w:p>
        </w:tc>
      </w:tr>
      <w:tr w:rsidR="00715E16" w:rsidRPr="00715E16" w14:paraId="0BF7B644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0DA899B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81E2EA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F01AA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12(32%)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3B40A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2CF5A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10(16%)</w:t>
            </w:r>
          </w:p>
        </w:tc>
        <w:tc>
          <w:tcPr>
            <w:tcW w:w="708" w:type="dxa"/>
            <w:vMerge/>
            <w:vAlign w:val="center"/>
            <w:hideMark/>
          </w:tcPr>
          <w:p w14:paraId="61D9DCF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DFED7E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50" w:type="dxa"/>
            <w:vAlign w:val="center"/>
          </w:tcPr>
          <w:p w14:paraId="34ACBF0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11(25.0%)</w:t>
            </w:r>
          </w:p>
        </w:tc>
        <w:tc>
          <w:tcPr>
            <w:tcW w:w="851" w:type="dxa"/>
            <w:vAlign w:val="center"/>
          </w:tcPr>
          <w:p w14:paraId="62289BB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08" w:type="dxa"/>
            <w:vMerge/>
          </w:tcPr>
          <w:p w14:paraId="4AE9F20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C5EEAA7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3918048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69718C5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230B9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80ECC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08ACB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15(25%)</w:t>
            </w:r>
          </w:p>
        </w:tc>
        <w:tc>
          <w:tcPr>
            <w:tcW w:w="708" w:type="dxa"/>
            <w:vMerge/>
            <w:vAlign w:val="center"/>
            <w:hideMark/>
          </w:tcPr>
          <w:p w14:paraId="47D5DBB1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259E38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50" w:type="dxa"/>
            <w:vAlign w:val="center"/>
          </w:tcPr>
          <w:p w14:paraId="7D7A7DC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7(15.9%)</w:t>
            </w:r>
          </w:p>
        </w:tc>
        <w:tc>
          <w:tcPr>
            <w:tcW w:w="851" w:type="dxa"/>
            <w:vAlign w:val="center"/>
          </w:tcPr>
          <w:p w14:paraId="5F38C72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</w:tcPr>
          <w:p w14:paraId="203D57D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681D6E3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05D00E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AF9727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A92E6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66D45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ED68D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5(8%)</w:t>
            </w:r>
          </w:p>
        </w:tc>
        <w:tc>
          <w:tcPr>
            <w:tcW w:w="708" w:type="dxa"/>
            <w:vMerge/>
            <w:vAlign w:val="center"/>
            <w:hideMark/>
          </w:tcPr>
          <w:p w14:paraId="08DC12B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DC7C88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8(14.8%)</w:t>
            </w:r>
          </w:p>
        </w:tc>
        <w:tc>
          <w:tcPr>
            <w:tcW w:w="850" w:type="dxa"/>
            <w:vAlign w:val="center"/>
          </w:tcPr>
          <w:p w14:paraId="7465DF0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1(2.3%)</w:t>
            </w:r>
          </w:p>
        </w:tc>
        <w:tc>
          <w:tcPr>
            <w:tcW w:w="851" w:type="dxa"/>
            <w:vAlign w:val="center"/>
          </w:tcPr>
          <w:p w14:paraId="0329071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58022CE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2330E9DF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E1DB70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75045FD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DD871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9411A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7662D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6(10%)</w:t>
            </w:r>
          </w:p>
        </w:tc>
        <w:tc>
          <w:tcPr>
            <w:tcW w:w="708" w:type="dxa"/>
            <w:vMerge/>
            <w:vAlign w:val="center"/>
            <w:hideMark/>
          </w:tcPr>
          <w:p w14:paraId="5BBB129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2C5436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5(9.3%)</w:t>
            </w:r>
          </w:p>
        </w:tc>
        <w:tc>
          <w:tcPr>
            <w:tcW w:w="850" w:type="dxa"/>
            <w:vAlign w:val="center"/>
          </w:tcPr>
          <w:p w14:paraId="54B7E61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2E02DD1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</w:tcPr>
          <w:p w14:paraId="3EE99CC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6F863D26" w14:textId="77777777" w:rsidTr="001B0216">
        <w:trPr>
          <w:trHeight w:val="57"/>
          <w:jc w:val="center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2688C67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  <w:shd w:val="clear" w:color="auto" w:fill="auto"/>
            <w:noWrap/>
            <w:vAlign w:val="center"/>
            <w:hideMark/>
          </w:tcPr>
          <w:p w14:paraId="68335EE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60" w:type="dxa"/>
            <w:gridSpan w:val="4"/>
          </w:tcPr>
          <w:p w14:paraId="15CCDEA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7F819D29" w14:textId="77777777" w:rsidTr="001B0216">
        <w:trPr>
          <w:trHeight w:val="57"/>
          <w:jc w:val="center"/>
        </w:trPr>
        <w:tc>
          <w:tcPr>
            <w:tcW w:w="1800" w:type="dxa"/>
            <w:vMerge w:val="restart"/>
            <w:shd w:val="clear" w:color="auto" w:fill="auto"/>
            <w:hideMark/>
          </w:tcPr>
          <w:p w14:paraId="0BE4D983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Integrating the off-site exams into a practice’s central PACS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6579300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35958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B5387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4663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12(20%)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14:paraId="2D12AAF8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0.763</w:t>
            </w:r>
          </w:p>
        </w:tc>
        <w:tc>
          <w:tcPr>
            <w:tcW w:w="851" w:type="dxa"/>
            <w:vAlign w:val="center"/>
          </w:tcPr>
          <w:p w14:paraId="4035B52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8(14.8%)</w:t>
            </w:r>
          </w:p>
        </w:tc>
        <w:tc>
          <w:tcPr>
            <w:tcW w:w="850" w:type="dxa"/>
            <w:vAlign w:val="center"/>
          </w:tcPr>
          <w:p w14:paraId="6773507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851" w:type="dxa"/>
            <w:vAlign w:val="center"/>
          </w:tcPr>
          <w:p w14:paraId="4DE2C10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08" w:type="dxa"/>
            <w:vMerge w:val="restart"/>
          </w:tcPr>
          <w:p w14:paraId="0F13A3D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.208</w:t>
            </w:r>
          </w:p>
        </w:tc>
      </w:tr>
      <w:tr w:rsidR="00715E16" w:rsidRPr="00715E16" w14:paraId="19D2D5F7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2A772C3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38E86A2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3C9BF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8A8C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B0984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12(20%)</w:t>
            </w:r>
          </w:p>
        </w:tc>
        <w:tc>
          <w:tcPr>
            <w:tcW w:w="708" w:type="dxa"/>
            <w:vMerge/>
            <w:vAlign w:val="center"/>
            <w:hideMark/>
          </w:tcPr>
          <w:p w14:paraId="5CCF243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1AD9AA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9(16.7%)</w:t>
            </w:r>
          </w:p>
        </w:tc>
        <w:tc>
          <w:tcPr>
            <w:tcW w:w="850" w:type="dxa"/>
            <w:vAlign w:val="center"/>
          </w:tcPr>
          <w:p w14:paraId="4C1249B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8(18.2%)</w:t>
            </w:r>
          </w:p>
        </w:tc>
        <w:tc>
          <w:tcPr>
            <w:tcW w:w="851" w:type="dxa"/>
            <w:vAlign w:val="center"/>
          </w:tcPr>
          <w:p w14:paraId="74A1C30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  <w:vAlign w:val="center"/>
          </w:tcPr>
          <w:p w14:paraId="7CC4829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7DBEE13E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486728F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389C5DF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CD56F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17(45%)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8F4A0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18D7A0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18(30%)</w:t>
            </w:r>
          </w:p>
        </w:tc>
        <w:tc>
          <w:tcPr>
            <w:tcW w:w="708" w:type="dxa"/>
            <w:vMerge/>
            <w:vAlign w:val="center"/>
            <w:hideMark/>
          </w:tcPr>
          <w:p w14:paraId="5D14D51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340980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22(40.7%)</w:t>
            </w:r>
          </w:p>
        </w:tc>
        <w:tc>
          <w:tcPr>
            <w:tcW w:w="850" w:type="dxa"/>
            <w:vAlign w:val="center"/>
          </w:tcPr>
          <w:p w14:paraId="6014D38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12(27.3%)</w:t>
            </w:r>
          </w:p>
        </w:tc>
        <w:tc>
          <w:tcPr>
            <w:tcW w:w="851" w:type="dxa"/>
            <w:vAlign w:val="center"/>
          </w:tcPr>
          <w:p w14:paraId="1A03C87A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08" w:type="dxa"/>
            <w:vMerge/>
            <w:vAlign w:val="center"/>
          </w:tcPr>
          <w:p w14:paraId="1E2EA00D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106A33A0" w14:textId="77777777" w:rsidTr="001B0216">
        <w:trPr>
          <w:trHeight w:val="57"/>
          <w:jc w:val="center"/>
        </w:trPr>
        <w:tc>
          <w:tcPr>
            <w:tcW w:w="1800" w:type="dxa"/>
            <w:vMerge/>
            <w:vAlign w:val="center"/>
            <w:hideMark/>
          </w:tcPr>
          <w:p w14:paraId="1ED41584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494A248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7EBA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C8C16E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B18FA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10(16%)</w:t>
            </w:r>
          </w:p>
        </w:tc>
        <w:tc>
          <w:tcPr>
            <w:tcW w:w="708" w:type="dxa"/>
            <w:vMerge/>
            <w:vAlign w:val="center"/>
            <w:hideMark/>
          </w:tcPr>
          <w:p w14:paraId="27E0A25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6FC148B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10(18.5%)</w:t>
            </w:r>
          </w:p>
        </w:tc>
        <w:tc>
          <w:tcPr>
            <w:tcW w:w="850" w:type="dxa"/>
            <w:vAlign w:val="center"/>
          </w:tcPr>
          <w:p w14:paraId="65103FAB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851" w:type="dxa"/>
            <w:vAlign w:val="center"/>
          </w:tcPr>
          <w:p w14:paraId="3B67683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08" w:type="dxa"/>
            <w:vMerge/>
            <w:vAlign w:val="center"/>
          </w:tcPr>
          <w:p w14:paraId="091547A5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4920BEE1" w14:textId="77777777" w:rsidTr="001B0216">
        <w:trPr>
          <w:trHeight w:val="57"/>
          <w:jc w:val="center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4B3AD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1C5EE2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EC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E0B6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6(16%)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936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0A0C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9(15%)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7070C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A4982F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5(9.3%)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EF487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12(27.3%)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A7B463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EC00F89" w14:textId="77777777" w:rsidR="00916C13" w:rsidRPr="00715E16" w:rsidRDefault="00916C13" w:rsidP="001B0216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715E16" w:rsidRPr="00715E16" w14:paraId="3E32B311" w14:textId="77777777" w:rsidTr="001B0216">
        <w:trPr>
          <w:trHeight w:val="57"/>
          <w:jc w:val="center"/>
        </w:trPr>
        <w:tc>
          <w:tcPr>
            <w:tcW w:w="9072" w:type="dxa"/>
            <w:gridSpan w:val="10"/>
            <w:tcBorders>
              <w:top w:val="single" w:sz="4" w:space="0" w:color="auto"/>
            </w:tcBorders>
          </w:tcPr>
          <w:p w14:paraId="08479BDA" w14:textId="77777777" w:rsidR="00916C13" w:rsidRPr="00715E16" w:rsidRDefault="00916C13" w:rsidP="001B0216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715E16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*NCAL: not challenging at all; NC: not challenging; N: neutral; SC: somewhat challenging; EC: extremely challenging</w:t>
            </w:r>
          </w:p>
        </w:tc>
      </w:tr>
    </w:tbl>
    <w:p w14:paraId="17A07F62" w14:textId="751004FF" w:rsidR="00690279" w:rsidRDefault="00690279"/>
    <w:p w14:paraId="029C9AE2" w14:textId="4CEE8779" w:rsidR="008C3570" w:rsidRDefault="008C3570"/>
    <w:p w14:paraId="75D00FB6" w14:textId="49F7B965" w:rsidR="008C3570" w:rsidRDefault="008C3570"/>
    <w:p w14:paraId="3F903055" w14:textId="199B0226" w:rsidR="008C3570" w:rsidRDefault="008C3570"/>
    <w:p w14:paraId="6AAE3A67" w14:textId="39037003" w:rsidR="008C3570" w:rsidRDefault="008C3570"/>
    <w:p w14:paraId="53ED00D3" w14:textId="46458168" w:rsidR="008C3570" w:rsidRDefault="008C3570"/>
    <w:p w14:paraId="73825C0D" w14:textId="6B1266CA" w:rsidR="008C3570" w:rsidRDefault="008C3570"/>
    <w:p w14:paraId="3BFE4E31" w14:textId="260A7C8D" w:rsidR="008C3570" w:rsidRDefault="008C3570"/>
    <w:p w14:paraId="7B590363" w14:textId="20E3E8D3" w:rsidR="008C3570" w:rsidRDefault="008C3570"/>
    <w:p w14:paraId="6267A3DE" w14:textId="3D0664D9" w:rsidR="008C3570" w:rsidRDefault="008C3570"/>
    <w:p w14:paraId="3957B392" w14:textId="7490C09A" w:rsidR="008C3570" w:rsidRDefault="008C3570"/>
    <w:p w14:paraId="7039C89B" w14:textId="73D1DB77" w:rsidR="008C3570" w:rsidRDefault="008C3570"/>
    <w:p w14:paraId="54DD597E" w14:textId="4ABF1AF4" w:rsidR="008C3570" w:rsidRDefault="008C3570"/>
    <w:p w14:paraId="2079D6DD" w14:textId="7D34960D" w:rsidR="008C3570" w:rsidRDefault="008C3570"/>
    <w:p w14:paraId="656D72A5" w14:textId="32D422F2" w:rsidR="008C3570" w:rsidRDefault="008C3570"/>
    <w:p w14:paraId="0F4D7330" w14:textId="2948A0AD" w:rsidR="008C3570" w:rsidRDefault="008C3570"/>
    <w:p w14:paraId="6248D514" w14:textId="1F233E01" w:rsidR="008C3570" w:rsidRDefault="008C3570"/>
    <w:p w14:paraId="260E68C2" w14:textId="11D59D64" w:rsidR="008C3570" w:rsidRDefault="008C3570"/>
    <w:p w14:paraId="4B03C0AC" w14:textId="6A035AED" w:rsidR="008C3570" w:rsidRDefault="008C3570"/>
    <w:p w14:paraId="1DC42B23" w14:textId="09B7ACEB" w:rsidR="008C3570" w:rsidRDefault="008C3570"/>
    <w:p w14:paraId="6671669F" w14:textId="277AC4E5" w:rsidR="008C3570" w:rsidRDefault="008C3570"/>
    <w:p w14:paraId="2BE04495" w14:textId="55B3D53B" w:rsidR="008C3570" w:rsidRDefault="008C3570"/>
    <w:p w14:paraId="6F080EC0" w14:textId="232ABF2F" w:rsidR="008C3570" w:rsidRDefault="008C3570"/>
    <w:p w14:paraId="39F5230D" w14:textId="0C4E6D50" w:rsidR="008C3570" w:rsidRDefault="008C3570"/>
    <w:p w14:paraId="37C44365" w14:textId="7F5A4F68" w:rsidR="008C3570" w:rsidRDefault="008C3570"/>
    <w:p w14:paraId="46A54131" w14:textId="4CC2CABE" w:rsidR="008C3570" w:rsidRDefault="008C3570"/>
    <w:p w14:paraId="67E8C1F9" w14:textId="67665D53" w:rsidR="008C3570" w:rsidRDefault="008C3570"/>
    <w:p w14:paraId="5D171A42" w14:textId="5A573F66" w:rsidR="008C3570" w:rsidRDefault="008C3570"/>
    <w:p w14:paraId="60281BB2" w14:textId="7DBB6E3A" w:rsidR="008C3570" w:rsidRDefault="008C3570"/>
    <w:p w14:paraId="1A809CDC" w14:textId="530E6C14" w:rsidR="008C3570" w:rsidRDefault="008C3570"/>
    <w:p w14:paraId="6B551208" w14:textId="39A1A3C9" w:rsidR="008C3570" w:rsidRDefault="008C3570"/>
    <w:p w14:paraId="091518A2" w14:textId="095EC4B0" w:rsidR="008C3570" w:rsidRDefault="008C3570"/>
    <w:p w14:paraId="13AC5281" w14:textId="54E5EC0A" w:rsidR="008C3570" w:rsidRDefault="008C3570"/>
    <w:p w14:paraId="139D18EC" w14:textId="0CD1CEAF" w:rsidR="008C3570" w:rsidRDefault="008C3570"/>
    <w:p w14:paraId="67F2C4D9" w14:textId="6776984A" w:rsidR="008C3570" w:rsidRDefault="008C3570"/>
    <w:p w14:paraId="4BBD3875" w14:textId="352BB7B9" w:rsidR="008C3570" w:rsidRDefault="008C3570"/>
    <w:p w14:paraId="6933F82A" w14:textId="00617583" w:rsidR="008C3570" w:rsidRDefault="008C3570"/>
    <w:tbl>
      <w:tblPr>
        <w:tblW w:w="9090" w:type="dxa"/>
        <w:jc w:val="center"/>
        <w:tblLook w:val="04A0" w:firstRow="1" w:lastRow="0" w:firstColumn="1" w:lastColumn="0" w:noHBand="0" w:noVBand="1"/>
      </w:tblPr>
      <w:tblGrid>
        <w:gridCol w:w="1516"/>
        <w:gridCol w:w="901"/>
        <w:gridCol w:w="992"/>
        <w:gridCol w:w="851"/>
        <w:gridCol w:w="992"/>
        <w:gridCol w:w="709"/>
        <w:gridCol w:w="862"/>
        <w:gridCol w:w="862"/>
        <w:gridCol w:w="785"/>
        <w:gridCol w:w="620"/>
      </w:tblGrid>
      <w:tr w:rsidR="008C3570" w:rsidRPr="00C253CF" w14:paraId="1323FB99" w14:textId="77777777" w:rsidTr="001456C1">
        <w:trPr>
          <w:trHeight w:val="57"/>
          <w:jc w:val="center"/>
        </w:trPr>
        <w:tc>
          <w:tcPr>
            <w:tcW w:w="909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034B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lastRenderedPageBreak/>
              <w:t xml:space="preserve">Table A.2 Attributes and strategies that would be useful to improve teleradiology according to experience (years after residency) and workplace (MOH: </w:t>
            </w:r>
            <w:r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Ministry</w:t>
            </w: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 xml:space="preserve"> of Health; non-MOH govt: governmental hospitals that are not part of MOH; Private: private hospitals and polyclinics)</w:t>
            </w:r>
          </w:p>
        </w:tc>
      </w:tr>
      <w:tr w:rsidR="008C3570" w:rsidRPr="00C253CF" w14:paraId="7EE7925B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77D44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Strategy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1699E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Response*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1A258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Years after residency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1E8F3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p-value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6A509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Workplace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339A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p-value</w:t>
            </w:r>
          </w:p>
        </w:tc>
      </w:tr>
      <w:tr w:rsidR="008C3570" w:rsidRPr="00C253CF" w14:paraId="3C1C75C5" w14:textId="77777777" w:rsidTr="001456C1">
        <w:trPr>
          <w:trHeight w:val="57"/>
          <w:jc w:val="center"/>
        </w:trPr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4E6B355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7A8A8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218EA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 xml:space="preserve">10 to 25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69567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26 or more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279C0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Under 10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9998F6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E907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MOH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4A3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non-MOH govt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1F6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Private</w:t>
            </w: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14:paraId="04B8AEF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45F6512D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ADEEA13" w14:textId="77777777" w:rsidR="008C3570" w:rsidRPr="00C253CF" w:rsidRDefault="008C3570" w:rsidP="001456C1">
            <w:pPr>
              <w:spacing w:line="240" w:lineRule="auto"/>
              <w:jc w:val="left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Standardization of licensing and credentialing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C696C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NUAA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E26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47C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E23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3(4.9%)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B5CC3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.683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6D68465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545ED10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548571D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</w:tcPr>
          <w:p w14:paraId="1E6C90A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.654</w:t>
            </w:r>
          </w:p>
        </w:tc>
      </w:tr>
      <w:tr w:rsidR="008C3570" w:rsidRPr="00C253CF" w14:paraId="1CA74483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1595048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0DAF54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00568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0503B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6C489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4(6.6%)</w:t>
            </w:r>
          </w:p>
        </w:tc>
        <w:tc>
          <w:tcPr>
            <w:tcW w:w="709" w:type="dxa"/>
            <w:vMerge/>
            <w:hideMark/>
          </w:tcPr>
          <w:p w14:paraId="7328A84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9CCC88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12" w:type="dxa"/>
            <w:vAlign w:val="center"/>
          </w:tcPr>
          <w:p w14:paraId="4036560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7F8F7381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3D4F0CB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78058DFB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57FC1760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D19AA2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A1395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7(18.4%)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187A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5E3C0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9(14.8%)</w:t>
            </w:r>
          </w:p>
        </w:tc>
        <w:tc>
          <w:tcPr>
            <w:tcW w:w="709" w:type="dxa"/>
            <w:vMerge/>
            <w:hideMark/>
          </w:tcPr>
          <w:p w14:paraId="6732C0D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11E186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9(16.7%)</w:t>
            </w:r>
          </w:p>
        </w:tc>
        <w:tc>
          <w:tcPr>
            <w:tcW w:w="812" w:type="dxa"/>
            <w:vAlign w:val="center"/>
          </w:tcPr>
          <w:p w14:paraId="1A9B2F1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7(15.9%)</w:t>
            </w:r>
          </w:p>
        </w:tc>
        <w:tc>
          <w:tcPr>
            <w:tcW w:w="742" w:type="dxa"/>
            <w:vAlign w:val="center"/>
          </w:tcPr>
          <w:p w14:paraId="4E6B4380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040968C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7EB9A532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0824C16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51C89E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E4061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CA74A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9EB6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15(24.6%)</w:t>
            </w:r>
          </w:p>
        </w:tc>
        <w:tc>
          <w:tcPr>
            <w:tcW w:w="709" w:type="dxa"/>
            <w:vMerge/>
            <w:hideMark/>
          </w:tcPr>
          <w:p w14:paraId="25F8CC3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4BF7F92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14(25.9%)</w:t>
            </w:r>
          </w:p>
        </w:tc>
        <w:tc>
          <w:tcPr>
            <w:tcW w:w="812" w:type="dxa"/>
            <w:vAlign w:val="center"/>
          </w:tcPr>
          <w:p w14:paraId="518DEE36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4CF87637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72DC0BB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AEB3DB1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330360F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3AC53B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14D88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23(60.5%)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C41B6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5BD5C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30(49.2%)</w:t>
            </w:r>
          </w:p>
        </w:tc>
        <w:tc>
          <w:tcPr>
            <w:tcW w:w="709" w:type="dxa"/>
            <w:vMerge/>
            <w:hideMark/>
          </w:tcPr>
          <w:p w14:paraId="6725C05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E516DA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26(48.1%)</w:t>
            </w:r>
          </w:p>
        </w:tc>
        <w:tc>
          <w:tcPr>
            <w:tcW w:w="812" w:type="dxa"/>
            <w:vAlign w:val="center"/>
          </w:tcPr>
          <w:p w14:paraId="04E9610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27(61.4%)</w:t>
            </w:r>
          </w:p>
        </w:tc>
        <w:tc>
          <w:tcPr>
            <w:tcW w:w="742" w:type="dxa"/>
            <w:vAlign w:val="center"/>
          </w:tcPr>
          <w:p w14:paraId="083C724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70" w:type="dxa"/>
            <w:vMerge/>
          </w:tcPr>
          <w:p w14:paraId="11F9101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4B67F76" w14:textId="77777777" w:rsidTr="001456C1">
        <w:trPr>
          <w:trHeight w:val="57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4DAA620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  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C7F7F4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36" w:type="dxa"/>
            <w:gridSpan w:val="4"/>
          </w:tcPr>
          <w:p w14:paraId="6241E33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2635D903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38449A7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Standardization of regulations across states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AE6EE2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NUAA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4BDC2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48EF8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18D19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012DBB1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.930</w:t>
            </w:r>
          </w:p>
        </w:tc>
        <w:tc>
          <w:tcPr>
            <w:tcW w:w="812" w:type="dxa"/>
            <w:vAlign w:val="center"/>
          </w:tcPr>
          <w:p w14:paraId="526F396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12" w:type="dxa"/>
            <w:vAlign w:val="center"/>
          </w:tcPr>
          <w:p w14:paraId="0FF9C1F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7B920F3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 w:val="restart"/>
          </w:tcPr>
          <w:p w14:paraId="2D5EBAE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.951</w:t>
            </w:r>
          </w:p>
        </w:tc>
      </w:tr>
      <w:tr w:rsidR="008C3570" w:rsidRPr="00C253CF" w14:paraId="337B83C1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7AD3036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C378DC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468D5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A8329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9C6B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3(4.9%)</w:t>
            </w:r>
          </w:p>
        </w:tc>
        <w:tc>
          <w:tcPr>
            <w:tcW w:w="709" w:type="dxa"/>
            <w:vMerge/>
            <w:hideMark/>
          </w:tcPr>
          <w:p w14:paraId="063917A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74C10F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12" w:type="dxa"/>
            <w:vAlign w:val="center"/>
          </w:tcPr>
          <w:p w14:paraId="1C34BF2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2E95538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31B2CD5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BAA53B5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247A491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253109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B00F6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4CA6A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A1841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5(8.2%)</w:t>
            </w:r>
          </w:p>
        </w:tc>
        <w:tc>
          <w:tcPr>
            <w:tcW w:w="709" w:type="dxa"/>
            <w:vMerge/>
            <w:hideMark/>
          </w:tcPr>
          <w:p w14:paraId="325668F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8066F9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6(11.1%)</w:t>
            </w:r>
          </w:p>
        </w:tc>
        <w:tc>
          <w:tcPr>
            <w:tcW w:w="812" w:type="dxa"/>
            <w:vAlign w:val="center"/>
          </w:tcPr>
          <w:p w14:paraId="69F3470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34F97FB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62A62A1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83C2CD9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705A10E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4A4873E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93E92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8(21.1%)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64041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FCA89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15(24.6%)</w:t>
            </w:r>
          </w:p>
        </w:tc>
        <w:tc>
          <w:tcPr>
            <w:tcW w:w="709" w:type="dxa"/>
            <w:vMerge/>
            <w:hideMark/>
          </w:tcPr>
          <w:p w14:paraId="37DB727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8C3AE2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14(25.9%)</w:t>
            </w:r>
          </w:p>
        </w:tc>
        <w:tc>
          <w:tcPr>
            <w:tcW w:w="812" w:type="dxa"/>
            <w:vAlign w:val="center"/>
          </w:tcPr>
          <w:p w14:paraId="05FDD7D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10(22.7%)</w:t>
            </w:r>
          </w:p>
        </w:tc>
        <w:tc>
          <w:tcPr>
            <w:tcW w:w="742" w:type="dxa"/>
            <w:vAlign w:val="center"/>
          </w:tcPr>
          <w:p w14:paraId="764EA86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42A03C7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3C9933B9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57913A3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973A22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209F4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20(52.6%)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8AB92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EE425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36(59.0%)</w:t>
            </w:r>
          </w:p>
        </w:tc>
        <w:tc>
          <w:tcPr>
            <w:tcW w:w="709" w:type="dxa"/>
            <w:vMerge/>
            <w:hideMark/>
          </w:tcPr>
          <w:p w14:paraId="05740BC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FF3A02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28(51.9%)</w:t>
            </w:r>
          </w:p>
        </w:tc>
        <w:tc>
          <w:tcPr>
            <w:tcW w:w="812" w:type="dxa"/>
            <w:vAlign w:val="center"/>
          </w:tcPr>
          <w:p w14:paraId="505435D0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27(61.4%)</w:t>
            </w:r>
          </w:p>
        </w:tc>
        <w:tc>
          <w:tcPr>
            <w:tcW w:w="742" w:type="dxa"/>
            <w:vAlign w:val="center"/>
          </w:tcPr>
          <w:p w14:paraId="49A13C2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4(57.1%)</w:t>
            </w:r>
          </w:p>
        </w:tc>
        <w:tc>
          <w:tcPr>
            <w:tcW w:w="770" w:type="dxa"/>
            <w:vMerge/>
          </w:tcPr>
          <w:p w14:paraId="498CE0C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2F2EC325" w14:textId="77777777" w:rsidTr="001456C1">
        <w:trPr>
          <w:trHeight w:val="57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5C6227D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 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C9EF83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36" w:type="dxa"/>
            <w:gridSpan w:val="4"/>
          </w:tcPr>
          <w:p w14:paraId="39A5F82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45A3778F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3001326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Technical interpretation standards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8F6F8E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NUAA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76FD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1(2.6%)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A4E3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A870C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22FB240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.671</w:t>
            </w:r>
          </w:p>
        </w:tc>
        <w:tc>
          <w:tcPr>
            <w:tcW w:w="812" w:type="dxa"/>
            <w:vAlign w:val="center"/>
          </w:tcPr>
          <w:p w14:paraId="17A156E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1(1.9%)</w:t>
            </w:r>
          </w:p>
        </w:tc>
        <w:tc>
          <w:tcPr>
            <w:tcW w:w="812" w:type="dxa"/>
            <w:vAlign w:val="center"/>
          </w:tcPr>
          <w:p w14:paraId="238F2D7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46CFF06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 w:val="restart"/>
          </w:tcPr>
          <w:p w14:paraId="3246151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.472</w:t>
            </w:r>
          </w:p>
        </w:tc>
      </w:tr>
      <w:tr w:rsidR="008C3570" w:rsidRPr="00C253CF" w14:paraId="3C28E75B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2B2E73E1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0204AC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20F3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6F413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24F12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5(8.2%)</w:t>
            </w:r>
          </w:p>
        </w:tc>
        <w:tc>
          <w:tcPr>
            <w:tcW w:w="709" w:type="dxa"/>
            <w:vMerge/>
            <w:hideMark/>
          </w:tcPr>
          <w:p w14:paraId="67455FA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B728F3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12" w:type="dxa"/>
            <w:vAlign w:val="center"/>
          </w:tcPr>
          <w:p w14:paraId="24EDD248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4(9.1%)</w:t>
            </w:r>
          </w:p>
        </w:tc>
        <w:tc>
          <w:tcPr>
            <w:tcW w:w="742" w:type="dxa"/>
            <w:vAlign w:val="center"/>
          </w:tcPr>
          <w:p w14:paraId="52A8D3C5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31D10E9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6A4260F1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0840729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B79C1B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0A14D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8(21.1%)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CDC01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4EF94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14(23.0%)</w:t>
            </w:r>
          </w:p>
        </w:tc>
        <w:tc>
          <w:tcPr>
            <w:tcW w:w="709" w:type="dxa"/>
            <w:vMerge/>
            <w:hideMark/>
          </w:tcPr>
          <w:p w14:paraId="42BF4C6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FE3CDD6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15(27.8%)</w:t>
            </w:r>
          </w:p>
        </w:tc>
        <w:tc>
          <w:tcPr>
            <w:tcW w:w="812" w:type="dxa"/>
            <w:vAlign w:val="center"/>
          </w:tcPr>
          <w:p w14:paraId="215C553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6E3E344F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70" w:type="dxa"/>
            <w:vMerge/>
          </w:tcPr>
          <w:p w14:paraId="6369BB4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B0E9F6E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0F8DE8B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5224EB2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5D0B2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0EF6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6CB9A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16(26.2%)</w:t>
            </w:r>
          </w:p>
        </w:tc>
        <w:tc>
          <w:tcPr>
            <w:tcW w:w="709" w:type="dxa"/>
            <w:vMerge/>
            <w:hideMark/>
          </w:tcPr>
          <w:p w14:paraId="0C1B0BD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04A21E96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12(22.2%)</w:t>
            </w:r>
          </w:p>
        </w:tc>
        <w:tc>
          <w:tcPr>
            <w:tcW w:w="812" w:type="dxa"/>
            <w:vAlign w:val="center"/>
          </w:tcPr>
          <w:p w14:paraId="5A7C0E0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9(20.5%)</w:t>
            </w:r>
          </w:p>
        </w:tc>
        <w:tc>
          <w:tcPr>
            <w:tcW w:w="742" w:type="dxa"/>
            <w:vAlign w:val="center"/>
          </w:tcPr>
          <w:p w14:paraId="6433CCF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324BA53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2107B8A1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1B06EE05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3E5EBF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9B2F4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22(57.9%)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70FBF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7F691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24(39.3%)</w:t>
            </w:r>
          </w:p>
        </w:tc>
        <w:tc>
          <w:tcPr>
            <w:tcW w:w="709" w:type="dxa"/>
            <w:vMerge/>
            <w:hideMark/>
          </w:tcPr>
          <w:p w14:paraId="61F00EF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17C0C8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23(42.6%)</w:t>
            </w:r>
          </w:p>
        </w:tc>
        <w:tc>
          <w:tcPr>
            <w:tcW w:w="812" w:type="dxa"/>
            <w:vAlign w:val="center"/>
          </w:tcPr>
          <w:p w14:paraId="1EFA54B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24(54.5%)</w:t>
            </w:r>
          </w:p>
        </w:tc>
        <w:tc>
          <w:tcPr>
            <w:tcW w:w="742" w:type="dxa"/>
            <w:vAlign w:val="center"/>
          </w:tcPr>
          <w:p w14:paraId="0491B67F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70" w:type="dxa"/>
            <w:vMerge/>
          </w:tcPr>
          <w:p w14:paraId="6512E5D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2671511B" w14:textId="77777777" w:rsidTr="001456C1">
        <w:trPr>
          <w:trHeight w:val="57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4042BE5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 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B8C34B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36" w:type="dxa"/>
            <w:gridSpan w:val="4"/>
          </w:tcPr>
          <w:p w14:paraId="2CCF440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064213B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644131C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Ease of communication with referring physicians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41E94C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NUAA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3D693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F9FFD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D83F3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3(4.9%)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51FEA4C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.914</w:t>
            </w:r>
          </w:p>
        </w:tc>
        <w:tc>
          <w:tcPr>
            <w:tcW w:w="812" w:type="dxa"/>
            <w:vAlign w:val="center"/>
          </w:tcPr>
          <w:p w14:paraId="310376A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12" w:type="dxa"/>
            <w:vAlign w:val="center"/>
          </w:tcPr>
          <w:p w14:paraId="6CEBA5C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2743BD9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 w:val="restart"/>
          </w:tcPr>
          <w:p w14:paraId="6CCC9B0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.032</w:t>
            </w:r>
          </w:p>
        </w:tc>
      </w:tr>
      <w:tr w:rsidR="008C3570" w:rsidRPr="00C253CF" w14:paraId="2F0BB64A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1C5B8537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E124BF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F9722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9C8B1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91048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8(13.1%)</w:t>
            </w:r>
          </w:p>
        </w:tc>
        <w:tc>
          <w:tcPr>
            <w:tcW w:w="709" w:type="dxa"/>
            <w:vMerge/>
            <w:hideMark/>
          </w:tcPr>
          <w:p w14:paraId="18670BE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4406F7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8(14.8%)</w:t>
            </w:r>
          </w:p>
        </w:tc>
        <w:tc>
          <w:tcPr>
            <w:tcW w:w="812" w:type="dxa"/>
            <w:vAlign w:val="center"/>
          </w:tcPr>
          <w:p w14:paraId="7701EEB1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202EE5C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/>
          </w:tcPr>
          <w:p w14:paraId="4232B9B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56BF58E4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6F5D04A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5E89723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EF43C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6(15.8%)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08120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A9074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6(9.8%)</w:t>
            </w:r>
          </w:p>
        </w:tc>
        <w:tc>
          <w:tcPr>
            <w:tcW w:w="709" w:type="dxa"/>
            <w:vMerge/>
            <w:hideMark/>
          </w:tcPr>
          <w:p w14:paraId="62896CC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D20339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5(9.3%)</w:t>
            </w:r>
          </w:p>
        </w:tc>
        <w:tc>
          <w:tcPr>
            <w:tcW w:w="812" w:type="dxa"/>
            <w:vAlign w:val="center"/>
          </w:tcPr>
          <w:p w14:paraId="6768F5E2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40ADD5D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70" w:type="dxa"/>
            <w:vMerge/>
          </w:tcPr>
          <w:p w14:paraId="67F2554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46EC0E05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05C20E9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0B5FEE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000A0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9(23.7%)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8CA36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57FF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17(27.9%)</w:t>
            </w:r>
          </w:p>
        </w:tc>
        <w:tc>
          <w:tcPr>
            <w:tcW w:w="709" w:type="dxa"/>
            <w:vMerge/>
            <w:hideMark/>
          </w:tcPr>
          <w:p w14:paraId="67EAB62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25B5322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19(35.2%)</w:t>
            </w:r>
          </w:p>
        </w:tc>
        <w:tc>
          <w:tcPr>
            <w:tcW w:w="812" w:type="dxa"/>
            <w:vAlign w:val="center"/>
          </w:tcPr>
          <w:p w14:paraId="74910C1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742" w:type="dxa"/>
            <w:vAlign w:val="center"/>
          </w:tcPr>
          <w:p w14:paraId="7B89351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70" w:type="dxa"/>
            <w:vMerge/>
          </w:tcPr>
          <w:p w14:paraId="59C71E8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FF88FEB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68E2A6E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5A2940D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A91A9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18(47.4%)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D422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8FE0C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27(44.3%)</w:t>
            </w:r>
          </w:p>
        </w:tc>
        <w:tc>
          <w:tcPr>
            <w:tcW w:w="709" w:type="dxa"/>
            <w:vMerge/>
            <w:hideMark/>
          </w:tcPr>
          <w:p w14:paraId="65AE3F5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8C1479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20(37.0%)</w:t>
            </w:r>
          </w:p>
        </w:tc>
        <w:tc>
          <w:tcPr>
            <w:tcW w:w="812" w:type="dxa"/>
            <w:vAlign w:val="center"/>
          </w:tcPr>
          <w:p w14:paraId="59E57620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27(61.4%)</w:t>
            </w:r>
          </w:p>
        </w:tc>
        <w:tc>
          <w:tcPr>
            <w:tcW w:w="742" w:type="dxa"/>
            <w:vAlign w:val="center"/>
          </w:tcPr>
          <w:p w14:paraId="52F1A1E2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70" w:type="dxa"/>
            <w:vMerge/>
          </w:tcPr>
          <w:p w14:paraId="1ADC496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53F54D93" w14:textId="77777777" w:rsidTr="001456C1">
        <w:trPr>
          <w:trHeight w:val="57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4DB5F73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 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8DB13A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36" w:type="dxa"/>
            <w:gridSpan w:val="4"/>
          </w:tcPr>
          <w:p w14:paraId="678E2A2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2187611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04ADEDF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Ease of communication with technologists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F8E4C2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NUAA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0D76C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93542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0FAF5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4(6.6%)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53C744F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.513</w:t>
            </w:r>
          </w:p>
        </w:tc>
        <w:tc>
          <w:tcPr>
            <w:tcW w:w="812" w:type="dxa"/>
            <w:vAlign w:val="center"/>
          </w:tcPr>
          <w:p w14:paraId="1EACE0B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12" w:type="dxa"/>
            <w:vAlign w:val="center"/>
          </w:tcPr>
          <w:p w14:paraId="693690E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6D62748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 w:val="restart"/>
          </w:tcPr>
          <w:p w14:paraId="751DC4E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.000</w:t>
            </w:r>
          </w:p>
        </w:tc>
      </w:tr>
      <w:tr w:rsidR="008C3570" w:rsidRPr="00C253CF" w14:paraId="3D02C354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4F76260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29E52D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3C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AE5E9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6F055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4(6.6%)</w:t>
            </w:r>
          </w:p>
        </w:tc>
        <w:tc>
          <w:tcPr>
            <w:tcW w:w="709" w:type="dxa"/>
            <w:vMerge/>
            <w:hideMark/>
          </w:tcPr>
          <w:p w14:paraId="6A2DCA6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9BBAB4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1(1.9%)</w:t>
            </w:r>
          </w:p>
        </w:tc>
        <w:tc>
          <w:tcPr>
            <w:tcW w:w="812" w:type="dxa"/>
            <w:vAlign w:val="center"/>
          </w:tcPr>
          <w:p w14:paraId="2FA6FAB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4(9.1%)</w:t>
            </w:r>
          </w:p>
        </w:tc>
        <w:tc>
          <w:tcPr>
            <w:tcW w:w="742" w:type="dxa"/>
            <w:vAlign w:val="center"/>
          </w:tcPr>
          <w:p w14:paraId="33EE222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70" w:type="dxa"/>
            <w:vMerge/>
          </w:tcPr>
          <w:p w14:paraId="51A1889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6CF07A52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2E0C549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A1708D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AF8F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E2C4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  <w:rtl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25154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6(9.8%)</w:t>
            </w:r>
          </w:p>
        </w:tc>
        <w:tc>
          <w:tcPr>
            <w:tcW w:w="709" w:type="dxa"/>
            <w:vMerge/>
            <w:hideMark/>
          </w:tcPr>
          <w:p w14:paraId="2CAF1AB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549FCB78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9(16.7%)</w:t>
            </w:r>
          </w:p>
        </w:tc>
        <w:tc>
          <w:tcPr>
            <w:tcW w:w="812" w:type="dxa"/>
            <w:vAlign w:val="center"/>
          </w:tcPr>
          <w:p w14:paraId="114DAC4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6BD64ED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/>
          </w:tcPr>
          <w:p w14:paraId="179C944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A3FDEC9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60918D87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4AEF6A0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C4782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42143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E1D4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12(19.7%)</w:t>
            </w:r>
          </w:p>
        </w:tc>
        <w:tc>
          <w:tcPr>
            <w:tcW w:w="709" w:type="dxa"/>
            <w:vMerge/>
            <w:hideMark/>
          </w:tcPr>
          <w:p w14:paraId="2F8524F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1E74C0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13(24.1%)</w:t>
            </w:r>
          </w:p>
        </w:tc>
        <w:tc>
          <w:tcPr>
            <w:tcW w:w="812" w:type="dxa"/>
            <w:vAlign w:val="center"/>
          </w:tcPr>
          <w:p w14:paraId="415D7D6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3AA04A08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3244F38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25770840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1F527CD8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A8C2A4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FE94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25(65.8%)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E3F9D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492C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35(57.4%)</w:t>
            </w:r>
          </w:p>
        </w:tc>
        <w:tc>
          <w:tcPr>
            <w:tcW w:w="709" w:type="dxa"/>
            <w:vMerge/>
            <w:hideMark/>
          </w:tcPr>
          <w:p w14:paraId="79AFEF2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D76859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27(50.0%)</w:t>
            </w:r>
          </w:p>
        </w:tc>
        <w:tc>
          <w:tcPr>
            <w:tcW w:w="812" w:type="dxa"/>
            <w:vAlign w:val="center"/>
          </w:tcPr>
          <w:p w14:paraId="76F06E70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34(77.3%)</w:t>
            </w:r>
          </w:p>
        </w:tc>
        <w:tc>
          <w:tcPr>
            <w:tcW w:w="742" w:type="dxa"/>
            <w:vAlign w:val="center"/>
          </w:tcPr>
          <w:p w14:paraId="00C9A485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70" w:type="dxa"/>
            <w:vMerge/>
          </w:tcPr>
          <w:p w14:paraId="52B9301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B8DE813" w14:textId="77777777" w:rsidTr="001456C1">
        <w:trPr>
          <w:trHeight w:val="57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6284440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 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0732DD5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36" w:type="dxa"/>
            <w:gridSpan w:val="4"/>
          </w:tcPr>
          <w:p w14:paraId="45633FA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17095DB6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5E0CE4C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Rapid communication with referring physicians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FB1E29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NUAA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4E801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4C5E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8F6B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3(4.9%)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459D0B5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.974</w:t>
            </w:r>
          </w:p>
        </w:tc>
        <w:tc>
          <w:tcPr>
            <w:tcW w:w="812" w:type="dxa"/>
            <w:vAlign w:val="center"/>
          </w:tcPr>
          <w:p w14:paraId="34C7F78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12" w:type="dxa"/>
            <w:vAlign w:val="center"/>
          </w:tcPr>
          <w:p w14:paraId="7670768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537FC32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 w:val="restart"/>
          </w:tcPr>
          <w:p w14:paraId="676E8C4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.068</w:t>
            </w:r>
          </w:p>
        </w:tc>
      </w:tr>
      <w:tr w:rsidR="008C3570" w:rsidRPr="00C253CF" w14:paraId="5633A88F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5D5CCCA2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4C23418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96FB9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3DC3B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8B106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4(6.6%)</w:t>
            </w:r>
          </w:p>
        </w:tc>
        <w:tc>
          <w:tcPr>
            <w:tcW w:w="709" w:type="dxa"/>
            <w:vMerge/>
            <w:hideMark/>
          </w:tcPr>
          <w:p w14:paraId="2C0080E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A5EF192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12" w:type="dxa"/>
            <w:vAlign w:val="center"/>
          </w:tcPr>
          <w:p w14:paraId="176646F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49BDD5F6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/>
          </w:tcPr>
          <w:p w14:paraId="12C622D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1A17D00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16D66BF7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3AF8996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22DB5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5(13.2%)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4666C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E20B5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9(14.8%)</w:t>
            </w:r>
          </w:p>
        </w:tc>
        <w:tc>
          <w:tcPr>
            <w:tcW w:w="709" w:type="dxa"/>
            <w:vMerge/>
            <w:hideMark/>
          </w:tcPr>
          <w:p w14:paraId="3FDA6FD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3A012D0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9(16.7%)</w:t>
            </w:r>
          </w:p>
        </w:tc>
        <w:tc>
          <w:tcPr>
            <w:tcW w:w="812" w:type="dxa"/>
            <w:vAlign w:val="center"/>
          </w:tcPr>
          <w:p w14:paraId="5A2A0A10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19D0E67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70" w:type="dxa"/>
            <w:vMerge/>
          </w:tcPr>
          <w:p w14:paraId="7E258D0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BDFEE4D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2B4528E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73F708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CCB00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10(26.3%)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8957C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9C9CE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11(18.0%)</w:t>
            </w:r>
          </w:p>
        </w:tc>
        <w:tc>
          <w:tcPr>
            <w:tcW w:w="709" w:type="dxa"/>
            <w:vMerge/>
            <w:hideMark/>
          </w:tcPr>
          <w:p w14:paraId="2EBFD37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1020F8E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15(27.8%)</w:t>
            </w:r>
          </w:p>
        </w:tc>
        <w:tc>
          <w:tcPr>
            <w:tcW w:w="812" w:type="dxa"/>
            <w:vAlign w:val="center"/>
          </w:tcPr>
          <w:p w14:paraId="5BF9092F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7BE23F6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70" w:type="dxa"/>
            <w:vMerge/>
          </w:tcPr>
          <w:p w14:paraId="31A7C29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AA66202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28C5A73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41AD898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81ECFD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18(47.4%)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6D83C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5F37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34(55.7%)</w:t>
            </w:r>
          </w:p>
        </w:tc>
        <w:tc>
          <w:tcPr>
            <w:tcW w:w="709" w:type="dxa"/>
            <w:vMerge/>
            <w:hideMark/>
          </w:tcPr>
          <w:p w14:paraId="5E38F0B8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4977A54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23(42.6%)</w:t>
            </w:r>
          </w:p>
        </w:tc>
        <w:tc>
          <w:tcPr>
            <w:tcW w:w="812" w:type="dxa"/>
            <w:vAlign w:val="center"/>
          </w:tcPr>
          <w:p w14:paraId="0E0D4861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31(70.5%)</w:t>
            </w:r>
          </w:p>
        </w:tc>
        <w:tc>
          <w:tcPr>
            <w:tcW w:w="742" w:type="dxa"/>
            <w:vAlign w:val="center"/>
          </w:tcPr>
          <w:p w14:paraId="2E9E56B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70" w:type="dxa"/>
            <w:vMerge/>
          </w:tcPr>
          <w:p w14:paraId="0B710A5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2A0A313C" w14:textId="77777777" w:rsidTr="001456C1">
        <w:trPr>
          <w:trHeight w:val="57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2C0A954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 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2D0CD71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36" w:type="dxa"/>
            <w:gridSpan w:val="4"/>
          </w:tcPr>
          <w:p w14:paraId="60A4B6E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546E7BAB" w14:textId="77777777" w:rsidTr="001456C1">
        <w:trPr>
          <w:trHeight w:val="57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640F98C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Rapid communication with technologists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4565A75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NUAA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0CD2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A4AB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F26079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3(4.9%)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14:paraId="176BC8B1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.767</w:t>
            </w:r>
          </w:p>
        </w:tc>
        <w:tc>
          <w:tcPr>
            <w:tcW w:w="812" w:type="dxa"/>
            <w:vAlign w:val="center"/>
          </w:tcPr>
          <w:p w14:paraId="1CFEF3C3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12" w:type="dxa"/>
            <w:vAlign w:val="center"/>
          </w:tcPr>
          <w:p w14:paraId="7BDA41E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7F2002E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770" w:type="dxa"/>
            <w:vMerge w:val="restart"/>
          </w:tcPr>
          <w:p w14:paraId="0A1B4D3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.052</w:t>
            </w:r>
          </w:p>
        </w:tc>
      </w:tr>
      <w:tr w:rsidR="008C3570" w:rsidRPr="00C253CF" w14:paraId="25CD2E21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2D8B218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4D92A3D7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A460D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243454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F8700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4(6.6%)</w:t>
            </w:r>
          </w:p>
        </w:tc>
        <w:tc>
          <w:tcPr>
            <w:tcW w:w="709" w:type="dxa"/>
            <w:vMerge/>
            <w:vAlign w:val="center"/>
            <w:hideMark/>
          </w:tcPr>
          <w:p w14:paraId="06EDA90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667998F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12" w:type="dxa"/>
            <w:vAlign w:val="center"/>
          </w:tcPr>
          <w:p w14:paraId="61EE9432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18B83927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6E7551BA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7DF147BC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4B6F6EA5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CF494CC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FD1C5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6(15.8%)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3430D6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423A4F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6(9.8%)</w:t>
            </w:r>
          </w:p>
        </w:tc>
        <w:tc>
          <w:tcPr>
            <w:tcW w:w="709" w:type="dxa"/>
            <w:vMerge/>
            <w:vAlign w:val="center"/>
            <w:hideMark/>
          </w:tcPr>
          <w:p w14:paraId="42C3EE3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7196CE8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7(13.0%)</w:t>
            </w:r>
          </w:p>
        </w:tc>
        <w:tc>
          <w:tcPr>
            <w:tcW w:w="812" w:type="dxa"/>
            <w:vAlign w:val="center"/>
          </w:tcPr>
          <w:p w14:paraId="417F1339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43115271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770" w:type="dxa"/>
            <w:vMerge/>
          </w:tcPr>
          <w:p w14:paraId="0A947FA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34F35611" w14:textId="77777777" w:rsidTr="001456C1">
        <w:trPr>
          <w:trHeight w:val="57"/>
          <w:jc w:val="center"/>
        </w:trPr>
        <w:tc>
          <w:tcPr>
            <w:tcW w:w="1530" w:type="dxa"/>
            <w:vMerge/>
            <w:vAlign w:val="center"/>
            <w:hideMark/>
          </w:tcPr>
          <w:p w14:paraId="2C59E7FE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025B5F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SU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1C102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16372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4DB8D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8(13.1%)</w:t>
            </w:r>
          </w:p>
        </w:tc>
        <w:tc>
          <w:tcPr>
            <w:tcW w:w="709" w:type="dxa"/>
            <w:vMerge/>
            <w:vAlign w:val="center"/>
            <w:hideMark/>
          </w:tcPr>
          <w:p w14:paraId="2CB7FCDF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vAlign w:val="center"/>
          </w:tcPr>
          <w:p w14:paraId="296CD3C6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12" w:type="dxa"/>
            <w:vAlign w:val="center"/>
          </w:tcPr>
          <w:p w14:paraId="4F0527D3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13D59BC7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70" w:type="dxa"/>
            <w:vMerge/>
          </w:tcPr>
          <w:p w14:paraId="04C5D7C5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F39279A" w14:textId="77777777" w:rsidTr="001456C1">
        <w:trPr>
          <w:trHeight w:val="57"/>
          <w:jc w:val="center"/>
        </w:trPr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39982C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8FD390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VU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ED4B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24(63.2%)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0FA5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5AA" w14:textId="77777777" w:rsidR="008C3570" w:rsidRPr="00C253CF" w:rsidRDefault="008C3570" w:rsidP="001456C1">
            <w:pPr>
              <w:spacing w:line="240" w:lineRule="auto"/>
              <w:jc w:val="center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40(65.6%)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C6717D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7BFCB43B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32(59.3%)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289B23F6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32(72.7%)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62BF56D4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14:paraId="6172E146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C253CF" w14:paraId="090E1FD8" w14:textId="77777777" w:rsidTr="001456C1">
        <w:trPr>
          <w:trHeight w:val="57"/>
          <w:jc w:val="center"/>
        </w:trPr>
        <w:tc>
          <w:tcPr>
            <w:tcW w:w="9090" w:type="dxa"/>
            <w:gridSpan w:val="10"/>
            <w:tcBorders>
              <w:top w:val="single" w:sz="4" w:space="0" w:color="auto"/>
            </w:tcBorders>
            <w:vAlign w:val="center"/>
          </w:tcPr>
          <w:p w14:paraId="1EB10B60" w14:textId="77777777" w:rsidR="008C3570" w:rsidRPr="00C253CF" w:rsidRDefault="008C3570" w:rsidP="001456C1">
            <w:pPr>
              <w:spacing w:line="240" w:lineRule="auto"/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*NUA</w:t>
            </w:r>
            <w:r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A</w:t>
            </w:r>
            <w:r w:rsidRPr="00C253CF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: not useful at all; NU: not useful; N: neutral; SU: somewhat useful; VU: very useful</w:t>
            </w:r>
          </w:p>
        </w:tc>
      </w:tr>
    </w:tbl>
    <w:p w14:paraId="35E5DA30" w14:textId="7DE85D42" w:rsidR="008C3570" w:rsidRDefault="008C3570"/>
    <w:p w14:paraId="564EAB3B" w14:textId="230BD2D3" w:rsidR="008C3570" w:rsidRDefault="008C3570"/>
    <w:p w14:paraId="17A39AB5" w14:textId="7A72D21D" w:rsidR="008C3570" w:rsidRDefault="008C3570"/>
    <w:p w14:paraId="21F3A3DD" w14:textId="1AE21C8B" w:rsidR="008C3570" w:rsidRDefault="008C3570"/>
    <w:p w14:paraId="6F6DD05E" w14:textId="62DF981D" w:rsidR="008C3570" w:rsidRDefault="008C3570"/>
    <w:p w14:paraId="36DB7504" w14:textId="1C24E42F" w:rsidR="008C3570" w:rsidRDefault="008C3570"/>
    <w:p w14:paraId="4E52AEB9" w14:textId="5505CC44" w:rsidR="008C3570" w:rsidRDefault="008C3570"/>
    <w:p w14:paraId="5A7A3D78" w14:textId="1E950C99" w:rsidR="008C3570" w:rsidRDefault="008C3570"/>
    <w:p w14:paraId="5711018D" w14:textId="4275725D" w:rsidR="008C3570" w:rsidRDefault="008C3570"/>
    <w:p w14:paraId="2EB12218" w14:textId="5C75B10F" w:rsidR="008C3570" w:rsidRDefault="008C3570"/>
    <w:p w14:paraId="2A166B16" w14:textId="3916EE47" w:rsidR="008C3570" w:rsidRDefault="008C3570"/>
    <w:p w14:paraId="3FBFF7FA" w14:textId="42991806" w:rsidR="008C3570" w:rsidRDefault="008C3570"/>
    <w:p w14:paraId="063B6EBB" w14:textId="3113B987" w:rsidR="008C3570" w:rsidRDefault="008C3570"/>
    <w:p w14:paraId="5CC12F5B" w14:textId="7A42A28D" w:rsidR="008C3570" w:rsidRDefault="008C3570"/>
    <w:p w14:paraId="6962FC06" w14:textId="156B5550" w:rsidR="008C3570" w:rsidRDefault="008C3570"/>
    <w:p w14:paraId="51B49D73" w14:textId="1909383F" w:rsidR="008C3570" w:rsidRDefault="008C3570"/>
    <w:p w14:paraId="11BF78D8" w14:textId="798BB388" w:rsidR="008C3570" w:rsidRDefault="008C3570"/>
    <w:p w14:paraId="63507718" w14:textId="20F5CE27" w:rsidR="008C3570" w:rsidRDefault="008C3570"/>
    <w:p w14:paraId="10F2805E" w14:textId="42335397" w:rsidR="008C3570" w:rsidRDefault="008C3570"/>
    <w:tbl>
      <w:tblPr>
        <w:tblStyle w:val="TableGrid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664"/>
        <w:gridCol w:w="862"/>
        <w:gridCol w:w="851"/>
        <w:gridCol w:w="862"/>
        <w:gridCol w:w="747"/>
        <w:gridCol w:w="862"/>
        <w:gridCol w:w="862"/>
        <w:gridCol w:w="785"/>
        <w:gridCol w:w="551"/>
      </w:tblGrid>
      <w:tr w:rsidR="008C3570" w:rsidRPr="00F42408" w14:paraId="7CE445B6" w14:textId="77777777" w:rsidTr="001456C1">
        <w:trPr>
          <w:trHeight w:val="57"/>
          <w:jc w:val="center"/>
        </w:trPr>
        <w:tc>
          <w:tcPr>
            <w:tcW w:w="8931" w:type="dxa"/>
            <w:gridSpan w:val="10"/>
            <w:tcBorders>
              <w:bottom w:val="single" w:sz="4" w:space="0" w:color="auto"/>
            </w:tcBorders>
          </w:tcPr>
          <w:p w14:paraId="1D6D15A6" w14:textId="77777777" w:rsidR="008C3570" w:rsidRPr="00F42408" w:rsidRDefault="008C3570" w:rsidP="001456C1">
            <w:pPr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lastRenderedPageBreak/>
              <w:t xml:space="preserve">Table A.3 Level of agreement with potential benefits of teleradiology according to experience (years after residency) and workplace (MOH: </w:t>
            </w:r>
            <w:r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Ministry</w:t>
            </w:r>
            <w:r w:rsidRPr="00F42408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 xml:space="preserve"> of Health; non-MOH govt: governmental hospitals that are not part of MOH; Private: private hospitals and polyclinics)</w:t>
            </w:r>
          </w:p>
        </w:tc>
      </w:tr>
      <w:tr w:rsidR="008C3570" w:rsidRPr="00F42408" w14:paraId="34C8E26F" w14:textId="77777777" w:rsidTr="001456C1">
        <w:trPr>
          <w:trHeight w:val="57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C53511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Statement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5B213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Likert Scale*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15515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Years after residency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DDFF5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p-value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9AC30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Workplace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14:paraId="3D3852A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p-value</w:t>
            </w:r>
          </w:p>
        </w:tc>
      </w:tr>
      <w:tr w:rsidR="008C3570" w:rsidRPr="00F42408" w14:paraId="5558EDB5" w14:textId="77777777" w:rsidTr="001456C1">
        <w:trPr>
          <w:trHeight w:val="57"/>
          <w:jc w:val="center"/>
        </w:trPr>
        <w:tc>
          <w:tcPr>
            <w:tcW w:w="18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A3948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855DC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6B5C4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10 to 25 years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BF15F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26 or more years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BA4AD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Under 10 years</w:t>
            </w:r>
          </w:p>
        </w:tc>
        <w:tc>
          <w:tcPr>
            <w:tcW w:w="74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D711F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84EF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MOH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9988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non-MOH govt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E57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eastAsia="Times New Roman" w:hAnsiTheme="minorBidi" w:cstheme="minorBidi"/>
                <w:color w:val="auto"/>
                <w:sz w:val="14"/>
                <w:szCs w:val="14"/>
              </w:rPr>
              <w:t>Private</w:t>
            </w:r>
          </w:p>
        </w:tc>
        <w:tc>
          <w:tcPr>
            <w:tcW w:w="679" w:type="dxa"/>
            <w:vMerge/>
            <w:tcBorders>
              <w:bottom w:val="single" w:sz="4" w:space="0" w:color="auto"/>
            </w:tcBorders>
          </w:tcPr>
          <w:p w14:paraId="2C97C47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71677600" w14:textId="77777777" w:rsidTr="001456C1">
        <w:trPr>
          <w:trHeight w:val="57"/>
          <w:jc w:val="center"/>
        </w:trPr>
        <w:tc>
          <w:tcPr>
            <w:tcW w:w="1890" w:type="dxa"/>
            <w:vMerge w:val="restart"/>
            <w:tcBorders>
              <w:top w:val="single" w:sz="4" w:space="0" w:color="auto"/>
            </w:tcBorders>
            <w:hideMark/>
          </w:tcPr>
          <w:p w14:paraId="4FA428D9" w14:textId="77777777" w:rsidR="008C3570" w:rsidRPr="00F42408" w:rsidRDefault="008C3570" w:rsidP="001456C1">
            <w:pPr>
              <w:jc w:val="left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Reading off-site exams helps my practice provide geographic coverage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  <w:hideMark/>
          </w:tcPr>
          <w:p w14:paraId="67BFDC7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SA</w:t>
            </w: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7A37B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13(34.2%)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B964C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8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5C816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30(49.2%)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4FDC6AF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.075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14:paraId="55FF46F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29(53.7%)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3D523A0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17(38.6%)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14:paraId="16894FF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</w:tcBorders>
          </w:tcPr>
          <w:p w14:paraId="2CCDE21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.059</w:t>
            </w:r>
          </w:p>
        </w:tc>
      </w:tr>
      <w:tr w:rsidR="008C3570" w:rsidRPr="00F42408" w14:paraId="42DDC112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2926E28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53CDFB2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A</w:t>
            </w:r>
          </w:p>
        </w:tc>
        <w:tc>
          <w:tcPr>
            <w:tcW w:w="849" w:type="dxa"/>
            <w:noWrap/>
            <w:vAlign w:val="center"/>
            <w:hideMark/>
          </w:tcPr>
          <w:p w14:paraId="2028453C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13(34.2%)</w:t>
            </w:r>
          </w:p>
        </w:tc>
        <w:tc>
          <w:tcPr>
            <w:tcW w:w="851" w:type="dxa"/>
            <w:noWrap/>
            <w:vAlign w:val="center"/>
            <w:hideMark/>
          </w:tcPr>
          <w:p w14:paraId="43F4C84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20B3BEC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24(39.3%)</w:t>
            </w:r>
          </w:p>
        </w:tc>
        <w:tc>
          <w:tcPr>
            <w:tcW w:w="747" w:type="dxa"/>
            <w:vMerge/>
            <w:vAlign w:val="center"/>
            <w:hideMark/>
          </w:tcPr>
          <w:p w14:paraId="2AA9DB1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5146C73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17(31.5%)</w:t>
            </w:r>
          </w:p>
        </w:tc>
        <w:tc>
          <w:tcPr>
            <w:tcW w:w="849" w:type="dxa"/>
            <w:vAlign w:val="center"/>
          </w:tcPr>
          <w:p w14:paraId="2354615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17(38.6%)</w:t>
            </w:r>
          </w:p>
        </w:tc>
        <w:tc>
          <w:tcPr>
            <w:tcW w:w="742" w:type="dxa"/>
            <w:vAlign w:val="center"/>
          </w:tcPr>
          <w:p w14:paraId="7728205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679" w:type="dxa"/>
            <w:vMerge/>
            <w:vAlign w:val="center"/>
          </w:tcPr>
          <w:p w14:paraId="596CED7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5EC2DE2F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5044B22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767310C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849" w:type="dxa"/>
            <w:noWrap/>
            <w:vAlign w:val="center"/>
            <w:hideMark/>
          </w:tcPr>
          <w:p w14:paraId="37578C3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noWrap/>
            <w:vAlign w:val="center"/>
            <w:hideMark/>
          </w:tcPr>
          <w:p w14:paraId="34ABFA5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44B0CBC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5(8.2%)</w:t>
            </w:r>
          </w:p>
        </w:tc>
        <w:tc>
          <w:tcPr>
            <w:tcW w:w="747" w:type="dxa"/>
            <w:vMerge/>
            <w:vAlign w:val="center"/>
            <w:hideMark/>
          </w:tcPr>
          <w:p w14:paraId="4D8767A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5E9FD53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49" w:type="dxa"/>
            <w:vAlign w:val="center"/>
          </w:tcPr>
          <w:p w14:paraId="34C2B81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2D1DAE9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679" w:type="dxa"/>
            <w:vMerge/>
            <w:vAlign w:val="center"/>
          </w:tcPr>
          <w:p w14:paraId="66BF94F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25EEE8B8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74D2A71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5060D40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D</w:t>
            </w:r>
          </w:p>
        </w:tc>
        <w:tc>
          <w:tcPr>
            <w:tcW w:w="849" w:type="dxa"/>
            <w:noWrap/>
            <w:vAlign w:val="center"/>
            <w:hideMark/>
          </w:tcPr>
          <w:p w14:paraId="2DB3E7A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noWrap/>
            <w:vAlign w:val="center"/>
            <w:hideMark/>
          </w:tcPr>
          <w:p w14:paraId="69CA4E2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1125044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47" w:type="dxa"/>
            <w:vMerge/>
            <w:vAlign w:val="center"/>
            <w:hideMark/>
          </w:tcPr>
          <w:p w14:paraId="54214CD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1C8EA1E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49" w:type="dxa"/>
            <w:vAlign w:val="center"/>
          </w:tcPr>
          <w:p w14:paraId="26E6498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6B9E95E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679" w:type="dxa"/>
            <w:vMerge/>
            <w:vAlign w:val="center"/>
          </w:tcPr>
          <w:p w14:paraId="3DE8C58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3E14CA05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5962AD6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39A39BC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SD</w:t>
            </w:r>
          </w:p>
        </w:tc>
        <w:tc>
          <w:tcPr>
            <w:tcW w:w="849" w:type="dxa"/>
            <w:noWrap/>
            <w:vAlign w:val="center"/>
            <w:hideMark/>
          </w:tcPr>
          <w:p w14:paraId="549C7DE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noWrap/>
            <w:vAlign w:val="center"/>
            <w:hideMark/>
          </w:tcPr>
          <w:p w14:paraId="1296175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230A9FC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47" w:type="dxa"/>
            <w:vMerge/>
            <w:vAlign w:val="center"/>
            <w:hideMark/>
          </w:tcPr>
          <w:p w14:paraId="69A0651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49530E5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2(3.7%)</w:t>
            </w:r>
          </w:p>
        </w:tc>
        <w:tc>
          <w:tcPr>
            <w:tcW w:w="849" w:type="dxa"/>
            <w:vAlign w:val="center"/>
          </w:tcPr>
          <w:p w14:paraId="125A7B3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3435FC1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  <w:vAlign w:val="center"/>
          </w:tcPr>
          <w:p w14:paraId="1614FC0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7059C092" w14:textId="77777777" w:rsidTr="001456C1">
        <w:trPr>
          <w:trHeight w:val="57"/>
          <w:jc w:val="center"/>
        </w:trPr>
        <w:tc>
          <w:tcPr>
            <w:tcW w:w="2554" w:type="dxa"/>
            <w:gridSpan w:val="2"/>
            <w:vAlign w:val="center"/>
            <w:hideMark/>
          </w:tcPr>
          <w:p w14:paraId="3E96EDD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59" w:type="dxa"/>
            <w:gridSpan w:val="4"/>
            <w:vAlign w:val="center"/>
            <w:hideMark/>
          </w:tcPr>
          <w:p w14:paraId="3F30458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</w:tcPr>
          <w:p w14:paraId="39E70FE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27FC8802" w14:textId="77777777" w:rsidTr="001456C1">
        <w:trPr>
          <w:trHeight w:val="57"/>
          <w:jc w:val="center"/>
        </w:trPr>
        <w:tc>
          <w:tcPr>
            <w:tcW w:w="1890" w:type="dxa"/>
            <w:vMerge w:val="restart"/>
            <w:hideMark/>
          </w:tcPr>
          <w:p w14:paraId="3E3D8EF6" w14:textId="77777777" w:rsidR="008C3570" w:rsidRPr="00F42408" w:rsidRDefault="008C3570" w:rsidP="001456C1">
            <w:pPr>
              <w:jc w:val="left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Reading off-site exams helps my practice provide after- hours coverage</w:t>
            </w:r>
          </w:p>
        </w:tc>
        <w:tc>
          <w:tcPr>
            <w:tcW w:w="664" w:type="dxa"/>
            <w:vAlign w:val="center"/>
            <w:hideMark/>
          </w:tcPr>
          <w:p w14:paraId="5AA238D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SA</w:t>
            </w:r>
          </w:p>
        </w:tc>
        <w:tc>
          <w:tcPr>
            <w:tcW w:w="849" w:type="dxa"/>
            <w:noWrap/>
            <w:vAlign w:val="center"/>
            <w:hideMark/>
          </w:tcPr>
          <w:p w14:paraId="1C6ADF1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13(34.2%)</w:t>
            </w:r>
          </w:p>
        </w:tc>
        <w:tc>
          <w:tcPr>
            <w:tcW w:w="851" w:type="dxa"/>
            <w:noWrap/>
            <w:vAlign w:val="center"/>
            <w:hideMark/>
          </w:tcPr>
          <w:p w14:paraId="4AFDCA3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812" w:type="dxa"/>
            <w:noWrap/>
            <w:vAlign w:val="center"/>
            <w:hideMark/>
          </w:tcPr>
          <w:p w14:paraId="0543EE7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23(37.7%)</w:t>
            </w:r>
          </w:p>
        </w:tc>
        <w:tc>
          <w:tcPr>
            <w:tcW w:w="747" w:type="dxa"/>
            <w:vMerge w:val="restart"/>
            <w:noWrap/>
            <w:hideMark/>
          </w:tcPr>
          <w:p w14:paraId="1A20D59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.419</w:t>
            </w:r>
          </w:p>
        </w:tc>
        <w:tc>
          <w:tcPr>
            <w:tcW w:w="848" w:type="dxa"/>
            <w:vAlign w:val="center"/>
          </w:tcPr>
          <w:p w14:paraId="78AF448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21(38.9%)</w:t>
            </w:r>
          </w:p>
        </w:tc>
        <w:tc>
          <w:tcPr>
            <w:tcW w:w="849" w:type="dxa"/>
            <w:vAlign w:val="center"/>
          </w:tcPr>
          <w:p w14:paraId="76E4786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17(38.6%)</w:t>
            </w:r>
          </w:p>
        </w:tc>
        <w:tc>
          <w:tcPr>
            <w:tcW w:w="742" w:type="dxa"/>
            <w:vAlign w:val="center"/>
          </w:tcPr>
          <w:p w14:paraId="35EC22B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 w:val="restart"/>
          </w:tcPr>
          <w:p w14:paraId="3EFDC1B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.629</w:t>
            </w:r>
          </w:p>
        </w:tc>
      </w:tr>
      <w:tr w:rsidR="008C3570" w:rsidRPr="00F42408" w14:paraId="257BD2CF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1DFA6D0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2B345C4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A</w:t>
            </w:r>
          </w:p>
        </w:tc>
        <w:tc>
          <w:tcPr>
            <w:tcW w:w="849" w:type="dxa"/>
            <w:noWrap/>
            <w:vAlign w:val="center"/>
            <w:hideMark/>
          </w:tcPr>
          <w:p w14:paraId="12C53AB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12(31.6%)</w:t>
            </w:r>
          </w:p>
        </w:tc>
        <w:tc>
          <w:tcPr>
            <w:tcW w:w="851" w:type="dxa"/>
            <w:noWrap/>
            <w:vAlign w:val="center"/>
            <w:hideMark/>
          </w:tcPr>
          <w:p w14:paraId="3369F19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026624C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22(36.1%)</w:t>
            </w:r>
          </w:p>
        </w:tc>
        <w:tc>
          <w:tcPr>
            <w:tcW w:w="747" w:type="dxa"/>
            <w:vMerge/>
            <w:vAlign w:val="center"/>
            <w:hideMark/>
          </w:tcPr>
          <w:p w14:paraId="239D572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66257F3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15(27.8%)</w:t>
            </w:r>
          </w:p>
        </w:tc>
        <w:tc>
          <w:tcPr>
            <w:tcW w:w="849" w:type="dxa"/>
            <w:vAlign w:val="center"/>
          </w:tcPr>
          <w:p w14:paraId="478E17C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17(38.6%)</w:t>
            </w:r>
          </w:p>
        </w:tc>
        <w:tc>
          <w:tcPr>
            <w:tcW w:w="742" w:type="dxa"/>
            <w:vAlign w:val="center"/>
          </w:tcPr>
          <w:p w14:paraId="3132187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679" w:type="dxa"/>
            <w:vMerge/>
            <w:vAlign w:val="center"/>
          </w:tcPr>
          <w:p w14:paraId="69E230E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030E8924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1A53197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0104513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849" w:type="dxa"/>
            <w:noWrap/>
            <w:vAlign w:val="center"/>
            <w:hideMark/>
          </w:tcPr>
          <w:p w14:paraId="1DAC1E7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6(15.8%)</w:t>
            </w:r>
          </w:p>
        </w:tc>
        <w:tc>
          <w:tcPr>
            <w:tcW w:w="851" w:type="dxa"/>
            <w:noWrap/>
            <w:vAlign w:val="center"/>
            <w:hideMark/>
          </w:tcPr>
          <w:p w14:paraId="6F19AE9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474CE49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10(16.4%)</w:t>
            </w:r>
          </w:p>
        </w:tc>
        <w:tc>
          <w:tcPr>
            <w:tcW w:w="747" w:type="dxa"/>
            <w:vMerge/>
            <w:vAlign w:val="center"/>
            <w:hideMark/>
          </w:tcPr>
          <w:p w14:paraId="6BEB2AF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37DCD81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9(16.7%)</w:t>
            </w:r>
          </w:p>
        </w:tc>
        <w:tc>
          <w:tcPr>
            <w:tcW w:w="849" w:type="dxa"/>
            <w:vAlign w:val="center"/>
          </w:tcPr>
          <w:p w14:paraId="2E5BD75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1460A8F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679" w:type="dxa"/>
            <w:vMerge/>
            <w:vAlign w:val="center"/>
          </w:tcPr>
          <w:p w14:paraId="5B3E60A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66223250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5FAFCC7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7643FFB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D</w:t>
            </w:r>
          </w:p>
        </w:tc>
        <w:tc>
          <w:tcPr>
            <w:tcW w:w="849" w:type="dxa"/>
            <w:noWrap/>
            <w:vAlign w:val="center"/>
            <w:hideMark/>
          </w:tcPr>
          <w:p w14:paraId="29B71F4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noWrap/>
            <w:vAlign w:val="center"/>
            <w:hideMark/>
          </w:tcPr>
          <w:p w14:paraId="7138897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20FD7DE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3(4.9%)</w:t>
            </w:r>
          </w:p>
        </w:tc>
        <w:tc>
          <w:tcPr>
            <w:tcW w:w="747" w:type="dxa"/>
            <w:vMerge/>
            <w:vAlign w:val="center"/>
            <w:hideMark/>
          </w:tcPr>
          <w:p w14:paraId="37D4F13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7F35EDE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49" w:type="dxa"/>
            <w:vAlign w:val="center"/>
          </w:tcPr>
          <w:p w14:paraId="52F539A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1(2.3%)</w:t>
            </w:r>
          </w:p>
        </w:tc>
        <w:tc>
          <w:tcPr>
            <w:tcW w:w="742" w:type="dxa"/>
            <w:vAlign w:val="center"/>
          </w:tcPr>
          <w:p w14:paraId="24B150B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/>
            <w:vAlign w:val="center"/>
          </w:tcPr>
          <w:p w14:paraId="4172A49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20CD1F76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48F11D0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64F25F1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SD</w:t>
            </w:r>
          </w:p>
        </w:tc>
        <w:tc>
          <w:tcPr>
            <w:tcW w:w="849" w:type="dxa"/>
            <w:noWrap/>
            <w:vAlign w:val="center"/>
            <w:hideMark/>
          </w:tcPr>
          <w:p w14:paraId="4136EA3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noWrap/>
            <w:vAlign w:val="center"/>
            <w:hideMark/>
          </w:tcPr>
          <w:p w14:paraId="72C5342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noWrap/>
            <w:vAlign w:val="center"/>
            <w:hideMark/>
          </w:tcPr>
          <w:p w14:paraId="126E77A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3(4.9%)</w:t>
            </w:r>
          </w:p>
        </w:tc>
        <w:tc>
          <w:tcPr>
            <w:tcW w:w="747" w:type="dxa"/>
            <w:vMerge/>
            <w:vAlign w:val="center"/>
            <w:hideMark/>
          </w:tcPr>
          <w:p w14:paraId="32F170E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7386087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5(9.3%)</w:t>
            </w:r>
          </w:p>
        </w:tc>
        <w:tc>
          <w:tcPr>
            <w:tcW w:w="849" w:type="dxa"/>
            <w:vAlign w:val="center"/>
          </w:tcPr>
          <w:p w14:paraId="77FFAB4C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4(9.1%)</w:t>
            </w:r>
          </w:p>
        </w:tc>
        <w:tc>
          <w:tcPr>
            <w:tcW w:w="742" w:type="dxa"/>
            <w:vAlign w:val="center"/>
          </w:tcPr>
          <w:p w14:paraId="265B7C5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  <w:vAlign w:val="center"/>
          </w:tcPr>
          <w:p w14:paraId="1EBF026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6A8F43EC" w14:textId="77777777" w:rsidTr="001456C1">
        <w:trPr>
          <w:trHeight w:val="57"/>
          <w:jc w:val="center"/>
        </w:trPr>
        <w:tc>
          <w:tcPr>
            <w:tcW w:w="2554" w:type="dxa"/>
            <w:gridSpan w:val="2"/>
            <w:vAlign w:val="center"/>
            <w:hideMark/>
          </w:tcPr>
          <w:p w14:paraId="783CC21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59" w:type="dxa"/>
            <w:gridSpan w:val="4"/>
            <w:vAlign w:val="center"/>
            <w:hideMark/>
          </w:tcPr>
          <w:p w14:paraId="4DEFC0F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</w:tcPr>
          <w:p w14:paraId="01CB2D2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395F0B04" w14:textId="77777777" w:rsidTr="001456C1">
        <w:trPr>
          <w:trHeight w:val="57"/>
          <w:jc w:val="center"/>
        </w:trPr>
        <w:tc>
          <w:tcPr>
            <w:tcW w:w="1890" w:type="dxa"/>
            <w:vMerge w:val="restart"/>
            <w:hideMark/>
          </w:tcPr>
          <w:p w14:paraId="152D9506" w14:textId="77777777" w:rsidR="008C3570" w:rsidRPr="00F42408" w:rsidRDefault="008C3570" w:rsidP="001456C1">
            <w:pPr>
              <w:jc w:val="left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Reading off-site exams helps my practice provide multi-specialty coverage</w:t>
            </w:r>
          </w:p>
        </w:tc>
        <w:tc>
          <w:tcPr>
            <w:tcW w:w="664" w:type="dxa"/>
            <w:vAlign w:val="center"/>
            <w:hideMark/>
          </w:tcPr>
          <w:p w14:paraId="10BABAF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SA</w:t>
            </w:r>
          </w:p>
        </w:tc>
        <w:tc>
          <w:tcPr>
            <w:tcW w:w="849" w:type="dxa"/>
            <w:noWrap/>
            <w:vAlign w:val="center"/>
            <w:hideMark/>
          </w:tcPr>
          <w:p w14:paraId="66A3102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9(23.7%)</w:t>
            </w:r>
          </w:p>
        </w:tc>
        <w:tc>
          <w:tcPr>
            <w:tcW w:w="851" w:type="dxa"/>
            <w:noWrap/>
            <w:vAlign w:val="center"/>
            <w:hideMark/>
          </w:tcPr>
          <w:p w14:paraId="18B0CA5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noWrap/>
            <w:vAlign w:val="center"/>
            <w:hideMark/>
          </w:tcPr>
          <w:p w14:paraId="514F61B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21(34.4%)</w:t>
            </w:r>
          </w:p>
        </w:tc>
        <w:tc>
          <w:tcPr>
            <w:tcW w:w="747" w:type="dxa"/>
            <w:vMerge w:val="restart"/>
            <w:noWrap/>
            <w:hideMark/>
          </w:tcPr>
          <w:p w14:paraId="6D63A75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.070</w:t>
            </w:r>
          </w:p>
        </w:tc>
        <w:tc>
          <w:tcPr>
            <w:tcW w:w="848" w:type="dxa"/>
            <w:vAlign w:val="center"/>
          </w:tcPr>
          <w:p w14:paraId="23172E2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16(29.6%)</w:t>
            </w:r>
          </w:p>
        </w:tc>
        <w:tc>
          <w:tcPr>
            <w:tcW w:w="849" w:type="dxa"/>
            <w:vAlign w:val="center"/>
          </w:tcPr>
          <w:p w14:paraId="4B52C36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16(36.4%)</w:t>
            </w:r>
          </w:p>
        </w:tc>
        <w:tc>
          <w:tcPr>
            <w:tcW w:w="742" w:type="dxa"/>
            <w:vAlign w:val="center"/>
          </w:tcPr>
          <w:p w14:paraId="411FC89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 w:val="restart"/>
          </w:tcPr>
          <w:p w14:paraId="7B60530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.150</w:t>
            </w:r>
          </w:p>
        </w:tc>
      </w:tr>
      <w:tr w:rsidR="008C3570" w:rsidRPr="00F42408" w14:paraId="62C4F022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0E36648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57BA90B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A</w:t>
            </w:r>
          </w:p>
        </w:tc>
        <w:tc>
          <w:tcPr>
            <w:tcW w:w="849" w:type="dxa"/>
            <w:noWrap/>
            <w:vAlign w:val="center"/>
            <w:hideMark/>
          </w:tcPr>
          <w:p w14:paraId="2B4E8CE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19(50.0%)</w:t>
            </w:r>
          </w:p>
        </w:tc>
        <w:tc>
          <w:tcPr>
            <w:tcW w:w="851" w:type="dxa"/>
            <w:noWrap/>
            <w:vAlign w:val="center"/>
            <w:hideMark/>
          </w:tcPr>
          <w:p w14:paraId="7F7F69C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5608FF0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21(34.4%)</w:t>
            </w:r>
          </w:p>
        </w:tc>
        <w:tc>
          <w:tcPr>
            <w:tcW w:w="747" w:type="dxa"/>
            <w:vMerge/>
            <w:vAlign w:val="center"/>
            <w:hideMark/>
          </w:tcPr>
          <w:p w14:paraId="322CC1B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7A10E50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19(35.2%)</w:t>
            </w:r>
          </w:p>
        </w:tc>
        <w:tc>
          <w:tcPr>
            <w:tcW w:w="849" w:type="dxa"/>
            <w:vAlign w:val="center"/>
          </w:tcPr>
          <w:p w14:paraId="752ED29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16(36.4%)</w:t>
            </w:r>
          </w:p>
        </w:tc>
        <w:tc>
          <w:tcPr>
            <w:tcW w:w="742" w:type="dxa"/>
            <w:vAlign w:val="center"/>
          </w:tcPr>
          <w:p w14:paraId="2052131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6(85.7%)</w:t>
            </w:r>
          </w:p>
        </w:tc>
        <w:tc>
          <w:tcPr>
            <w:tcW w:w="679" w:type="dxa"/>
            <w:vMerge/>
            <w:vAlign w:val="center"/>
          </w:tcPr>
          <w:p w14:paraId="07B26B2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284C60FD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383D411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20F5CE3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849" w:type="dxa"/>
            <w:noWrap/>
            <w:vAlign w:val="center"/>
            <w:hideMark/>
          </w:tcPr>
          <w:p w14:paraId="10F3FD4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noWrap/>
            <w:vAlign w:val="center"/>
            <w:hideMark/>
          </w:tcPr>
          <w:p w14:paraId="7B49421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44798BB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15(24.6%)</w:t>
            </w:r>
          </w:p>
        </w:tc>
        <w:tc>
          <w:tcPr>
            <w:tcW w:w="747" w:type="dxa"/>
            <w:vMerge/>
            <w:vAlign w:val="center"/>
            <w:hideMark/>
          </w:tcPr>
          <w:p w14:paraId="05F245E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3A704E8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49" w:type="dxa"/>
            <w:vAlign w:val="center"/>
          </w:tcPr>
          <w:p w14:paraId="0181D0A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7(15.9%)</w:t>
            </w:r>
          </w:p>
        </w:tc>
        <w:tc>
          <w:tcPr>
            <w:tcW w:w="742" w:type="dxa"/>
            <w:vAlign w:val="center"/>
          </w:tcPr>
          <w:p w14:paraId="6C2DC22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/>
            <w:vAlign w:val="center"/>
          </w:tcPr>
          <w:p w14:paraId="327E09D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2EDDEADE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1531824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275EE83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D</w:t>
            </w:r>
          </w:p>
        </w:tc>
        <w:tc>
          <w:tcPr>
            <w:tcW w:w="849" w:type="dxa"/>
            <w:noWrap/>
            <w:vAlign w:val="center"/>
            <w:hideMark/>
          </w:tcPr>
          <w:p w14:paraId="7EFFF97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noWrap/>
            <w:vAlign w:val="center"/>
            <w:hideMark/>
          </w:tcPr>
          <w:p w14:paraId="3D1363B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2BE5309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47" w:type="dxa"/>
            <w:vMerge/>
            <w:vAlign w:val="center"/>
            <w:hideMark/>
          </w:tcPr>
          <w:p w14:paraId="12859A7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2A82EAD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49" w:type="dxa"/>
            <w:vAlign w:val="center"/>
          </w:tcPr>
          <w:p w14:paraId="7B783BB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42" w:type="dxa"/>
            <w:vAlign w:val="center"/>
          </w:tcPr>
          <w:p w14:paraId="4E9857E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  <w:vAlign w:val="center"/>
          </w:tcPr>
          <w:p w14:paraId="457183E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2C10546B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1288181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0A113B9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SD</w:t>
            </w:r>
          </w:p>
        </w:tc>
        <w:tc>
          <w:tcPr>
            <w:tcW w:w="849" w:type="dxa"/>
            <w:noWrap/>
            <w:vAlign w:val="center"/>
            <w:hideMark/>
          </w:tcPr>
          <w:p w14:paraId="5227044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5(13.2%)</w:t>
            </w:r>
          </w:p>
        </w:tc>
        <w:tc>
          <w:tcPr>
            <w:tcW w:w="851" w:type="dxa"/>
            <w:noWrap/>
            <w:vAlign w:val="center"/>
            <w:hideMark/>
          </w:tcPr>
          <w:p w14:paraId="3DDB6F5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noWrap/>
            <w:vAlign w:val="center"/>
            <w:hideMark/>
          </w:tcPr>
          <w:p w14:paraId="264AE66C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47" w:type="dxa"/>
            <w:vMerge/>
            <w:vAlign w:val="center"/>
            <w:hideMark/>
          </w:tcPr>
          <w:p w14:paraId="22768F3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3960B32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49" w:type="dxa"/>
            <w:vAlign w:val="center"/>
          </w:tcPr>
          <w:p w14:paraId="4DC5C34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36E121A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  <w:vAlign w:val="center"/>
          </w:tcPr>
          <w:p w14:paraId="75D5F47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40EFD33D" w14:textId="77777777" w:rsidTr="001456C1">
        <w:trPr>
          <w:trHeight w:val="57"/>
          <w:jc w:val="center"/>
        </w:trPr>
        <w:tc>
          <w:tcPr>
            <w:tcW w:w="2554" w:type="dxa"/>
            <w:gridSpan w:val="2"/>
            <w:vAlign w:val="center"/>
            <w:hideMark/>
          </w:tcPr>
          <w:p w14:paraId="098368F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59" w:type="dxa"/>
            <w:gridSpan w:val="4"/>
            <w:noWrap/>
            <w:vAlign w:val="center"/>
            <w:hideMark/>
          </w:tcPr>
          <w:p w14:paraId="115E61E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</w:tcPr>
          <w:p w14:paraId="6CDEF87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5A5F391E" w14:textId="77777777" w:rsidTr="001456C1">
        <w:trPr>
          <w:trHeight w:val="57"/>
          <w:jc w:val="center"/>
        </w:trPr>
        <w:tc>
          <w:tcPr>
            <w:tcW w:w="1890" w:type="dxa"/>
            <w:vMerge w:val="restart"/>
            <w:hideMark/>
          </w:tcPr>
          <w:p w14:paraId="4B87A081" w14:textId="77777777" w:rsidR="008C3570" w:rsidRPr="00F42408" w:rsidRDefault="008C3570" w:rsidP="001456C1">
            <w:pPr>
              <w:jc w:val="left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Reading off-site exams helps my practice reduce turn-around times for preliminary interpretations</w:t>
            </w:r>
          </w:p>
        </w:tc>
        <w:tc>
          <w:tcPr>
            <w:tcW w:w="664" w:type="dxa"/>
            <w:vAlign w:val="center"/>
            <w:hideMark/>
          </w:tcPr>
          <w:p w14:paraId="2D254A6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SA</w:t>
            </w:r>
          </w:p>
        </w:tc>
        <w:tc>
          <w:tcPr>
            <w:tcW w:w="849" w:type="dxa"/>
            <w:noWrap/>
            <w:vAlign w:val="center"/>
            <w:hideMark/>
          </w:tcPr>
          <w:p w14:paraId="0AA5487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7(18.4%)</w:t>
            </w:r>
          </w:p>
        </w:tc>
        <w:tc>
          <w:tcPr>
            <w:tcW w:w="851" w:type="dxa"/>
            <w:noWrap/>
            <w:vAlign w:val="center"/>
            <w:hideMark/>
          </w:tcPr>
          <w:p w14:paraId="01D8A87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noWrap/>
            <w:vAlign w:val="center"/>
            <w:hideMark/>
          </w:tcPr>
          <w:p w14:paraId="6FC2898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15(24.6%)</w:t>
            </w:r>
          </w:p>
        </w:tc>
        <w:tc>
          <w:tcPr>
            <w:tcW w:w="747" w:type="dxa"/>
            <w:vMerge w:val="restart"/>
            <w:noWrap/>
            <w:hideMark/>
          </w:tcPr>
          <w:p w14:paraId="152407A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.115</w:t>
            </w:r>
          </w:p>
        </w:tc>
        <w:tc>
          <w:tcPr>
            <w:tcW w:w="848" w:type="dxa"/>
            <w:vAlign w:val="center"/>
          </w:tcPr>
          <w:p w14:paraId="2245330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9(16.7%)</w:t>
            </w:r>
          </w:p>
        </w:tc>
        <w:tc>
          <w:tcPr>
            <w:tcW w:w="849" w:type="dxa"/>
            <w:vAlign w:val="center"/>
          </w:tcPr>
          <w:p w14:paraId="53C4873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14(31.8%)</w:t>
            </w:r>
          </w:p>
        </w:tc>
        <w:tc>
          <w:tcPr>
            <w:tcW w:w="742" w:type="dxa"/>
            <w:vAlign w:val="center"/>
          </w:tcPr>
          <w:p w14:paraId="358313E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 w:val="restart"/>
          </w:tcPr>
          <w:p w14:paraId="009E779C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.409</w:t>
            </w:r>
          </w:p>
        </w:tc>
      </w:tr>
      <w:tr w:rsidR="008C3570" w:rsidRPr="00F42408" w14:paraId="24CF5782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121F1C8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4E952F5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A</w:t>
            </w:r>
          </w:p>
        </w:tc>
        <w:tc>
          <w:tcPr>
            <w:tcW w:w="849" w:type="dxa"/>
            <w:noWrap/>
            <w:vAlign w:val="center"/>
            <w:hideMark/>
          </w:tcPr>
          <w:p w14:paraId="4C4527F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16(42.1%)</w:t>
            </w:r>
          </w:p>
        </w:tc>
        <w:tc>
          <w:tcPr>
            <w:tcW w:w="851" w:type="dxa"/>
            <w:noWrap/>
            <w:vAlign w:val="center"/>
            <w:hideMark/>
          </w:tcPr>
          <w:p w14:paraId="141A298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noWrap/>
            <w:vAlign w:val="center"/>
            <w:hideMark/>
          </w:tcPr>
          <w:p w14:paraId="4AB73BB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23(37.7%)</w:t>
            </w:r>
          </w:p>
        </w:tc>
        <w:tc>
          <w:tcPr>
            <w:tcW w:w="747" w:type="dxa"/>
            <w:vMerge/>
            <w:vAlign w:val="center"/>
            <w:hideMark/>
          </w:tcPr>
          <w:p w14:paraId="727AAD0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674BCAD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20(37.0%)</w:t>
            </w:r>
          </w:p>
        </w:tc>
        <w:tc>
          <w:tcPr>
            <w:tcW w:w="849" w:type="dxa"/>
            <w:vAlign w:val="center"/>
          </w:tcPr>
          <w:p w14:paraId="61B08A7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18(40.9%)</w:t>
            </w:r>
          </w:p>
        </w:tc>
        <w:tc>
          <w:tcPr>
            <w:tcW w:w="742" w:type="dxa"/>
            <w:vAlign w:val="center"/>
          </w:tcPr>
          <w:p w14:paraId="4CBCEF9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3(42.9%)</w:t>
            </w:r>
          </w:p>
        </w:tc>
        <w:tc>
          <w:tcPr>
            <w:tcW w:w="679" w:type="dxa"/>
            <w:vMerge/>
            <w:vAlign w:val="center"/>
          </w:tcPr>
          <w:p w14:paraId="073F5C9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5B077BED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415CE37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238FA39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849" w:type="dxa"/>
            <w:noWrap/>
            <w:vAlign w:val="center"/>
            <w:hideMark/>
          </w:tcPr>
          <w:p w14:paraId="5883199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6(15.8%)</w:t>
            </w:r>
          </w:p>
        </w:tc>
        <w:tc>
          <w:tcPr>
            <w:tcW w:w="851" w:type="dxa"/>
            <w:noWrap/>
            <w:vAlign w:val="center"/>
            <w:hideMark/>
          </w:tcPr>
          <w:p w14:paraId="387991D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2ADDCD9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16(26.2%)</w:t>
            </w:r>
          </w:p>
        </w:tc>
        <w:tc>
          <w:tcPr>
            <w:tcW w:w="747" w:type="dxa"/>
            <w:vMerge/>
            <w:vAlign w:val="center"/>
            <w:hideMark/>
          </w:tcPr>
          <w:p w14:paraId="1A24C87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102B2FF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14(25.9%)</w:t>
            </w:r>
          </w:p>
        </w:tc>
        <w:tc>
          <w:tcPr>
            <w:tcW w:w="849" w:type="dxa"/>
            <w:vAlign w:val="center"/>
          </w:tcPr>
          <w:p w14:paraId="63DBA2B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6(13.6%)</w:t>
            </w:r>
          </w:p>
        </w:tc>
        <w:tc>
          <w:tcPr>
            <w:tcW w:w="742" w:type="dxa"/>
            <w:vAlign w:val="center"/>
          </w:tcPr>
          <w:p w14:paraId="7BFE491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2(28.6%)</w:t>
            </w:r>
          </w:p>
        </w:tc>
        <w:tc>
          <w:tcPr>
            <w:tcW w:w="679" w:type="dxa"/>
            <w:vMerge/>
            <w:vAlign w:val="center"/>
          </w:tcPr>
          <w:p w14:paraId="6546751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0A74D483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492A1B3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6F642C2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D</w:t>
            </w:r>
          </w:p>
        </w:tc>
        <w:tc>
          <w:tcPr>
            <w:tcW w:w="849" w:type="dxa"/>
            <w:noWrap/>
            <w:vAlign w:val="center"/>
            <w:hideMark/>
          </w:tcPr>
          <w:p w14:paraId="70FEE66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6(15.8%)</w:t>
            </w:r>
          </w:p>
        </w:tc>
        <w:tc>
          <w:tcPr>
            <w:tcW w:w="851" w:type="dxa"/>
            <w:noWrap/>
            <w:vAlign w:val="center"/>
            <w:hideMark/>
          </w:tcPr>
          <w:p w14:paraId="7DDAD30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4EDE1E3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5(8.2%)</w:t>
            </w:r>
          </w:p>
        </w:tc>
        <w:tc>
          <w:tcPr>
            <w:tcW w:w="747" w:type="dxa"/>
            <w:vMerge/>
            <w:vAlign w:val="center"/>
            <w:hideMark/>
          </w:tcPr>
          <w:p w14:paraId="3A38FA4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36E5F2F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8(14.8%)</w:t>
            </w:r>
          </w:p>
        </w:tc>
        <w:tc>
          <w:tcPr>
            <w:tcW w:w="849" w:type="dxa"/>
            <w:vAlign w:val="center"/>
          </w:tcPr>
          <w:p w14:paraId="2EA60B8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3314025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/>
            <w:vAlign w:val="center"/>
          </w:tcPr>
          <w:p w14:paraId="21A9CEF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74AF1C40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3F095AB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64E9F00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SD</w:t>
            </w:r>
          </w:p>
        </w:tc>
        <w:tc>
          <w:tcPr>
            <w:tcW w:w="849" w:type="dxa"/>
            <w:noWrap/>
            <w:vAlign w:val="center"/>
            <w:hideMark/>
          </w:tcPr>
          <w:p w14:paraId="7DA921D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noWrap/>
            <w:vAlign w:val="center"/>
            <w:hideMark/>
          </w:tcPr>
          <w:p w14:paraId="5C83256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noWrap/>
            <w:vAlign w:val="center"/>
            <w:hideMark/>
          </w:tcPr>
          <w:p w14:paraId="2E3E5ED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47" w:type="dxa"/>
            <w:vMerge/>
            <w:vAlign w:val="center"/>
            <w:hideMark/>
          </w:tcPr>
          <w:p w14:paraId="29C9656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2E44E21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49" w:type="dxa"/>
            <w:vAlign w:val="center"/>
          </w:tcPr>
          <w:p w14:paraId="23A2378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4(9.1%)</w:t>
            </w:r>
          </w:p>
        </w:tc>
        <w:tc>
          <w:tcPr>
            <w:tcW w:w="742" w:type="dxa"/>
            <w:vAlign w:val="center"/>
          </w:tcPr>
          <w:p w14:paraId="21388E6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  <w:vAlign w:val="center"/>
          </w:tcPr>
          <w:p w14:paraId="11BC024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53A90A49" w14:textId="77777777" w:rsidTr="001456C1">
        <w:trPr>
          <w:trHeight w:val="57"/>
          <w:jc w:val="center"/>
        </w:trPr>
        <w:tc>
          <w:tcPr>
            <w:tcW w:w="2554" w:type="dxa"/>
            <w:gridSpan w:val="2"/>
            <w:vAlign w:val="center"/>
            <w:hideMark/>
          </w:tcPr>
          <w:p w14:paraId="7CDBBCA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59" w:type="dxa"/>
            <w:gridSpan w:val="4"/>
            <w:vAlign w:val="center"/>
            <w:hideMark/>
          </w:tcPr>
          <w:p w14:paraId="14E0769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</w:tcPr>
          <w:p w14:paraId="023202F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17ED11FD" w14:textId="77777777" w:rsidTr="001456C1">
        <w:trPr>
          <w:trHeight w:val="57"/>
          <w:jc w:val="center"/>
        </w:trPr>
        <w:tc>
          <w:tcPr>
            <w:tcW w:w="1890" w:type="dxa"/>
            <w:vMerge w:val="restart"/>
            <w:hideMark/>
          </w:tcPr>
          <w:p w14:paraId="16FC67B8" w14:textId="77777777" w:rsidR="008C3570" w:rsidRPr="00F42408" w:rsidRDefault="008C3570" w:rsidP="001456C1">
            <w:pPr>
              <w:jc w:val="left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Reading off-site exams helps my practice reduce turn-around times for final interpretations</w:t>
            </w:r>
          </w:p>
        </w:tc>
        <w:tc>
          <w:tcPr>
            <w:tcW w:w="664" w:type="dxa"/>
            <w:vAlign w:val="center"/>
            <w:hideMark/>
          </w:tcPr>
          <w:p w14:paraId="6C23B61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SA</w:t>
            </w:r>
          </w:p>
        </w:tc>
        <w:tc>
          <w:tcPr>
            <w:tcW w:w="849" w:type="dxa"/>
            <w:noWrap/>
            <w:vAlign w:val="center"/>
            <w:hideMark/>
          </w:tcPr>
          <w:p w14:paraId="310E602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9(23.7%)</w:t>
            </w:r>
          </w:p>
        </w:tc>
        <w:tc>
          <w:tcPr>
            <w:tcW w:w="851" w:type="dxa"/>
            <w:noWrap/>
            <w:vAlign w:val="center"/>
            <w:hideMark/>
          </w:tcPr>
          <w:p w14:paraId="0F8CC96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27178EEC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15(24.6%)</w:t>
            </w:r>
          </w:p>
        </w:tc>
        <w:tc>
          <w:tcPr>
            <w:tcW w:w="747" w:type="dxa"/>
            <w:vMerge w:val="restart"/>
            <w:noWrap/>
            <w:hideMark/>
          </w:tcPr>
          <w:p w14:paraId="4DD2BC0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.272</w:t>
            </w:r>
          </w:p>
        </w:tc>
        <w:tc>
          <w:tcPr>
            <w:tcW w:w="848" w:type="dxa"/>
            <w:vAlign w:val="center"/>
          </w:tcPr>
          <w:p w14:paraId="2884B05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12(22.2%)</w:t>
            </w:r>
          </w:p>
        </w:tc>
        <w:tc>
          <w:tcPr>
            <w:tcW w:w="849" w:type="dxa"/>
            <w:vAlign w:val="center"/>
          </w:tcPr>
          <w:p w14:paraId="056DB1E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13(29.5%)</w:t>
            </w:r>
          </w:p>
        </w:tc>
        <w:tc>
          <w:tcPr>
            <w:tcW w:w="742" w:type="dxa"/>
            <w:vAlign w:val="center"/>
          </w:tcPr>
          <w:p w14:paraId="5C4DC80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 w:val="restart"/>
          </w:tcPr>
          <w:p w14:paraId="2EFF6C5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.534</w:t>
            </w:r>
          </w:p>
        </w:tc>
      </w:tr>
      <w:tr w:rsidR="008C3570" w:rsidRPr="00F42408" w14:paraId="0A7867D8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7CD7E77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01D7577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A</w:t>
            </w:r>
          </w:p>
        </w:tc>
        <w:tc>
          <w:tcPr>
            <w:tcW w:w="849" w:type="dxa"/>
            <w:noWrap/>
            <w:vAlign w:val="center"/>
            <w:hideMark/>
          </w:tcPr>
          <w:p w14:paraId="3D43095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15(39.5%)</w:t>
            </w:r>
          </w:p>
        </w:tc>
        <w:tc>
          <w:tcPr>
            <w:tcW w:w="851" w:type="dxa"/>
            <w:noWrap/>
            <w:vAlign w:val="center"/>
            <w:hideMark/>
          </w:tcPr>
          <w:p w14:paraId="4FC9D5F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812" w:type="dxa"/>
            <w:noWrap/>
            <w:vAlign w:val="center"/>
            <w:hideMark/>
          </w:tcPr>
          <w:p w14:paraId="0D21B47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27(44.3%)</w:t>
            </w:r>
          </w:p>
        </w:tc>
        <w:tc>
          <w:tcPr>
            <w:tcW w:w="747" w:type="dxa"/>
            <w:vMerge/>
            <w:vAlign w:val="center"/>
            <w:hideMark/>
          </w:tcPr>
          <w:p w14:paraId="6115870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11EB230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21(38.9%)</w:t>
            </w:r>
          </w:p>
        </w:tc>
        <w:tc>
          <w:tcPr>
            <w:tcW w:w="849" w:type="dxa"/>
            <w:vAlign w:val="center"/>
          </w:tcPr>
          <w:p w14:paraId="04AB1EC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19(43.2%)</w:t>
            </w:r>
          </w:p>
        </w:tc>
        <w:tc>
          <w:tcPr>
            <w:tcW w:w="742" w:type="dxa"/>
            <w:vAlign w:val="center"/>
          </w:tcPr>
          <w:p w14:paraId="33C7A4D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5(71.4%)</w:t>
            </w:r>
          </w:p>
        </w:tc>
        <w:tc>
          <w:tcPr>
            <w:tcW w:w="679" w:type="dxa"/>
            <w:vMerge/>
            <w:vAlign w:val="center"/>
          </w:tcPr>
          <w:p w14:paraId="0D0B6D9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68C9395E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4834741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1F56F0D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849" w:type="dxa"/>
            <w:noWrap/>
            <w:vAlign w:val="center"/>
            <w:hideMark/>
          </w:tcPr>
          <w:p w14:paraId="656281C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6(15.8%)</w:t>
            </w:r>
          </w:p>
        </w:tc>
        <w:tc>
          <w:tcPr>
            <w:tcW w:w="851" w:type="dxa"/>
            <w:noWrap/>
            <w:vAlign w:val="center"/>
            <w:hideMark/>
          </w:tcPr>
          <w:p w14:paraId="0F19C46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6A9068B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11(18.0%)</w:t>
            </w:r>
          </w:p>
        </w:tc>
        <w:tc>
          <w:tcPr>
            <w:tcW w:w="747" w:type="dxa"/>
            <w:vMerge/>
            <w:vAlign w:val="center"/>
            <w:hideMark/>
          </w:tcPr>
          <w:p w14:paraId="410E821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64A149A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49" w:type="dxa"/>
            <w:vAlign w:val="center"/>
          </w:tcPr>
          <w:p w14:paraId="1A93665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5(11.4%)</w:t>
            </w:r>
          </w:p>
        </w:tc>
        <w:tc>
          <w:tcPr>
            <w:tcW w:w="742" w:type="dxa"/>
            <w:vAlign w:val="center"/>
          </w:tcPr>
          <w:p w14:paraId="23C99C7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/>
            <w:vAlign w:val="center"/>
          </w:tcPr>
          <w:p w14:paraId="0884C6B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6176C661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0AAABCE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531D465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D</w:t>
            </w:r>
          </w:p>
        </w:tc>
        <w:tc>
          <w:tcPr>
            <w:tcW w:w="849" w:type="dxa"/>
            <w:noWrap/>
            <w:vAlign w:val="center"/>
            <w:hideMark/>
          </w:tcPr>
          <w:p w14:paraId="251FD3A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5(13.2%)</w:t>
            </w:r>
          </w:p>
        </w:tc>
        <w:tc>
          <w:tcPr>
            <w:tcW w:w="851" w:type="dxa"/>
            <w:noWrap/>
            <w:vAlign w:val="center"/>
            <w:hideMark/>
          </w:tcPr>
          <w:p w14:paraId="51070D3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16932AF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6(9.8%)</w:t>
            </w:r>
          </w:p>
        </w:tc>
        <w:tc>
          <w:tcPr>
            <w:tcW w:w="747" w:type="dxa"/>
            <w:vMerge/>
            <w:vAlign w:val="center"/>
            <w:hideMark/>
          </w:tcPr>
          <w:p w14:paraId="26E3DE6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0ED7263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7(13.0%)</w:t>
            </w:r>
          </w:p>
        </w:tc>
        <w:tc>
          <w:tcPr>
            <w:tcW w:w="849" w:type="dxa"/>
            <w:vAlign w:val="center"/>
          </w:tcPr>
          <w:p w14:paraId="6EE243A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3(6.8%)</w:t>
            </w:r>
          </w:p>
        </w:tc>
        <w:tc>
          <w:tcPr>
            <w:tcW w:w="742" w:type="dxa"/>
            <w:vAlign w:val="center"/>
          </w:tcPr>
          <w:p w14:paraId="7949590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/>
            <w:vAlign w:val="center"/>
          </w:tcPr>
          <w:p w14:paraId="0DE9E80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4CB4A084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24A56AC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78FE319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SD</w:t>
            </w:r>
          </w:p>
        </w:tc>
        <w:tc>
          <w:tcPr>
            <w:tcW w:w="849" w:type="dxa"/>
            <w:noWrap/>
            <w:vAlign w:val="center"/>
            <w:hideMark/>
          </w:tcPr>
          <w:p w14:paraId="4AC0DA1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3(7.9%)</w:t>
            </w:r>
          </w:p>
        </w:tc>
        <w:tc>
          <w:tcPr>
            <w:tcW w:w="851" w:type="dxa"/>
            <w:noWrap/>
            <w:vAlign w:val="center"/>
            <w:hideMark/>
          </w:tcPr>
          <w:p w14:paraId="637AE68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noWrap/>
            <w:vAlign w:val="center"/>
            <w:hideMark/>
          </w:tcPr>
          <w:p w14:paraId="7CEB1B9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47" w:type="dxa"/>
            <w:vMerge/>
            <w:vAlign w:val="center"/>
            <w:hideMark/>
          </w:tcPr>
          <w:p w14:paraId="628E596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0A09A84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3(5.6%)</w:t>
            </w:r>
          </w:p>
        </w:tc>
        <w:tc>
          <w:tcPr>
            <w:tcW w:w="849" w:type="dxa"/>
            <w:vAlign w:val="center"/>
          </w:tcPr>
          <w:p w14:paraId="2F88908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4(9.1%)</w:t>
            </w:r>
          </w:p>
        </w:tc>
        <w:tc>
          <w:tcPr>
            <w:tcW w:w="742" w:type="dxa"/>
            <w:vAlign w:val="center"/>
          </w:tcPr>
          <w:p w14:paraId="251DF08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  <w:vAlign w:val="center"/>
          </w:tcPr>
          <w:p w14:paraId="08A212B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5E2AA239" w14:textId="77777777" w:rsidTr="001456C1">
        <w:trPr>
          <w:trHeight w:val="57"/>
          <w:jc w:val="center"/>
        </w:trPr>
        <w:tc>
          <w:tcPr>
            <w:tcW w:w="2554" w:type="dxa"/>
            <w:gridSpan w:val="2"/>
            <w:noWrap/>
            <w:vAlign w:val="center"/>
            <w:hideMark/>
          </w:tcPr>
          <w:p w14:paraId="487EBDF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259" w:type="dxa"/>
            <w:gridSpan w:val="4"/>
            <w:vAlign w:val="center"/>
            <w:hideMark/>
          </w:tcPr>
          <w:p w14:paraId="414AC10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3118" w:type="dxa"/>
            <w:gridSpan w:val="4"/>
          </w:tcPr>
          <w:p w14:paraId="6BDB7BD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1C882941" w14:textId="77777777" w:rsidTr="001456C1">
        <w:trPr>
          <w:trHeight w:val="57"/>
          <w:jc w:val="center"/>
        </w:trPr>
        <w:tc>
          <w:tcPr>
            <w:tcW w:w="1890" w:type="dxa"/>
            <w:vMerge w:val="restart"/>
            <w:hideMark/>
          </w:tcPr>
          <w:p w14:paraId="249E4AB0" w14:textId="77777777" w:rsidR="008C3570" w:rsidRPr="00F42408" w:rsidRDefault="008C3570" w:rsidP="001456C1">
            <w:pPr>
              <w:jc w:val="left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Reading off-site exams helps my practice provide appropriate coverage when understaffed</w:t>
            </w:r>
          </w:p>
        </w:tc>
        <w:tc>
          <w:tcPr>
            <w:tcW w:w="664" w:type="dxa"/>
            <w:vAlign w:val="center"/>
            <w:hideMark/>
          </w:tcPr>
          <w:p w14:paraId="67A3FD9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SA</w:t>
            </w:r>
          </w:p>
        </w:tc>
        <w:tc>
          <w:tcPr>
            <w:tcW w:w="849" w:type="dxa"/>
            <w:noWrap/>
            <w:vAlign w:val="center"/>
            <w:hideMark/>
          </w:tcPr>
          <w:p w14:paraId="1944071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12(31.6%)</w:t>
            </w:r>
          </w:p>
        </w:tc>
        <w:tc>
          <w:tcPr>
            <w:tcW w:w="851" w:type="dxa"/>
            <w:noWrap/>
            <w:vAlign w:val="center"/>
            <w:hideMark/>
          </w:tcPr>
          <w:p w14:paraId="61D0952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3(50.0%)</w:t>
            </w:r>
          </w:p>
        </w:tc>
        <w:tc>
          <w:tcPr>
            <w:tcW w:w="812" w:type="dxa"/>
            <w:noWrap/>
            <w:vAlign w:val="center"/>
            <w:hideMark/>
          </w:tcPr>
          <w:p w14:paraId="19F7FCC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25(41.0%)</w:t>
            </w:r>
          </w:p>
        </w:tc>
        <w:tc>
          <w:tcPr>
            <w:tcW w:w="747" w:type="dxa"/>
            <w:vMerge w:val="restart"/>
            <w:noWrap/>
            <w:hideMark/>
          </w:tcPr>
          <w:p w14:paraId="59A9037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.097</w:t>
            </w:r>
          </w:p>
        </w:tc>
        <w:tc>
          <w:tcPr>
            <w:tcW w:w="848" w:type="dxa"/>
            <w:vAlign w:val="center"/>
          </w:tcPr>
          <w:p w14:paraId="43F67CF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18(33.3%)</w:t>
            </w:r>
          </w:p>
        </w:tc>
        <w:tc>
          <w:tcPr>
            <w:tcW w:w="849" w:type="dxa"/>
            <w:vAlign w:val="center"/>
          </w:tcPr>
          <w:p w14:paraId="6223F06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22(50.0%)</w:t>
            </w:r>
          </w:p>
        </w:tc>
        <w:tc>
          <w:tcPr>
            <w:tcW w:w="742" w:type="dxa"/>
            <w:vAlign w:val="center"/>
          </w:tcPr>
          <w:p w14:paraId="17CBA5B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 w:val="restart"/>
          </w:tcPr>
          <w:p w14:paraId="7AA1640C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.006</w:t>
            </w:r>
          </w:p>
        </w:tc>
      </w:tr>
      <w:tr w:rsidR="008C3570" w:rsidRPr="00F42408" w14:paraId="774269F8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2EA3770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501B492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A</w:t>
            </w:r>
          </w:p>
        </w:tc>
        <w:tc>
          <w:tcPr>
            <w:tcW w:w="849" w:type="dxa"/>
            <w:noWrap/>
            <w:vAlign w:val="center"/>
            <w:hideMark/>
          </w:tcPr>
          <w:p w14:paraId="41D11FD3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16(42.1%)</w:t>
            </w:r>
          </w:p>
        </w:tc>
        <w:tc>
          <w:tcPr>
            <w:tcW w:w="851" w:type="dxa"/>
            <w:noWrap/>
            <w:vAlign w:val="center"/>
            <w:hideMark/>
          </w:tcPr>
          <w:p w14:paraId="0EBEBB4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1(16.7%)</w:t>
            </w:r>
          </w:p>
        </w:tc>
        <w:tc>
          <w:tcPr>
            <w:tcW w:w="812" w:type="dxa"/>
            <w:noWrap/>
            <w:vAlign w:val="center"/>
            <w:hideMark/>
          </w:tcPr>
          <w:p w14:paraId="462302D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25(41.0%)</w:t>
            </w:r>
          </w:p>
        </w:tc>
        <w:tc>
          <w:tcPr>
            <w:tcW w:w="747" w:type="dxa"/>
            <w:vMerge/>
            <w:vAlign w:val="center"/>
            <w:hideMark/>
          </w:tcPr>
          <w:p w14:paraId="48308B2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0956647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20(37.0%)</w:t>
            </w:r>
          </w:p>
        </w:tc>
        <w:tc>
          <w:tcPr>
            <w:tcW w:w="849" w:type="dxa"/>
            <w:vAlign w:val="center"/>
          </w:tcPr>
          <w:p w14:paraId="52588C7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16(36.4%)</w:t>
            </w:r>
          </w:p>
        </w:tc>
        <w:tc>
          <w:tcPr>
            <w:tcW w:w="742" w:type="dxa"/>
            <w:vAlign w:val="center"/>
          </w:tcPr>
          <w:p w14:paraId="2A1147E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6(85.7%)</w:t>
            </w:r>
          </w:p>
        </w:tc>
        <w:tc>
          <w:tcPr>
            <w:tcW w:w="679" w:type="dxa"/>
            <w:vMerge/>
          </w:tcPr>
          <w:p w14:paraId="7401771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48968ED8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49E84D5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6FEC2BB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N</w:t>
            </w:r>
          </w:p>
        </w:tc>
        <w:tc>
          <w:tcPr>
            <w:tcW w:w="849" w:type="dxa"/>
            <w:noWrap/>
            <w:vAlign w:val="center"/>
            <w:hideMark/>
          </w:tcPr>
          <w:p w14:paraId="52560A4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noWrap/>
            <w:vAlign w:val="center"/>
            <w:hideMark/>
          </w:tcPr>
          <w:p w14:paraId="49D46CB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755B105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9(14.8%)</w:t>
            </w:r>
          </w:p>
        </w:tc>
        <w:tc>
          <w:tcPr>
            <w:tcW w:w="747" w:type="dxa"/>
            <w:vMerge/>
            <w:vAlign w:val="center"/>
            <w:hideMark/>
          </w:tcPr>
          <w:p w14:paraId="418F3A2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2EB745A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11(20.4%)</w:t>
            </w:r>
          </w:p>
        </w:tc>
        <w:tc>
          <w:tcPr>
            <w:tcW w:w="849" w:type="dxa"/>
            <w:vAlign w:val="center"/>
          </w:tcPr>
          <w:p w14:paraId="47F732A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2(4.5%)</w:t>
            </w:r>
          </w:p>
        </w:tc>
        <w:tc>
          <w:tcPr>
            <w:tcW w:w="742" w:type="dxa"/>
            <w:vAlign w:val="center"/>
          </w:tcPr>
          <w:p w14:paraId="715F834A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</w:tcPr>
          <w:p w14:paraId="783C9E6C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073471D5" w14:textId="77777777" w:rsidTr="001456C1">
        <w:trPr>
          <w:trHeight w:val="57"/>
          <w:jc w:val="center"/>
        </w:trPr>
        <w:tc>
          <w:tcPr>
            <w:tcW w:w="1890" w:type="dxa"/>
            <w:vMerge/>
            <w:vAlign w:val="center"/>
            <w:hideMark/>
          </w:tcPr>
          <w:p w14:paraId="52F2C6D0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  <w:hideMark/>
          </w:tcPr>
          <w:p w14:paraId="46C20B4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D</w:t>
            </w:r>
          </w:p>
        </w:tc>
        <w:tc>
          <w:tcPr>
            <w:tcW w:w="849" w:type="dxa"/>
            <w:noWrap/>
            <w:vAlign w:val="center"/>
            <w:hideMark/>
          </w:tcPr>
          <w:p w14:paraId="1D387ED6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2(5.3%)</w:t>
            </w:r>
          </w:p>
        </w:tc>
        <w:tc>
          <w:tcPr>
            <w:tcW w:w="851" w:type="dxa"/>
            <w:noWrap/>
            <w:vAlign w:val="center"/>
            <w:hideMark/>
          </w:tcPr>
          <w:p w14:paraId="1B66A6DE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812" w:type="dxa"/>
            <w:noWrap/>
            <w:vAlign w:val="center"/>
            <w:hideMark/>
          </w:tcPr>
          <w:p w14:paraId="4C1C654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47" w:type="dxa"/>
            <w:vMerge/>
            <w:vAlign w:val="center"/>
            <w:hideMark/>
          </w:tcPr>
          <w:p w14:paraId="7866D57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vAlign w:val="center"/>
          </w:tcPr>
          <w:p w14:paraId="1C194E84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1(1.9%)</w:t>
            </w:r>
          </w:p>
        </w:tc>
        <w:tc>
          <w:tcPr>
            <w:tcW w:w="849" w:type="dxa"/>
            <w:vAlign w:val="center"/>
          </w:tcPr>
          <w:p w14:paraId="11E5EEA7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742" w:type="dxa"/>
            <w:vAlign w:val="center"/>
          </w:tcPr>
          <w:p w14:paraId="3D01483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1(14.3%)</w:t>
            </w:r>
          </w:p>
        </w:tc>
        <w:tc>
          <w:tcPr>
            <w:tcW w:w="679" w:type="dxa"/>
            <w:vMerge/>
          </w:tcPr>
          <w:p w14:paraId="753B8399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6017D699" w14:textId="77777777" w:rsidTr="001456C1">
        <w:trPr>
          <w:trHeight w:val="57"/>
          <w:jc w:val="center"/>
        </w:trPr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FFA591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  <w:hideMark/>
          </w:tcPr>
          <w:p w14:paraId="477F4D1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SD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BD6C02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4(10.5%)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E574D8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2(33.3%)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C086D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2(3.3%)</w:t>
            </w:r>
          </w:p>
        </w:tc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02CAF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66322BAB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4(7.4%)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2DC21E35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4(9.1%)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0B0D9DFD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>0(0.0%)</w:t>
            </w:r>
          </w:p>
        </w:tc>
        <w:tc>
          <w:tcPr>
            <w:tcW w:w="679" w:type="dxa"/>
            <w:vMerge/>
            <w:tcBorders>
              <w:bottom w:val="single" w:sz="4" w:space="0" w:color="auto"/>
            </w:tcBorders>
          </w:tcPr>
          <w:p w14:paraId="2472B85F" w14:textId="77777777" w:rsidR="008C3570" w:rsidRPr="00F42408" w:rsidRDefault="008C3570" w:rsidP="001456C1">
            <w:pPr>
              <w:jc w:val="center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</w:p>
        </w:tc>
      </w:tr>
      <w:tr w:rsidR="008C3570" w:rsidRPr="00F42408" w14:paraId="7D8C0432" w14:textId="77777777" w:rsidTr="001456C1">
        <w:trPr>
          <w:trHeight w:val="57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</w:tcBorders>
            <w:vAlign w:val="center"/>
          </w:tcPr>
          <w:p w14:paraId="0D908D5E" w14:textId="77777777" w:rsidR="008C3570" w:rsidRPr="00F42408" w:rsidRDefault="008C3570" w:rsidP="001456C1">
            <w:pPr>
              <w:jc w:val="left"/>
              <w:rPr>
                <w:rFonts w:asciiTheme="minorBidi" w:hAnsiTheme="minorBidi" w:cstheme="minorBidi"/>
                <w:color w:val="auto"/>
                <w:sz w:val="14"/>
                <w:szCs w:val="14"/>
              </w:rPr>
            </w:pPr>
            <w:r w:rsidRPr="00F42408">
              <w:rPr>
                <w:rFonts w:asciiTheme="minorBidi" w:hAnsiTheme="minorBidi" w:cstheme="minorBidi"/>
                <w:color w:val="auto"/>
                <w:sz w:val="14"/>
                <w:szCs w:val="14"/>
              </w:rPr>
              <w:t xml:space="preserve">*SA: strongly agree; A: agree; N: neutral; D: disagree; SD: strongly disagree. </w:t>
            </w:r>
          </w:p>
        </w:tc>
      </w:tr>
    </w:tbl>
    <w:p w14:paraId="461A9F99" w14:textId="06697EF6" w:rsidR="008C3570" w:rsidRDefault="008C3570"/>
    <w:p w14:paraId="183856B2" w14:textId="4462AE66" w:rsidR="008C3570" w:rsidRDefault="008C3570"/>
    <w:p w14:paraId="18C960B0" w14:textId="008F0D6B" w:rsidR="008C3570" w:rsidRDefault="008C3570"/>
    <w:p w14:paraId="0B026E4F" w14:textId="774E7529" w:rsidR="008C3570" w:rsidRDefault="008C3570"/>
    <w:p w14:paraId="17F18E89" w14:textId="28F5D78A" w:rsidR="008C3570" w:rsidRDefault="008C3570"/>
    <w:p w14:paraId="7A5AA4B1" w14:textId="026D1929" w:rsidR="008C3570" w:rsidRDefault="008C3570"/>
    <w:p w14:paraId="4D84F2BF" w14:textId="77777777" w:rsidR="008C3570" w:rsidRDefault="008C3570">
      <w:bookmarkStart w:id="0" w:name="_GoBack"/>
      <w:bookmarkEnd w:id="0"/>
    </w:p>
    <w:sectPr w:rsidR="008C3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13"/>
    <w:rsid w:val="00076CF3"/>
    <w:rsid w:val="001B33D4"/>
    <w:rsid w:val="00690279"/>
    <w:rsid w:val="00715E16"/>
    <w:rsid w:val="008C3570"/>
    <w:rsid w:val="00916C13"/>
    <w:rsid w:val="009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1A03FC"/>
  <w15:chartTrackingRefBased/>
  <w15:docId w15:val="{F18CFC4D-8D2D-4EFF-BA92-99112CF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C1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570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1308</Words>
  <Characters>8465</Characters>
  <Application>Microsoft Office Word</Application>
  <DocSecurity>0</DocSecurity>
  <Lines>1693</Lines>
  <Paragraphs>1085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Nasser Alahmad</dc:creator>
  <cp:keywords/>
  <dc:description/>
  <cp:lastModifiedBy>Haitham Nasser Alahmad</cp:lastModifiedBy>
  <cp:revision>6</cp:revision>
  <dcterms:created xsi:type="dcterms:W3CDTF">2023-12-31T12:54:00Z</dcterms:created>
  <dcterms:modified xsi:type="dcterms:W3CDTF">2024-04-24T18:17:00Z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e76112b6620527f6af18ec99153e2aafe9b45eec82159f4fa51ecdafa8918177</vt:lpwstr>
  </property>
</Properties>
</file>