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70500" cy="4420870"/>
            <wp:effectExtent l="0" t="0" r="2540" b="1397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Fig. S1 A-B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 The communicated probability and related P values of the selected ligand-receptor interactions between MX1</w:t>
      </w:r>
      <w:r>
        <w:rPr>
          <w:rFonts w:ascii="Times New Roman" w:hAnsi="Times New Roman" w:cs="Times New Roman"/>
          <w:b w:val="0"/>
          <w:bCs w:val="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NK cells and other cells within the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</w:rPr>
        <w:t>ARDS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. Dot color reflects communication probabilities and dot size represents computed p-values. P &lt; 0.05 refers to the significant ligand-receptor interaction.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br w:type="page"/>
      </w:r>
    </w:p>
    <w:p>
      <w:pPr>
        <w:pStyle w:val="2"/>
        <w:contextualSpacing/>
        <w:jc w:val="both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Supplementary table 1. Characteristics of septic patients according to ARDS</w:t>
      </w:r>
    </w:p>
    <w:tbl>
      <w:tblPr>
        <w:tblStyle w:val="3"/>
        <w:tblW w:w="828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4"/>
        <w:gridCol w:w="2273"/>
        <w:gridCol w:w="1864"/>
        <w:gridCol w:w="135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ind w:firstLine="402" w:firstLineChars="200"/>
              <w:contextualSpacing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epsis without ARDS</w:t>
            </w:r>
          </w:p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 xml:space="preserve"> (n=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6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Sepsis with ARDS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 xml:space="preserve"> (n=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63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ind w:firstLine="402" w:firstLineChars="200"/>
              <w:contextualSpacing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sz w:val="20"/>
                <w:szCs w:val="20"/>
              </w:rPr>
              <w:t>p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tcBorders>
              <w:top w:val="single" w:color="auto" w:sz="4" w:space="0"/>
            </w:tcBorders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Age (year,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sz w:val="16"/>
                <w:szCs w:val="16"/>
              </w:rPr>
              <w:t>mean±SD)</w:t>
            </w:r>
          </w:p>
        </w:tc>
        <w:tc>
          <w:tcPr>
            <w:tcW w:w="2273" w:type="dxa"/>
            <w:tcBorders>
              <w:top w:val="single" w:color="auto" w:sz="4" w:space="0"/>
            </w:tcBorders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68±12</w:t>
            </w:r>
          </w:p>
        </w:tc>
        <w:tc>
          <w:tcPr>
            <w:tcW w:w="1864" w:type="dxa"/>
            <w:tcBorders>
              <w:top w:val="single" w:color="auto" w:sz="4" w:space="0"/>
            </w:tcBorders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6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7±16</w:t>
            </w:r>
          </w:p>
        </w:tc>
        <w:tc>
          <w:tcPr>
            <w:tcW w:w="1358" w:type="dxa"/>
            <w:tcBorders>
              <w:top w:val="single" w:color="auto" w:sz="4" w:space="0"/>
            </w:tcBorders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0.569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Male, n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26 (0.50)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49 (0.78)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003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BMI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(</w:t>
            </w:r>
            <w:r>
              <w:rPr>
                <w:rFonts w:hint="default" w:ascii="Times New Roman" w:hAnsi="Times New Roman" w:cs="Times New Roman"/>
                <w:bCs/>
                <w:iCs/>
                <w:sz w:val="16"/>
                <w:szCs w:val="16"/>
              </w:rPr>
              <w:t>kg/m</w:t>
            </w:r>
            <w:r>
              <w:rPr>
                <w:rFonts w:hint="default" w:ascii="Times New Roman" w:hAnsi="Times New Roman" w:cs="Times New Roman"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rFonts w:hint="default" w:ascii="Times New Roman" w:hAnsi="Times New Roman" w:cs="Times New Roman"/>
                <w:bCs/>
                <w:iCs/>
                <w:sz w:val="16"/>
                <w:szCs w:val="16"/>
              </w:rPr>
              <w:t xml:space="preserve">, </w:t>
            </w:r>
            <w:r>
              <w:rPr>
                <w:rFonts w:hint="default" w:ascii="Times New Roman" w:hAnsi="Times New Roman" w:cs="Times New Roman"/>
                <w:bCs/>
                <w:iCs/>
                <w:color w:val="auto"/>
                <w:sz w:val="16"/>
                <w:szCs w:val="16"/>
              </w:rPr>
              <w:t>mean±SD)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23.75±5.31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4.34±4.01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498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 xml:space="preserve">Source of Infection, n </w:t>
            </w:r>
            <w:r>
              <w:rPr>
                <w:rFonts w:hint="default" w:ascii="Times New Roman" w:hAnsi="Times New Roman" w:eastAsia="宋体" w:cs="Times New Roman"/>
                <w:bCs/>
                <w:iCs/>
                <w:sz w:val="16"/>
                <w:szCs w:val="16"/>
              </w:rPr>
              <w:t>(%)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ind w:firstLine="320" w:firstLineChars="200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ind w:firstLine="320" w:firstLineChars="200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&lt;0.0001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Lung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8 (0.15)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33 (0.52)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Abdomen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27 (0.52)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25 (0.40)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Urinary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10 (0.19)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0 (0)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Other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7 (0.13)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5 (0.08)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 xml:space="preserve">SOFA score, </w:t>
            </w:r>
            <w:r>
              <w:rPr>
                <w:rFonts w:hint="default" w:ascii="Times New Roman" w:hAnsi="Times New Roman" w:eastAsia="宋体" w:cs="Times New Roman"/>
                <w:color w:val="auto"/>
                <w:sz w:val="16"/>
                <w:szCs w:val="16"/>
              </w:rPr>
              <w:t>mean±SD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7±3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10±5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</w:rPr>
              <w:t>0.0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 xml:space="preserve">APACHE II score, </w:t>
            </w:r>
            <w:r>
              <w:rPr>
                <w:rFonts w:hint="default" w:ascii="Times New Roman" w:hAnsi="Times New Roman" w:eastAsia="宋体" w:cs="Times New Roman"/>
                <w:color w:val="auto"/>
                <w:sz w:val="16"/>
                <w:szCs w:val="16"/>
              </w:rPr>
              <w:t>mean±SD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±7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2±9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</w:rPr>
              <w:t>0.0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94" w:type="dxa"/>
            <w:vAlign w:val="center"/>
          </w:tcPr>
          <w:p>
            <w:pPr>
              <w:spacing w:line="480" w:lineRule="auto"/>
              <w:contextualSpacing/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28-day mortality</w:t>
            </w:r>
          </w:p>
        </w:tc>
        <w:tc>
          <w:tcPr>
            <w:tcW w:w="2273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8 (0.15)</w:t>
            </w:r>
          </w:p>
        </w:tc>
        <w:tc>
          <w:tcPr>
            <w:tcW w:w="1864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eastAsia="宋体" w:cs="Times New Roman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6"/>
                <w:szCs w:val="16"/>
                <w:lang w:val="en-US" w:eastAsia="zh-CN"/>
              </w:rPr>
              <w:t>23 (0.37)</w:t>
            </w:r>
          </w:p>
        </w:tc>
        <w:tc>
          <w:tcPr>
            <w:tcW w:w="1358" w:type="dxa"/>
            <w:vAlign w:val="center"/>
          </w:tcPr>
          <w:p>
            <w:pPr>
              <w:spacing w:line="480" w:lineRule="auto"/>
              <w:contextualSpacing/>
              <w:rPr>
                <w:rFonts w:hint="default" w:ascii="Times New Roman" w:hAnsi="Times New Roman" w:cs="Times New Roman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lang w:val="en-US" w:eastAsia="zh-CN"/>
              </w:rPr>
              <w:t>0.012</w:t>
            </w:r>
          </w:p>
        </w:tc>
      </w:tr>
    </w:tbl>
    <w:p>
      <w:pPr>
        <w:rPr>
          <w:rFonts w:hint="default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BMI: Body Mass Index; ARDS:</w:t>
      </w:r>
      <w:r>
        <w:rPr>
          <w:rFonts w:hint="default" w:ascii="Times New Roman" w:hAnsi="Times New Roman" w:cs="Times New Roman" w:eastAsiaTheme="minorEastAsia"/>
          <w:b/>
          <w:bCs/>
          <w:sz w:val="18"/>
          <w:szCs w:val="20"/>
        </w:rPr>
        <w:t>Acute Respiratory Distress Syndrome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; SOFA: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>equential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 xml:space="preserve"> Organ Failure Assessment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>;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 xml:space="preserve"> APACHE: Acute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Physiology and Chronic Health Evaluation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>.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  <w:t>Supplementary table 2</w:t>
      </w:r>
      <w:r>
        <w:rPr>
          <w:rFonts w:hint="default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  <w:t xml:space="preserve">: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  <w:t>Clinical characteristics of patients detecting MX1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  <w:vertAlign w:val="superscript"/>
          <w:lang w:val="en-US" w:eastAsia="zh-CN" w:bidi="ar-SA"/>
        </w:rPr>
        <w:t>+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  <w:t>NK cells</w:t>
      </w:r>
    </w:p>
    <w:p>
      <w:pPr>
        <w:rPr>
          <w:rFonts w:hint="default" w:ascii="Times New Roman" w:hAnsi="Times New Roman" w:eastAsia="宋体" w:cs="Times New Roman"/>
          <w:b/>
          <w:bCs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</w:p>
    <w:tbl>
      <w:tblPr>
        <w:tblStyle w:val="4"/>
        <w:tblpPr w:leftFromText="180" w:rightFromText="180" w:vertAnchor="page" w:horzAnchor="page" w:tblpX="1812" w:tblpY="1998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691"/>
        <w:gridCol w:w="901"/>
        <w:gridCol w:w="1147"/>
        <w:gridCol w:w="990"/>
        <w:gridCol w:w="920"/>
        <w:gridCol w:w="810"/>
        <w:gridCol w:w="1315"/>
        <w:gridCol w:w="76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Patient</w:t>
            </w:r>
          </w:p>
        </w:tc>
        <w:tc>
          <w:tcPr>
            <w:tcW w:w="69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Age</w:t>
            </w:r>
          </w:p>
        </w:tc>
        <w:tc>
          <w:tcPr>
            <w:tcW w:w="90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Gender</w:t>
            </w:r>
          </w:p>
        </w:tc>
        <w:tc>
          <w:tcPr>
            <w:tcW w:w="114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hosptial LOS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(Days)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ICU LOS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(Days)</w:t>
            </w:r>
          </w:p>
        </w:tc>
        <w:tc>
          <w:tcPr>
            <w:tcW w:w="92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Intubated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ARDS</w:t>
            </w:r>
          </w:p>
        </w:tc>
        <w:tc>
          <w:tcPr>
            <w:tcW w:w="1315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Sepsis Source</w:t>
            </w:r>
          </w:p>
        </w:tc>
        <w:tc>
          <w:tcPr>
            <w:tcW w:w="76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SOFA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#1</w:t>
            </w:r>
          </w:p>
        </w:tc>
        <w:tc>
          <w:tcPr>
            <w:tcW w:w="69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87</w:t>
            </w:r>
          </w:p>
        </w:tc>
        <w:tc>
          <w:tcPr>
            <w:tcW w:w="90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99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92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1315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#2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77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#4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Abdomen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#5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#6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Urine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#7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88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Urine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#8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Abdomen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#9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69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blood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#10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#11</w:t>
            </w:r>
          </w:p>
        </w:tc>
        <w:tc>
          <w:tcPr>
            <w:tcW w:w="69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82</w:t>
            </w:r>
          </w:p>
        </w:tc>
        <w:tc>
          <w:tcPr>
            <w:tcW w:w="9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</w:t>
            </w:r>
          </w:p>
        </w:tc>
        <w:tc>
          <w:tcPr>
            <w:tcW w:w="131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</w:t>
            </w:r>
          </w:p>
        </w:tc>
        <w:tc>
          <w:tcPr>
            <w:tcW w:w="7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b/>
          <w:bCs/>
          <w:sz w:val="18"/>
          <w:szCs w:val="20"/>
        </w:rPr>
      </w:pPr>
      <w:r>
        <w:rPr>
          <w:rFonts w:hint="default" w:ascii="Times New Roman" w:hAnsi="Times New Roman" w:cs="Times New Roman" w:eastAsiaTheme="minorEastAsia"/>
          <w:b/>
          <w:bCs/>
          <w:sz w:val="18"/>
          <w:szCs w:val="20"/>
        </w:rPr>
        <w:t>LOS: Length of Stay; ARDS: Acute Respiratory Distress Syndrome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; SOFA: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>Se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>quential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 xml:space="preserve"> Organ Failure Assessment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</w:rPr>
        <w:t>;</w:t>
      </w:r>
      <w:r>
        <w:rPr>
          <w:rFonts w:hint="eastAsia" w:ascii="Times New Roman" w:hAnsi="Times New Roman" w:cs="Times New Roman" w:eastAsiaTheme="minorEastAsia"/>
          <w:b/>
          <w:bCs/>
          <w:sz w:val="18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sz w:val="18"/>
          <w:szCs w:val="20"/>
        </w:rPr>
        <w:t>ICU: Intensive Care Unit</w:t>
      </w:r>
    </w:p>
    <w:p>
      <w:pPr>
        <w:tabs>
          <w:tab w:val="left" w:pos="648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2"/>
        <w:contextualSpacing/>
        <w:jc w:val="both"/>
        <w:rPr>
          <w:rFonts w:hint="default" w:ascii="Times New Roman" w:hAnsi="Times New Roman" w:cs="Times New Roman"/>
          <w:b/>
          <w:bCs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yYzFmZDExYTcyOTdjYzVhOWIyMGY1ZjlhZDg0OGEifQ=="/>
  </w:docVars>
  <w:rsids>
    <w:rsidRoot w:val="7A7D050E"/>
    <w:rsid w:val="07D9392D"/>
    <w:rsid w:val="0DFC4D4B"/>
    <w:rsid w:val="152001DC"/>
    <w:rsid w:val="15EF785B"/>
    <w:rsid w:val="1F41490E"/>
    <w:rsid w:val="27283CDE"/>
    <w:rsid w:val="2BDC0599"/>
    <w:rsid w:val="385620CA"/>
    <w:rsid w:val="463D6035"/>
    <w:rsid w:val="466E61EE"/>
    <w:rsid w:val="5AE054E1"/>
    <w:rsid w:val="6838625E"/>
    <w:rsid w:val="6F8267B3"/>
    <w:rsid w:val="71B869A4"/>
    <w:rsid w:val="7A7D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2023-11-23T01:03:00Z</dcterms:created>
  <dc:creator>Liuqingxiang</dc:creator>
  <cp:lastModifiedBy>田靖嵘</cp:lastModifiedBy>
  <dcterms:modified xsi:type="dcterms:W3CDTF">2024-04-19T05:26:22Z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576FCE86C56641CB96E5EB2674728779_13</vt:lpwstr>
  </property>
</Properties>
</file>