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cs="Times New Roman"/>
          <w:b/>
          <w:sz w:val="24"/>
        </w:rPr>
      </w:pPr>
      <w:r>
        <w:rPr>
          <w:rFonts w:hint="default" w:ascii="Times New Roman" w:hAnsi="Times New Roman" w:cs="Times New Roman"/>
          <w:b/>
          <w:bCs/>
          <w:sz w:val="28"/>
          <w:szCs w:val="28"/>
          <w:lang w:val="en-US" w:eastAsia="zh-CN"/>
        </w:rPr>
        <w:t>The clinic</w:t>
      </w:r>
      <w:r>
        <w:rPr>
          <w:rFonts w:hint="eastAsia" w:ascii="Times New Roman" w:hAnsi="Times New Roman" w:cs="Times New Roman"/>
          <w:b/>
          <w:bCs/>
          <w:sz w:val="28"/>
          <w:szCs w:val="28"/>
          <w:lang w:val="en-US" w:eastAsia="zh-CN"/>
        </w:rPr>
        <w:t>al</w:t>
      </w:r>
      <w:r>
        <w:rPr>
          <w:rFonts w:hint="default" w:ascii="Times New Roman" w:hAnsi="Times New Roman" w:cs="Times New Roman"/>
          <w:b/>
          <w:bCs/>
          <w:sz w:val="28"/>
          <w:szCs w:val="28"/>
          <w:lang w:val="en-US" w:eastAsia="zh-CN"/>
        </w:rPr>
        <w:t xml:space="preserve"> association between the inflammation-nutritional condition and prognosis of locally ad</w:t>
      </w:r>
      <w:bookmarkStart w:id="11" w:name="_GoBack"/>
      <w:bookmarkEnd w:id="11"/>
      <w:r>
        <w:rPr>
          <w:rFonts w:hint="default" w:ascii="Times New Roman" w:hAnsi="Times New Roman" w:cs="Times New Roman"/>
          <w:b/>
          <w:bCs/>
          <w:sz w:val="28"/>
          <w:szCs w:val="28"/>
          <w:lang w:val="en-US" w:eastAsia="zh-CN"/>
        </w:rPr>
        <w:t>vanced intrahepatic cholangiocarcinoma after R0 resection: evidence from competing risk and propensity matching analysis</w:t>
      </w:r>
    </w:p>
    <w:p>
      <w:pPr>
        <w:widowControl/>
        <w:jc w:val="center"/>
        <w:rPr>
          <w:rFonts w:ascii="Times New Roman" w:hAnsi="Times New Roman" w:cs="Times New Roman"/>
          <w:b/>
          <w:sz w:val="24"/>
        </w:rPr>
      </w:pPr>
    </w:p>
    <w:p>
      <w:pPr>
        <w:widowControl/>
        <w:jc w:val="center"/>
        <w:rPr>
          <w:rFonts w:ascii="Times New Roman" w:hAnsi="Times New Roman" w:cs="Times New Roman"/>
          <w:b/>
          <w:sz w:val="24"/>
        </w:rPr>
      </w:pPr>
    </w:p>
    <w:p>
      <w:pPr>
        <w:widowControl/>
        <w:jc w:val="center"/>
        <w:rPr>
          <w:rFonts w:ascii="Times New Roman" w:hAnsi="Times New Roman" w:cs="Times New Roman"/>
          <w:b/>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nil"/>
              <w:left w:val="nil"/>
              <w:bottom w:val="single" w:color="auto" w:sz="4" w:space="0"/>
              <w:right w:val="nil"/>
            </w:tcBorders>
            <w:vAlign w:val="center"/>
          </w:tcPr>
          <w:p>
            <w:pPr>
              <w:widowControl/>
              <w:jc w:val="left"/>
              <w:rPr>
                <w:rFonts w:hint="default" w:ascii="Times New Roman" w:hAnsi="Times New Roman" w:cs="Times New Roman" w:eastAsiaTheme="minorEastAsia"/>
                <w:bCs/>
                <w:sz w:val="18"/>
                <w:szCs w:val="18"/>
                <w:lang w:val="en-US" w:eastAsia="zh-CN"/>
              </w:rPr>
            </w:pPr>
            <w:r>
              <w:rPr>
                <w:rFonts w:ascii="Times New Roman" w:hAnsi="Times New Roman" w:cs="Times New Roman"/>
                <w:b/>
                <w:sz w:val="18"/>
                <w:szCs w:val="18"/>
              </w:rPr>
              <w:t>Supplementary Table 1.</w:t>
            </w:r>
            <w:r>
              <w:rPr>
                <w:rFonts w:ascii="Times New Roman" w:hAnsi="Times New Roman" w:cs="Times New Roman"/>
                <w:b w:val="0"/>
                <w:bCs/>
                <w:sz w:val="18"/>
                <w:szCs w:val="18"/>
              </w:rPr>
              <w:t xml:space="preserve"> The </w:t>
            </w:r>
            <w:r>
              <w:rPr>
                <w:rFonts w:hint="default" w:ascii="Times New Roman" w:hAnsi="Times New Roman" w:cs="Times New Roman"/>
                <w:sz w:val="21"/>
                <w:szCs w:val="21"/>
                <w:lang w:val="en-US" w:eastAsia="zh-CN"/>
              </w:rPr>
              <w:t>definitions</w:t>
            </w:r>
            <w:r>
              <w:rPr>
                <w:rFonts w:ascii="Times New Roman" w:hAnsi="Times New Roman" w:cs="Times New Roman"/>
                <w:b w:val="0"/>
                <w:bCs/>
                <w:sz w:val="18"/>
                <w:szCs w:val="18"/>
              </w:rPr>
              <w:t xml:space="preserve"> for </w:t>
            </w:r>
            <w:r>
              <w:rPr>
                <w:rFonts w:hint="eastAsia" w:ascii="Times New Roman" w:hAnsi="Times New Roman" w:cs="Times New Roman"/>
                <w:b w:val="0"/>
                <w:bCs/>
                <w:sz w:val="18"/>
                <w:szCs w:val="18"/>
                <w:lang w:val="en-US" w:eastAsia="zh-CN"/>
              </w:rPr>
              <w:t xml:space="preserve">SII, </w:t>
            </w:r>
            <w:r>
              <w:rPr>
                <w:rFonts w:hint="eastAsia" w:ascii="Times New Roman" w:hAnsi="Times New Roman" w:cs="Times New Roman"/>
                <w:sz w:val="18"/>
                <w:szCs w:val="18"/>
                <w:lang w:val="en-US" w:eastAsia="zh-CN"/>
              </w:rPr>
              <w:t>AISI, SIRI, GPR, PNI, and ALI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tcBorders>
            <w:vAlign w:val="center"/>
          </w:tcPr>
          <w:p>
            <w:pPr>
              <w:widowControl/>
              <w:jc w:val="center"/>
              <w:rPr>
                <w:rFonts w:ascii="Times New Roman" w:hAnsi="Times New Roman" w:cs="Times New Roman"/>
                <w:bCs/>
                <w:sz w:val="18"/>
                <w:szCs w:val="18"/>
              </w:rPr>
            </w:pPr>
            <w:r>
              <w:rPr>
                <w:rFonts w:ascii="Times New Roman" w:hAnsi="Times New Roman" w:cs="Times New Roman"/>
                <w:bCs/>
                <w:sz w:val="18"/>
                <w:szCs w:val="18"/>
              </w:rPr>
              <w:t>Indices</w:t>
            </w:r>
          </w:p>
        </w:tc>
        <w:tc>
          <w:tcPr>
            <w:tcW w:w="0" w:type="auto"/>
            <w:tcBorders>
              <w:top w:val="single" w:color="auto" w:sz="4" w:space="0"/>
            </w:tcBorders>
            <w:vAlign w:val="center"/>
          </w:tcPr>
          <w:p>
            <w:pPr>
              <w:widowControl/>
              <w:jc w:val="center"/>
              <w:rPr>
                <w:rFonts w:ascii="Times New Roman" w:hAnsi="Times New Roman" w:cs="Times New Roman"/>
                <w:bCs/>
                <w:sz w:val="18"/>
                <w:szCs w:val="18"/>
              </w:rPr>
            </w:pPr>
            <w:r>
              <w:rPr>
                <w:rFonts w:ascii="Times New Roman" w:hAnsi="Times New Roman" w:cs="Times New Roman"/>
                <w:bCs/>
                <w:sz w:val="18"/>
                <w:szCs w:val="18"/>
              </w:rPr>
              <w:t>Elements</w:t>
            </w:r>
            <w:r>
              <w:rPr>
                <w:rFonts w:hint="eastAsia" w:ascii="Times New Roman" w:hAnsi="Times New Roman" w:cs="Times New Roman"/>
                <w:bCs/>
                <w:sz w:val="18"/>
                <w:szCs w:val="18"/>
                <w:lang w:val="en-US" w:eastAsia="zh-CN"/>
              </w:rPr>
              <w:t>/Formula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tcBorders>
            <w:vAlign w:val="center"/>
          </w:tcPr>
          <w:p>
            <w:pPr>
              <w:widowControl/>
              <w:jc w:val="center"/>
              <w:rPr>
                <w:rFonts w:hint="default" w:ascii="Times New Roman" w:hAnsi="Times New Roman" w:cs="Times New Roman" w:eastAsiaTheme="minorEastAsia"/>
                <w:bCs/>
                <w:sz w:val="18"/>
                <w:szCs w:val="18"/>
                <w:lang w:val="en-US" w:eastAsia="zh-CN"/>
              </w:rPr>
            </w:pPr>
            <w:r>
              <w:rPr>
                <w:rFonts w:hint="eastAsia" w:ascii="Times New Roman" w:hAnsi="Times New Roman" w:cs="Times New Roman"/>
                <w:bCs/>
                <w:sz w:val="18"/>
                <w:szCs w:val="18"/>
                <w:lang w:val="en-US" w:eastAsia="zh-CN"/>
              </w:rPr>
              <w:t>SII</w:t>
            </w:r>
            <w:r>
              <w:rPr>
                <w:rFonts w:hint="eastAsia" w:ascii="Times New Roman" w:hAnsi="Times New Roman" w:cs="Times New Roman" w:eastAsiaTheme="minorEastAsia"/>
                <w:bCs/>
                <w:sz w:val="18"/>
                <w:szCs w:val="18"/>
                <w:vertAlign w:val="superscript"/>
                <w:lang w:val="en-US" w:eastAsia="zh-CN"/>
              </w:rPr>
              <w:fldChar w:fldCharType="begin"/>
            </w:r>
            <w:r>
              <w:rPr>
                <w:rFonts w:hint="eastAsia" w:ascii="Times New Roman" w:hAnsi="Times New Roman" w:cs="Times New Roman" w:eastAsiaTheme="minorEastAsia"/>
                <w:bCs/>
                <w:sz w:val="18"/>
                <w:szCs w:val="18"/>
                <w:vertAlign w:val="superscript"/>
                <w:lang w:val="en-US" w:eastAsia="zh-CN"/>
              </w:rPr>
              <w:instrText xml:space="preserve"> REF _Ref13543 \r \h </w:instrText>
            </w:r>
            <w:r>
              <w:rPr>
                <w:rFonts w:hint="eastAsia" w:ascii="Times New Roman" w:hAnsi="Times New Roman" w:cs="Times New Roman" w:eastAsiaTheme="minorEastAsia"/>
                <w:bCs/>
                <w:sz w:val="18"/>
                <w:szCs w:val="18"/>
                <w:vertAlign w:val="superscript"/>
                <w:lang w:val="en-US" w:eastAsia="zh-CN"/>
              </w:rPr>
              <w:fldChar w:fldCharType="separate"/>
            </w:r>
            <w:r>
              <w:rPr>
                <w:rFonts w:hint="eastAsia" w:ascii="Times New Roman" w:hAnsi="Times New Roman" w:cs="Times New Roman" w:eastAsiaTheme="minorEastAsia"/>
                <w:bCs/>
                <w:sz w:val="18"/>
                <w:szCs w:val="18"/>
                <w:vertAlign w:val="superscript"/>
                <w:lang w:val="en-US" w:eastAsia="zh-CN"/>
              </w:rPr>
              <w:t>[</w:t>
            </w:r>
            <w:r>
              <w:rPr>
                <w:rFonts w:hint="eastAsia" w:ascii="Times New Roman" w:hAnsi="Times New Roman" w:cs="Times New Roman"/>
                <w:bCs/>
                <w:sz w:val="18"/>
                <w:szCs w:val="18"/>
                <w:vertAlign w:val="superscript"/>
                <w:lang w:val="en-US" w:eastAsia="zh-CN"/>
              </w:rPr>
              <w:t>1</w:t>
            </w:r>
            <w:r>
              <w:rPr>
                <w:rFonts w:hint="eastAsia" w:ascii="Times New Roman" w:hAnsi="Times New Roman" w:cs="Times New Roman" w:eastAsiaTheme="minorEastAsia"/>
                <w:bCs/>
                <w:sz w:val="18"/>
                <w:szCs w:val="18"/>
                <w:vertAlign w:val="superscript"/>
                <w:lang w:val="en-US" w:eastAsia="zh-CN"/>
              </w:rPr>
              <w:t>]</w:t>
            </w:r>
            <w:r>
              <w:rPr>
                <w:rFonts w:hint="eastAsia" w:ascii="Times New Roman" w:hAnsi="Times New Roman" w:cs="Times New Roman" w:eastAsiaTheme="minorEastAsia"/>
                <w:bCs/>
                <w:sz w:val="18"/>
                <w:szCs w:val="18"/>
                <w:vertAlign w:val="superscript"/>
                <w:lang w:val="en-US" w:eastAsia="zh-CN"/>
              </w:rPr>
              <w:fldChar w:fldCharType="end"/>
            </w:r>
          </w:p>
        </w:tc>
        <w:tc>
          <w:tcPr>
            <w:tcW w:w="0" w:type="auto"/>
            <w:tcBorders>
              <w:top w:val="single" w:color="auto" w:sz="4" w:space="0"/>
            </w:tcBorders>
            <w:vAlign w:val="center"/>
          </w:tcPr>
          <w:p>
            <w:pPr>
              <w:widowControl/>
              <w:jc w:val="center"/>
              <w:rPr>
                <w:rFonts w:ascii="Times New Roman" w:hAnsi="Times New Roman" w:cs="Times New Roman"/>
                <w:bCs/>
                <w:sz w:val="18"/>
                <w:szCs w:val="18"/>
              </w:rPr>
            </w:pPr>
            <w:r>
              <w:rPr>
                <w:rFonts w:hint="eastAsia" w:ascii="Times New Roman" w:hAnsi="Times New Roman" w:cs="Times New Roman"/>
                <w:bCs/>
                <w:sz w:val="18"/>
                <w:szCs w:val="18"/>
                <w:lang w:val="en-US" w:eastAsia="zh-CN"/>
              </w:rPr>
              <w:t xml:space="preserve">(Neutrophil count × platelet count)/lymphocyte 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0" w:type="auto"/>
            <w:vAlign w:val="center"/>
          </w:tcPr>
          <w:p>
            <w:pPr>
              <w:widowControl/>
              <w:jc w:val="center"/>
              <w:rPr>
                <w:rFonts w:hint="default" w:ascii="Times New Roman" w:hAnsi="Times New Roman" w:cs="Times New Roman" w:eastAsiaTheme="minorEastAsia"/>
                <w:bCs/>
                <w:sz w:val="18"/>
                <w:szCs w:val="18"/>
                <w:lang w:val="en-US" w:eastAsia="zh-CN"/>
              </w:rPr>
            </w:pPr>
            <w:r>
              <w:rPr>
                <w:rFonts w:hint="eastAsia" w:ascii="Times New Roman" w:hAnsi="Times New Roman" w:cs="Times New Roman"/>
                <w:bCs/>
                <w:sz w:val="18"/>
                <w:szCs w:val="18"/>
                <w:lang w:val="en-US" w:eastAsia="zh-CN"/>
              </w:rPr>
              <w:t>AISI</w:t>
            </w:r>
            <w:r>
              <w:rPr>
                <w:rFonts w:hint="eastAsia" w:ascii="Times New Roman" w:hAnsi="Times New Roman" w:cs="Times New Roman" w:eastAsiaTheme="minorEastAsia"/>
                <w:bCs/>
                <w:sz w:val="18"/>
                <w:szCs w:val="18"/>
                <w:vertAlign w:val="superscript"/>
                <w:lang w:val="en-US" w:eastAsia="zh-CN"/>
              </w:rPr>
              <w:fldChar w:fldCharType="begin"/>
            </w:r>
            <w:r>
              <w:rPr>
                <w:rFonts w:hint="eastAsia" w:ascii="Times New Roman" w:hAnsi="Times New Roman" w:cs="Times New Roman" w:eastAsiaTheme="minorEastAsia"/>
                <w:bCs/>
                <w:sz w:val="18"/>
                <w:szCs w:val="18"/>
                <w:vertAlign w:val="superscript"/>
                <w:lang w:val="en-US" w:eastAsia="zh-CN"/>
              </w:rPr>
              <w:instrText xml:space="preserve"> REF _Ref13543 \r \h </w:instrText>
            </w:r>
            <w:r>
              <w:rPr>
                <w:rFonts w:hint="eastAsia" w:ascii="Times New Roman" w:hAnsi="Times New Roman" w:cs="Times New Roman" w:eastAsiaTheme="minorEastAsia"/>
                <w:bCs/>
                <w:sz w:val="18"/>
                <w:szCs w:val="18"/>
                <w:vertAlign w:val="superscript"/>
                <w:lang w:val="en-US" w:eastAsia="zh-CN"/>
              </w:rPr>
              <w:fldChar w:fldCharType="separate"/>
            </w:r>
            <w:r>
              <w:rPr>
                <w:rFonts w:hint="eastAsia" w:ascii="Times New Roman" w:hAnsi="Times New Roman" w:cs="Times New Roman" w:eastAsiaTheme="minorEastAsia"/>
                <w:bCs/>
                <w:sz w:val="18"/>
                <w:szCs w:val="18"/>
                <w:vertAlign w:val="superscript"/>
                <w:lang w:val="en-US" w:eastAsia="zh-CN"/>
              </w:rPr>
              <w:t>[</w:t>
            </w:r>
            <w:r>
              <w:rPr>
                <w:rFonts w:hint="eastAsia" w:ascii="Times New Roman" w:hAnsi="Times New Roman" w:cs="Times New Roman"/>
                <w:bCs/>
                <w:sz w:val="18"/>
                <w:szCs w:val="18"/>
                <w:vertAlign w:val="superscript"/>
                <w:lang w:val="en-US" w:eastAsia="zh-CN"/>
              </w:rPr>
              <w:t>2</w:t>
            </w:r>
            <w:r>
              <w:rPr>
                <w:rFonts w:hint="eastAsia" w:ascii="Times New Roman" w:hAnsi="Times New Roman" w:cs="Times New Roman" w:eastAsiaTheme="minorEastAsia"/>
                <w:bCs/>
                <w:sz w:val="18"/>
                <w:szCs w:val="18"/>
                <w:vertAlign w:val="superscript"/>
                <w:lang w:val="en-US" w:eastAsia="zh-CN"/>
              </w:rPr>
              <w:t>]</w:t>
            </w:r>
            <w:r>
              <w:rPr>
                <w:rFonts w:hint="eastAsia" w:ascii="Times New Roman" w:hAnsi="Times New Roman" w:cs="Times New Roman" w:eastAsiaTheme="minorEastAsia"/>
                <w:bCs/>
                <w:sz w:val="18"/>
                <w:szCs w:val="18"/>
                <w:vertAlign w:val="superscript"/>
                <w:lang w:val="en-US" w:eastAsia="zh-CN"/>
              </w:rPr>
              <w:fldChar w:fldCharType="end"/>
            </w:r>
          </w:p>
        </w:tc>
        <w:tc>
          <w:tcPr>
            <w:tcW w:w="0" w:type="auto"/>
            <w:vAlign w:val="center"/>
          </w:tcPr>
          <w:p>
            <w:pPr>
              <w:widowControl/>
              <w:jc w:val="center"/>
              <w:rPr>
                <w:rFonts w:ascii="Times New Roman" w:hAnsi="Times New Roman" w:cs="Times New Roman"/>
                <w:bCs/>
                <w:sz w:val="18"/>
                <w:szCs w:val="18"/>
              </w:rPr>
            </w:pPr>
            <w:r>
              <w:rPr>
                <w:rFonts w:hint="eastAsia" w:ascii="Times New Roman" w:hAnsi="Times New Roman" w:cs="Times New Roman"/>
                <w:bCs/>
                <w:sz w:val="18"/>
                <w:szCs w:val="18"/>
                <w:lang w:val="en-US" w:eastAsia="zh-CN"/>
              </w:rPr>
              <w:t xml:space="preserve">(Neutrophil count × monocyte count × platelet count)/lymphocyte 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hint="eastAsia" w:ascii="Times New Roman" w:hAnsi="Times New Roman" w:cs="Times New Roman"/>
                <w:bCs/>
                <w:sz w:val="18"/>
                <w:szCs w:val="18"/>
                <w:lang w:val="en-US" w:eastAsia="zh-CN"/>
              </w:rPr>
            </w:pPr>
            <w:r>
              <w:rPr>
                <w:rFonts w:hint="eastAsia" w:ascii="Times New Roman" w:hAnsi="Times New Roman" w:cs="Times New Roman"/>
                <w:b w:val="0"/>
                <w:bCs/>
                <w:sz w:val="18"/>
                <w:szCs w:val="18"/>
              </w:rPr>
              <w:t>SIRI</w:t>
            </w:r>
            <w:bookmarkStart w:id="0" w:name="OLE_LINK1"/>
            <w:r>
              <w:rPr>
                <w:rFonts w:hint="eastAsia" w:ascii="Times New Roman" w:hAnsi="Times New Roman" w:cs="Times New Roman" w:eastAsiaTheme="minorEastAsia"/>
                <w:b w:val="0"/>
                <w:bCs/>
                <w:sz w:val="18"/>
                <w:szCs w:val="18"/>
                <w:vertAlign w:val="superscript"/>
                <w:lang w:eastAsia="zh-CN"/>
              </w:rPr>
              <w:fldChar w:fldCharType="begin"/>
            </w:r>
            <w:r>
              <w:rPr>
                <w:rFonts w:hint="eastAsia" w:ascii="Times New Roman" w:hAnsi="Times New Roman" w:cs="Times New Roman" w:eastAsiaTheme="minorEastAsia"/>
                <w:b w:val="0"/>
                <w:bCs/>
                <w:sz w:val="18"/>
                <w:szCs w:val="18"/>
                <w:vertAlign w:val="superscript"/>
                <w:lang w:eastAsia="zh-CN"/>
              </w:rPr>
              <w:instrText xml:space="preserve"> REF _Ref13543 \r \h </w:instrText>
            </w:r>
            <w:r>
              <w:rPr>
                <w:rFonts w:hint="eastAsia" w:ascii="Times New Roman" w:hAnsi="Times New Roman" w:cs="Times New Roman" w:eastAsiaTheme="minorEastAsia"/>
                <w:b w:val="0"/>
                <w:bCs/>
                <w:sz w:val="18"/>
                <w:szCs w:val="18"/>
                <w:vertAlign w:val="superscript"/>
                <w:lang w:eastAsia="zh-CN"/>
              </w:rPr>
              <w:fldChar w:fldCharType="separate"/>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b w:val="0"/>
                <w:bCs/>
                <w:sz w:val="18"/>
                <w:szCs w:val="18"/>
                <w:vertAlign w:val="superscript"/>
                <w:lang w:val="en-US" w:eastAsia="zh-CN"/>
              </w:rPr>
              <w:t>2</w:t>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eastAsiaTheme="minorEastAsia"/>
                <w:b w:val="0"/>
                <w:bCs/>
                <w:sz w:val="18"/>
                <w:szCs w:val="18"/>
                <w:vertAlign w:val="superscript"/>
                <w:lang w:eastAsia="zh-CN"/>
              </w:rPr>
              <w:fldChar w:fldCharType="end"/>
            </w:r>
            <w:bookmarkEnd w:id="0"/>
          </w:p>
        </w:tc>
        <w:tc>
          <w:tcPr>
            <w:tcW w:w="0" w:type="auto"/>
            <w:vAlign w:val="center"/>
          </w:tcPr>
          <w:p>
            <w:pPr>
              <w:widowControl/>
              <w:jc w:val="center"/>
              <w:rPr>
                <w:rFonts w:ascii="Times New Roman" w:hAnsi="Times New Roman" w:cs="Times New Roman"/>
                <w:bCs/>
                <w:sz w:val="18"/>
                <w:szCs w:val="18"/>
              </w:rPr>
            </w:pPr>
            <w:r>
              <w:rPr>
                <w:rFonts w:hint="eastAsia" w:ascii="Times New Roman" w:hAnsi="Times New Roman" w:cs="Times New Roman"/>
                <w:bCs/>
                <w:sz w:val="18"/>
                <w:szCs w:val="18"/>
              </w:rPr>
              <w:t xml:space="preserve">(Neutrophil count × monocyte count)/lymphocyte 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GPR</w:t>
            </w:r>
            <w:bookmarkStart w:id="1" w:name="OLE_LINK2"/>
            <w:r>
              <w:rPr>
                <w:rFonts w:hint="eastAsia" w:ascii="Times New Roman" w:hAnsi="Times New Roman" w:cs="Times New Roman" w:eastAsiaTheme="minorEastAsia"/>
                <w:b w:val="0"/>
                <w:bCs/>
                <w:sz w:val="18"/>
                <w:szCs w:val="18"/>
                <w:vertAlign w:val="superscript"/>
                <w:lang w:eastAsia="zh-CN"/>
              </w:rPr>
              <w:fldChar w:fldCharType="begin"/>
            </w:r>
            <w:r>
              <w:rPr>
                <w:rFonts w:hint="eastAsia" w:ascii="Times New Roman" w:hAnsi="Times New Roman" w:cs="Times New Roman" w:eastAsiaTheme="minorEastAsia"/>
                <w:b w:val="0"/>
                <w:bCs/>
                <w:sz w:val="18"/>
                <w:szCs w:val="18"/>
                <w:vertAlign w:val="superscript"/>
                <w:lang w:eastAsia="zh-CN"/>
              </w:rPr>
              <w:instrText xml:space="preserve"> REF _Ref13543 \r \h </w:instrText>
            </w:r>
            <w:r>
              <w:rPr>
                <w:rFonts w:hint="eastAsia" w:ascii="Times New Roman" w:hAnsi="Times New Roman" w:cs="Times New Roman" w:eastAsiaTheme="minorEastAsia"/>
                <w:b w:val="0"/>
                <w:bCs/>
                <w:sz w:val="18"/>
                <w:szCs w:val="18"/>
                <w:vertAlign w:val="superscript"/>
                <w:lang w:eastAsia="zh-CN"/>
              </w:rPr>
              <w:fldChar w:fldCharType="separate"/>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b w:val="0"/>
                <w:bCs/>
                <w:sz w:val="18"/>
                <w:szCs w:val="18"/>
                <w:vertAlign w:val="superscript"/>
                <w:lang w:val="en-US" w:eastAsia="zh-CN"/>
              </w:rPr>
              <w:t>3</w:t>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eastAsiaTheme="minorEastAsia"/>
                <w:b w:val="0"/>
                <w:bCs/>
                <w:sz w:val="18"/>
                <w:szCs w:val="18"/>
                <w:vertAlign w:val="superscript"/>
                <w:lang w:eastAsia="zh-CN"/>
              </w:rPr>
              <w:fldChar w:fldCharType="end"/>
            </w:r>
            <w:bookmarkEnd w:id="1"/>
          </w:p>
        </w:tc>
        <w:tc>
          <w:tcPr>
            <w:tcW w:w="0" w:type="auto"/>
            <w:vAlign w:val="center"/>
          </w:tcPr>
          <w:p>
            <w:pPr>
              <w:widowControl/>
              <w:jc w:val="center"/>
              <w:rPr>
                <w:rFonts w:ascii="Times New Roman" w:hAnsi="Times New Roman" w:cs="Times New Roman"/>
                <w:bCs/>
                <w:sz w:val="18"/>
                <w:szCs w:val="18"/>
              </w:rPr>
            </w:pPr>
            <w:r>
              <w:rPr>
                <w:rFonts w:hint="eastAsia" w:ascii="Times New Roman" w:hAnsi="Times New Roman" w:cs="Times New Roman"/>
                <w:bCs/>
                <w:sz w:val="18"/>
                <w:szCs w:val="18"/>
              </w:rPr>
              <w:t xml:space="preserve">γ-glutamyl transferase </w:t>
            </w:r>
            <w:r>
              <w:rPr>
                <w:rFonts w:hint="eastAsia" w:ascii="Times New Roman" w:hAnsi="Times New Roman" w:cs="Times New Roman"/>
                <w:bCs/>
                <w:sz w:val="18"/>
                <w:szCs w:val="18"/>
                <w:lang w:val="en-US" w:eastAsia="zh-CN"/>
              </w:rPr>
              <w:t>/</w:t>
            </w:r>
            <w:r>
              <w:rPr>
                <w:rFonts w:hint="eastAsia" w:ascii="Times New Roman" w:hAnsi="Times New Roman" w:cs="Times New Roman"/>
                <w:bCs/>
                <w:sz w:val="18"/>
                <w:szCs w:val="18"/>
              </w:rPr>
              <w:t xml:space="preserve"> platelet </w:t>
            </w:r>
            <w:r>
              <w:rPr>
                <w:rFonts w:hint="eastAsia" w:ascii="Times New Roman" w:hAnsi="Times New Roman" w:cs="Times New Roman"/>
                <w:bCs/>
                <w:sz w:val="18"/>
                <w:szCs w:val="18"/>
                <w:lang w:val="en-US" w:eastAsia="zh-CN"/>
              </w:rPr>
              <w:t>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PNI</w:t>
            </w:r>
            <w:r>
              <w:rPr>
                <w:rFonts w:hint="eastAsia" w:ascii="Times New Roman" w:hAnsi="Times New Roman" w:cs="Times New Roman" w:eastAsiaTheme="minorEastAsia"/>
                <w:b w:val="0"/>
                <w:bCs/>
                <w:sz w:val="18"/>
                <w:szCs w:val="18"/>
                <w:vertAlign w:val="superscript"/>
                <w:lang w:eastAsia="zh-CN"/>
              </w:rPr>
              <w:fldChar w:fldCharType="begin"/>
            </w:r>
            <w:r>
              <w:rPr>
                <w:rFonts w:hint="eastAsia" w:ascii="Times New Roman" w:hAnsi="Times New Roman" w:cs="Times New Roman" w:eastAsiaTheme="minorEastAsia"/>
                <w:b w:val="0"/>
                <w:bCs/>
                <w:sz w:val="18"/>
                <w:szCs w:val="18"/>
                <w:vertAlign w:val="superscript"/>
                <w:lang w:eastAsia="zh-CN"/>
              </w:rPr>
              <w:instrText xml:space="preserve"> REF _Ref13543 \r \h </w:instrText>
            </w:r>
            <w:r>
              <w:rPr>
                <w:rFonts w:hint="eastAsia" w:ascii="Times New Roman" w:hAnsi="Times New Roman" w:cs="Times New Roman" w:eastAsiaTheme="minorEastAsia"/>
                <w:b w:val="0"/>
                <w:bCs/>
                <w:sz w:val="18"/>
                <w:szCs w:val="18"/>
                <w:vertAlign w:val="superscript"/>
                <w:lang w:eastAsia="zh-CN"/>
              </w:rPr>
              <w:fldChar w:fldCharType="separate"/>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b w:val="0"/>
                <w:bCs/>
                <w:sz w:val="18"/>
                <w:szCs w:val="18"/>
                <w:vertAlign w:val="superscript"/>
                <w:lang w:val="en-US" w:eastAsia="zh-CN"/>
              </w:rPr>
              <w:t>4</w:t>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eastAsiaTheme="minorEastAsia"/>
                <w:b w:val="0"/>
                <w:bCs/>
                <w:sz w:val="18"/>
                <w:szCs w:val="18"/>
                <w:vertAlign w:val="superscript"/>
                <w:lang w:eastAsia="zh-CN"/>
              </w:rPr>
              <w:fldChar w:fldCharType="end"/>
            </w:r>
          </w:p>
        </w:tc>
        <w:tc>
          <w:tcPr>
            <w:tcW w:w="0" w:type="auto"/>
            <w:vAlign w:val="center"/>
          </w:tcPr>
          <w:p>
            <w:pPr>
              <w:widowControl/>
              <w:jc w:val="center"/>
              <w:rPr>
                <w:rFonts w:ascii="Times New Roman" w:hAnsi="Times New Roman" w:cs="Times New Roman"/>
                <w:bCs/>
                <w:sz w:val="18"/>
                <w:szCs w:val="18"/>
              </w:rPr>
            </w:pPr>
            <w:r>
              <w:rPr>
                <w:rFonts w:hint="eastAsia" w:ascii="Times New Roman" w:hAnsi="Times New Roman" w:cs="Times New Roman"/>
                <w:bCs/>
                <w:sz w:val="18"/>
                <w:szCs w:val="18"/>
              </w:rPr>
              <w:t xml:space="preserve"> Lymphocyte</w:t>
            </w:r>
            <w:r>
              <w:rPr>
                <w:rFonts w:hint="eastAsia" w:ascii="Times New Roman" w:hAnsi="Times New Roman" w:cs="Times New Roman"/>
                <w:bCs/>
                <w:sz w:val="18"/>
                <w:szCs w:val="18"/>
                <w:lang w:val="en-US" w:eastAsia="zh-CN"/>
              </w:rPr>
              <w:t xml:space="preserve"> count </w:t>
            </w:r>
            <w:r>
              <w:rPr>
                <w:rFonts w:hint="eastAsia" w:ascii="Times New Roman" w:hAnsi="Times New Roman" w:cs="Times New Roman"/>
                <w:bCs/>
                <w:sz w:val="18"/>
                <w:szCs w:val="18"/>
              </w:rPr>
              <w:t>(10</w:t>
            </w:r>
            <w:r>
              <w:rPr>
                <w:rFonts w:hint="eastAsia" w:ascii="Times New Roman" w:hAnsi="Times New Roman" w:cs="Times New Roman"/>
                <w:bCs/>
                <w:sz w:val="18"/>
                <w:szCs w:val="18"/>
                <w:lang w:val="en-US" w:eastAsia="zh-CN"/>
              </w:rPr>
              <w:t>^</w:t>
            </w:r>
            <w:r>
              <w:rPr>
                <w:rFonts w:hint="eastAsia" w:ascii="Times New Roman" w:hAnsi="Times New Roman" w:cs="Times New Roman"/>
                <w:bCs/>
                <w:sz w:val="18"/>
                <w:szCs w:val="18"/>
              </w:rPr>
              <w:t>9/L)</w:t>
            </w:r>
            <w:bookmarkStart w:id="2" w:name="OLE_LINK6"/>
            <w:r>
              <w:rPr>
                <w:rFonts w:hint="eastAsia" w:ascii="Times New Roman" w:hAnsi="Times New Roman" w:cs="Times New Roman"/>
                <w:bCs/>
                <w:sz w:val="18"/>
                <w:szCs w:val="18"/>
                <w:lang w:val="en-US" w:eastAsia="zh-CN"/>
              </w:rPr>
              <w:t xml:space="preserve"> </w:t>
            </w:r>
            <w:r>
              <w:rPr>
                <w:rFonts w:hint="eastAsia" w:ascii="Times New Roman" w:hAnsi="Times New Roman" w:cs="Times New Roman"/>
                <w:bCs/>
                <w:sz w:val="18"/>
                <w:szCs w:val="18"/>
              </w:rPr>
              <w:t>×</w:t>
            </w:r>
            <w:bookmarkEnd w:id="2"/>
            <w:r>
              <w:rPr>
                <w:rFonts w:hint="eastAsia" w:ascii="Times New Roman" w:hAnsi="Times New Roman" w:cs="Times New Roman"/>
                <w:bCs/>
                <w:sz w:val="18"/>
                <w:szCs w:val="18"/>
                <w:lang w:val="en-US" w:eastAsia="zh-CN"/>
              </w:rPr>
              <w:t xml:space="preserve"> </w:t>
            </w:r>
            <w:r>
              <w:rPr>
                <w:rFonts w:hint="eastAsia" w:ascii="Times New Roman" w:hAnsi="Times New Roman" w:cs="Times New Roman"/>
                <w:bCs/>
                <w:sz w:val="18"/>
                <w:szCs w:val="18"/>
              </w:rPr>
              <w:t>5 + serum albumin concentration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ALI</w:t>
            </w:r>
            <w:r>
              <w:rPr>
                <w:rFonts w:hint="eastAsia" w:ascii="Times New Roman" w:hAnsi="Times New Roman" w:cs="Times New Roman" w:eastAsiaTheme="minorEastAsia"/>
                <w:b w:val="0"/>
                <w:bCs/>
                <w:sz w:val="18"/>
                <w:szCs w:val="18"/>
                <w:vertAlign w:val="superscript"/>
                <w:lang w:eastAsia="zh-CN"/>
              </w:rPr>
              <w:fldChar w:fldCharType="begin"/>
            </w:r>
            <w:r>
              <w:rPr>
                <w:rFonts w:hint="eastAsia" w:ascii="Times New Roman" w:hAnsi="Times New Roman" w:cs="Times New Roman" w:eastAsiaTheme="minorEastAsia"/>
                <w:b w:val="0"/>
                <w:bCs/>
                <w:sz w:val="18"/>
                <w:szCs w:val="18"/>
                <w:vertAlign w:val="superscript"/>
                <w:lang w:eastAsia="zh-CN"/>
              </w:rPr>
              <w:instrText xml:space="preserve"> REF _Ref13543 \r \h </w:instrText>
            </w:r>
            <w:r>
              <w:rPr>
                <w:rFonts w:hint="eastAsia" w:ascii="Times New Roman" w:hAnsi="Times New Roman" w:cs="Times New Roman" w:eastAsiaTheme="minorEastAsia"/>
                <w:b w:val="0"/>
                <w:bCs/>
                <w:sz w:val="18"/>
                <w:szCs w:val="18"/>
                <w:vertAlign w:val="superscript"/>
                <w:lang w:eastAsia="zh-CN"/>
              </w:rPr>
              <w:fldChar w:fldCharType="separate"/>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b w:val="0"/>
                <w:bCs/>
                <w:sz w:val="18"/>
                <w:szCs w:val="18"/>
                <w:vertAlign w:val="superscript"/>
                <w:lang w:val="en-US" w:eastAsia="zh-CN"/>
              </w:rPr>
              <w:t>5</w:t>
            </w:r>
            <w:r>
              <w:rPr>
                <w:rFonts w:hint="eastAsia" w:ascii="Times New Roman" w:hAnsi="Times New Roman" w:cs="Times New Roman" w:eastAsiaTheme="minorEastAsia"/>
                <w:b w:val="0"/>
                <w:bCs/>
                <w:sz w:val="18"/>
                <w:szCs w:val="18"/>
                <w:vertAlign w:val="superscript"/>
                <w:lang w:eastAsia="zh-CN"/>
              </w:rPr>
              <w:t>]</w:t>
            </w:r>
            <w:r>
              <w:rPr>
                <w:rFonts w:hint="eastAsia" w:ascii="Times New Roman" w:hAnsi="Times New Roman" w:cs="Times New Roman" w:eastAsiaTheme="minorEastAsia"/>
                <w:b w:val="0"/>
                <w:bCs/>
                <w:sz w:val="18"/>
                <w:szCs w:val="18"/>
                <w:vertAlign w:val="superscript"/>
                <w:lang w:eastAsia="zh-CN"/>
              </w:rPr>
              <w:fldChar w:fldCharType="end"/>
            </w:r>
          </w:p>
        </w:tc>
        <w:tc>
          <w:tcPr>
            <w:tcW w:w="0" w:type="auto"/>
            <w:vAlign w:val="center"/>
          </w:tcPr>
          <w:p>
            <w:pPr>
              <w:widowControl/>
              <w:jc w:val="center"/>
              <w:rPr>
                <w:rFonts w:hint="eastAsia" w:ascii="Times New Roman" w:hAnsi="Times New Roman" w:cs="Times New Roman" w:eastAsiaTheme="minorEastAsia"/>
                <w:bCs/>
                <w:sz w:val="18"/>
                <w:szCs w:val="18"/>
                <w:lang w:val="en-US" w:eastAsia="zh-CN"/>
              </w:rPr>
            </w:pPr>
            <w:r>
              <w:rPr>
                <w:rFonts w:hint="eastAsia" w:ascii="Times New Roman" w:hAnsi="Times New Roman" w:cs="Times New Roman"/>
                <w:bCs/>
                <w:sz w:val="18"/>
                <w:szCs w:val="18"/>
              </w:rPr>
              <w:t>serum albumin concentration</w:t>
            </w:r>
            <w:r>
              <w:rPr>
                <w:rFonts w:hint="eastAsia" w:ascii="Times New Roman" w:hAnsi="Times New Roman" w:cs="Times New Roman"/>
                <w:bCs/>
                <w:sz w:val="18"/>
                <w:szCs w:val="18"/>
                <w:lang w:val="en-US" w:eastAsia="zh-CN"/>
              </w:rPr>
              <w:t xml:space="preserve"> </w:t>
            </w:r>
            <w:r>
              <w:rPr>
                <w:rFonts w:hint="eastAsia" w:ascii="Times New Roman" w:hAnsi="Times New Roman" w:cs="Times New Roman"/>
                <w:bCs/>
                <w:sz w:val="18"/>
                <w:szCs w:val="18"/>
              </w:rPr>
              <w:t>×</w:t>
            </w:r>
            <w:r>
              <w:rPr>
                <w:rFonts w:hint="eastAsia" w:ascii="Times New Roman" w:hAnsi="Times New Roman" w:cs="Times New Roman"/>
                <w:bCs/>
                <w:sz w:val="18"/>
                <w:szCs w:val="18"/>
                <w:lang w:val="en-US" w:eastAsia="zh-CN"/>
              </w:rPr>
              <w:t xml:space="preserve"> </w:t>
            </w:r>
            <w:r>
              <w:rPr>
                <w:rFonts w:hint="eastAsia" w:ascii="Times New Roman" w:hAnsi="Times New Roman" w:cs="Times New Roman"/>
                <w:bCs/>
                <w:sz w:val="18"/>
                <w:szCs w:val="18"/>
              </w:rPr>
              <w:t>weight/</w:t>
            </w:r>
            <w:r>
              <w:rPr>
                <w:rFonts w:hint="eastAsia" w:ascii="Times New Roman" w:hAnsi="Times New Roman" w:cs="Times New Roman"/>
                <w:bCs/>
                <w:sz w:val="18"/>
                <w:szCs w:val="18"/>
                <w:lang w:val="en-US" w:eastAsia="zh-CN"/>
              </w:rPr>
              <w:t>(</w:t>
            </w:r>
            <w:r>
              <w:rPr>
                <w:rFonts w:hint="eastAsia" w:ascii="Times New Roman" w:hAnsi="Times New Roman" w:cs="Times New Roman"/>
                <w:bCs/>
                <w:sz w:val="18"/>
                <w:szCs w:val="18"/>
              </w:rPr>
              <w:t>height</w:t>
            </w:r>
            <w:r>
              <w:rPr>
                <w:rFonts w:hint="eastAsia" w:ascii="Times New Roman" w:hAnsi="Times New Roman" w:cs="Times New Roman"/>
                <w:bCs/>
                <w:sz w:val="18"/>
                <w:szCs w:val="18"/>
                <w:lang w:val="en-US" w:eastAsia="zh-CN"/>
              </w:rPr>
              <w:t>)</w:t>
            </w:r>
            <w:r>
              <w:rPr>
                <w:rFonts w:hint="eastAsia" w:ascii="Times New Roman" w:hAnsi="Times New Roman" w:cs="Times New Roman"/>
                <w:bCs/>
                <w:sz w:val="18"/>
                <w:szCs w:val="18"/>
              </w:rPr>
              <w:t>2</w:t>
            </w:r>
            <w:r>
              <w:rPr>
                <w:rFonts w:hint="eastAsia" w:ascii="Times New Roman" w:hAnsi="Times New Roman" w:cs="Times New Roman"/>
                <w:bCs/>
                <w:sz w:val="18"/>
                <w:szCs w:val="18"/>
                <w:lang w:val="en-US" w:eastAsia="zh-CN"/>
              </w:rPr>
              <w:t xml:space="preserve"> </w:t>
            </w:r>
            <w:r>
              <w:rPr>
                <w:rFonts w:hint="eastAsia" w:ascii="Times New Roman" w:hAnsi="Times New Roman" w:cs="Times New Roman"/>
                <w:bCs/>
                <w:sz w:val="18"/>
                <w:szCs w:val="18"/>
              </w:rPr>
              <w:t>×</w:t>
            </w:r>
            <w:r>
              <w:rPr>
                <w:rFonts w:hint="eastAsia" w:ascii="Times New Roman" w:hAnsi="Times New Roman" w:cs="Times New Roman"/>
                <w:bCs/>
                <w:sz w:val="18"/>
                <w:szCs w:val="18"/>
                <w:lang w:val="en-US" w:eastAsia="zh-CN"/>
              </w:rPr>
              <w:t xml:space="preserve"> Neutrophil count/lymphocyte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gridSpan w:val="2"/>
            <w:tcBorders>
              <w:top w:val="single" w:color="auto" w:sz="4" w:space="0"/>
              <w:left w:val="nil"/>
              <w:bottom w:val="nil"/>
              <w:right w:val="nil"/>
            </w:tcBorders>
            <w:vAlign w:val="center"/>
          </w:tcPr>
          <w:p>
            <w:pPr>
              <w:widowControl/>
              <w:jc w:val="both"/>
              <w:rPr>
                <w:rFonts w:hint="eastAsia" w:ascii="Times New Roman" w:hAnsi="Times New Roman" w:cs="Times New Roman"/>
                <w:bCs/>
                <w:sz w:val="18"/>
                <w:szCs w:val="18"/>
              </w:rPr>
            </w:pPr>
            <w:r>
              <w:rPr>
                <w:rFonts w:hint="eastAsia" w:ascii="Times New Roman" w:hAnsi="Times New Roman" w:cs="Times New Roman"/>
                <w:sz w:val="18"/>
                <w:szCs w:val="18"/>
                <w:lang w:val="en-US" w:eastAsia="zh-CN"/>
              </w:rPr>
              <w:t>SII, systemic immune- inflammation index; AISI, aggregate systemic inflammation index; SIRI, systemic inflammation response index;</w:t>
            </w:r>
            <w:bookmarkStart w:id="3" w:name="OLE_LINK7"/>
            <w:r>
              <w:rPr>
                <w:rFonts w:hint="eastAsia" w:ascii="Times New Roman" w:hAnsi="Times New Roman" w:cs="Times New Roman"/>
                <w:sz w:val="18"/>
                <w:szCs w:val="18"/>
                <w:lang w:val="en-US" w:eastAsia="zh-CN"/>
              </w:rPr>
              <w:t xml:space="preserve"> </w:t>
            </w:r>
            <w:bookmarkEnd w:id="3"/>
            <w:r>
              <w:rPr>
                <w:rFonts w:hint="eastAsia" w:ascii="Times New Roman" w:hAnsi="Times New Roman" w:cs="Times New Roman"/>
                <w:sz w:val="18"/>
                <w:szCs w:val="18"/>
                <w:lang w:val="en-US" w:eastAsia="zh-CN"/>
              </w:rPr>
              <w:t>GPR, gamma-glutamyl-transpeptidase to platelet ratio; PNI, prognostic nutrition index; ALI, advanced lung cancer index.</w:t>
            </w:r>
          </w:p>
        </w:tc>
      </w:tr>
    </w:tbl>
    <w:p>
      <w:pPr>
        <w:widowControl/>
        <w:jc w:val="center"/>
        <w:rPr>
          <w:rFonts w:ascii="Times New Roman" w:hAnsi="Times New Roman" w:cs="Times New Roman"/>
          <w:b/>
          <w:sz w:val="24"/>
        </w:rPr>
      </w:pPr>
    </w:p>
    <w:p>
      <w:pPr>
        <w:widowControl/>
        <w:jc w:val="center"/>
        <w:rPr>
          <w:rFonts w:ascii="Times New Roman" w:hAnsi="Times New Roman" w:cs="Times New Roman"/>
          <w:b/>
          <w:sz w:val="24"/>
        </w:rPr>
      </w:pPr>
    </w:p>
    <w:p>
      <w:pPr>
        <w:spacing w:line="360" w:lineRule="auto"/>
        <w:rPr>
          <w:rFonts w:hint="eastAsia" w:ascii="Times New Roman" w:hAnsi="Times New Roman" w:eastAsia="宋体" w:cs="Times New Roman"/>
          <w:b/>
          <w:bCs/>
          <w:color w:val="212121"/>
          <w:sz w:val="28"/>
          <w:szCs w:val="28"/>
          <w:shd w:val="clear" w:color="auto" w:fill="FFFFFF"/>
          <w:lang w:val="en-US" w:eastAsia="zh-CN"/>
        </w:rPr>
      </w:pPr>
      <w:r>
        <w:rPr>
          <w:rFonts w:hint="eastAsia" w:ascii="Times New Roman" w:hAnsi="Times New Roman" w:eastAsia="宋体" w:cs="Times New Roman"/>
          <w:b/>
          <w:bCs/>
          <w:color w:val="212121"/>
          <w:sz w:val="28"/>
          <w:szCs w:val="28"/>
          <w:shd w:val="clear" w:color="auto" w:fill="FFFFFF"/>
          <w:lang w:val="en-US" w:eastAsia="zh-CN"/>
        </w:rPr>
        <w:t>REFERENCES</w:t>
      </w:r>
    </w:p>
    <w:p>
      <w:pPr>
        <w:widowControl/>
        <w:numPr>
          <w:ilvl w:val="0"/>
          <w:numId w:val="1"/>
        </w:numPr>
        <w:jc w:val="left"/>
        <w:rPr>
          <w:rFonts w:hint="eastAsia" w:ascii="Times New Roman" w:hAnsi="Times New Roman" w:cs="Times New Roman"/>
          <w:sz w:val="18"/>
          <w:szCs w:val="18"/>
          <w:lang w:val="en-US" w:eastAsia="zh-CN"/>
        </w:rPr>
      </w:pPr>
      <w:bookmarkStart w:id="4" w:name="_Ref13543"/>
      <w:r>
        <w:rPr>
          <w:rFonts w:hint="eastAsia" w:ascii="Times New Roman" w:hAnsi="Times New Roman" w:cs="Times New Roman"/>
          <w:sz w:val="18"/>
          <w:szCs w:val="18"/>
          <w:lang w:val="en-US" w:eastAsia="zh-CN"/>
        </w:rPr>
        <w:t xml:space="preserve">Hu B, Yang XR, Xu Y, et al. </w:t>
      </w:r>
      <w:bookmarkStart w:id="5" w:name="OLE_LINK3"/>
      <w:r>
        <w:rPr>
          <w:rFonts w:hint="eastAsia" w:ascii="Times New Roman" w:hAnsi="Times New Roman" w:cs="Times New Roman"/>
          <w:sz w:val="18"/>
          <w:szCs w:val="18"/>
          <w:lang w:val="en-US" w:eastAsia="zh-CN"/>
        </w:rPr>
        <w:t>Systemic immune-inflammation index predicts prognosis of patients after curative resection for hepatocellular carcinoma. Clin Cancer Res. 2014 Dec 1;20(23):6212-22.</w:t>
      </w:r>
    </w:p>
    <w:bookmarkEnd w:id="5"/>
    <w:p>
      <w:pPr>
        <w:widowControl/>
        <w:numPr>
          <w:ilvl w:val="0"/>
          <w:numId w:val="1"/>
        </w:numPr>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 Li X, Wang L, Liu M, Zhou H, Xu H. Association between neutrophil-to-lymphocyte ratio and diabetic kidney disease in type 2 diabetes mellitus patients: a cross-sectional study. Front Endocrinol (Lausanne). 2024 Jan 4;14:1285509.</w:t>
      </w:r>
      <w:bookmarkEnd w:id="4"/>
    </w:p>
    <w:p>
      <w:pPr>
        <w:widowControl/>
        <w:numPr>
          <w:ilvl w:val="0"/>
          <w:numId w:val="1"/>
        </w:numPr>
        <w:jc w:val="left"/>
        <w:rPr>
          <w:rFonts w:hint="eastAsia" w:ascii="Times New Roman" w:hAnsi="Times New Roman" w:cs="Times New Roman"/>
          <w:sz w:val="18"/>
          <w:szCs w:val="18"/>
          <w:lang w:val="en-US" w:eastAsia="zh-CN"/>
        </w:rPr>
      </w:pPr>
      <w:bookmarkStart w:id="6" w:name="_Ref14186"/>
      <w:r>
        <w:rPr>
          <w:rFonts w:hint="eastAsia" w:ascii="Times New Roman" w:hAnsi="Times New Roman" w:cs="Times New Roman"/>
          <w:sz w:val="18"/>
          <w:szCs w:val="18"/>
          <w:lang w:val="en-US" w:eastAsia="zh-CN"/>
        </w:rPr>
        <w:t>Ma C, Wang N, Ma H, et al. Serum gamma-glutamyl transpeptidase-to-platelet ratio (GPR) can predict the prognosis of hepatocellular carcinoma: a meta-analysis and systematic review. Transl Cancer Res. 2022 Apr;11(4):745-753.</w:t>
      </w:r>
      <w:bookmarkEnd w:id="6"/>
    </w:p>
    <w:p>
      <w:pPr>
        <w:widowControl/>
        <w:numPr>
          <w:ilvl w:val="0"/>
          <w:numId w:val="1"/>
        </w:numPr>
        <w:jc w:val="left"/>
        <w:rPr>
          <w:rFonts w:hint="eastAsia" w:ascii="Times New Roman" w:hAnsi="Times New Roman" w:cs="Times New Roman"/>
          <w:sz w:val="18"/>
          <w:szCs w:val="18"/>
          <w:lang w:val="en-US" w:eastAsia="zh-CN"/>
        </w:rPr>
      </w:pPr>
      <w:bookmarkStart w:id="7" w:name="OLE_LINK4"/>
      <w:r>
        <w:rPr>
          <w:rFonts w:hint="eastAsia" w:ascii="Times New Roman" w:hAnsi="Times New Roman" w:cs="Times New Roman"/>
          <w:sz w:val="18"/>
          <w:szCs w:val="18"/>
          <w:lang w:val="en-US" w:eastAsia="zh-CN"/>
        </w:rPr>
        <w:t>Sun K, Chen S, Xu J, et al. The prognostic significance of the prognostic nutritional index in cancer: a systematic review and meta-analysis. J Cancer Res Clin Oncol 2014;140:1537-49. 10.1007/s00432-014-1714-3</w:t>
      </w:r>
    </w:p>
    <w:bookmarkEnd w:id="7"/>
    <w:p>
      <w:pPr>
        <w:widowControl/>
        <w:numPr>
          <w:ilvl w:val="0"/>
          <w:numId w:val="1"/>
        </w:numPr>
        <w:jc w:val="left"/>
        <w:rPr>
          <w:rFonts w:hint="eastAsia" w:ascii="Times New Roman" w:hAnsi="Times New Roman" w:cs="Times New Roman"/>
          <w:sz w:val="18"/>
          <w:szCs w:val="18"/>
          <w:lang w:val="en-US" w:eastAsia="zh-CN"/>
        </w:rPr>
      </w:pPr>
      <w:bookmarkStart w:id="8" w:name="_Ref25242"/>
      <w:r>
        <w:rPr>
          <w:rFonts w:hint="default" w:ascii="Times New Roman" w:hAnsi="Times New Roman" w:cs="Times New Roman"/>
          <w:sz w:val="18"/>
          <w:szCs w:val="18"/>
          <w:lang w:val="en-US" w:eastAsia="zh-CN"/>
        </w:rPr>
        <w:t xml:space="preserve">Jafri SH, Shi R, Mills G. </w:t>
      </w:r>
      <w:bookmarkStart w:id="9" w:name="OLE_LINK5"/>
      <w:r>
        <w:rPr>
          <w:rFonts w:hint="default" w:ascii="Times New Roman" w:hAnsi="Times New Roman" w:cs="Times New Roman"/>
          <w:sz w:val="18"/>
          <w:szCs w:val="18"/>
          <w:lang w:val="en-US" w:eastAsia="zh-CN"/>
        </w:rPr>
        <w:t xml:space="preserve">Advance lung cancer inflammation index (ALI) at diagnosis is a prognostic marker in patients with metastatic non-small cell lung cancer (NSCLC): a retrospective review. BMC Cancer. 2013 Mar 27;13:158. </w:t>
      </w:r>
      <w:bookmarkEnd w:id="8"/>
      <w:bookmarkEnd w:id="9"/>
    </w:p>
    <w:p>
      <w:pPr>
        <w:rPr>
          <w:rFonts w:ascii="Times New Roman" w:hAnsi="Times New Roman" w:cs="Times New Roman"/>
          <w:b/>
          <w:sz w:val="24"/>
        </w:rPr>
      </w:pPr>
      <w:r>
        <w:rPr>
          <w:rFonts w:ascii="Times New Roman" w:hAnsi="Times New Roman" w:cs="Times New Roman"/>
          <w:b/>
          <w:sz w:val="24"/>
        </w:rPr>
        <w:br w:type="page"/>
      </w:r>
    </w:p>
    <w:p>
      <w:pPr>
        <w:rPr>
          <w:rFonts w:ascii="Times New Roman" w:hAnsi="Times New Roman" w:cs="Times New Roman"/>
          <w:b/>
          <w:sz w:val="24"/>
        </w:rPr>
      </w:pPr>
    </w:p>
    <w:p>
      <w:pPr>
        <w:rPr>
          <w:rFonts w:hint="eastAsia" w:ascii="Times New Roman" w:hAnsi="Times New Roman" w:cs="Times New Roman"/>
          <w:b/>
          <w:sz w:val="24"/>
          <w:lang w:eastAsia="zh-CN"/>
        </w:rPr>
      </w:pPr>
      <w:r>
        <w:rPr>
          <w:rFonts w:hint="eastAsia" w:ascii="Times New Roman" w:hAnsi="Times New Roman" w:cs="Times New Roman"/>
          <w:b/>
          <w:sz w:val="24"/>
          <w:lang w:eastAsia="zh-CN"/>
        </w:rPr>
        <w:drawing>
          <wp:inline distT="0" distB="0" distL="114300" distR="114300">
            <wp:extent cx="6642735" cy="8860155"/>
            <wp:effectExtent l="0" t="0" r="5715" b="7620"/>
            <wp:docPr id="5" name="图片 5"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pplementary figure 1"/>
                    <pic:cNvPicPr>
                      <a:picLocks noChangeAspect="1"/>
                    </pic:cNvPicPr>
                  </pic:nvPicPr>
                  <pic:blipFill>
                    <a:blip r:embed="rId4"/>
                    <a:stretch>
                      <a:fillRect/>
                    </a:stretch>
                  </pic:blipFill>
                  <pic:spPr>
                    <a:xfrm>
                      <a:off x="0" y="0"/>
                      <a:ext cx="6642735" cy="8860155"/>
                    </a:xfrm>
                    <a:prstGeom prst="rect">
                      <a:avLst/>
                    </a:prstGeom>
                  </pic:spPr>
                </pic:pic>
              </a:graphicData>
            </a:graphic>
          </wp:inline>
        </w:drawing>
      </w:r>
    </w:p>
    <w:p>
      <w:pPr>
        <w:widowControl/>
        <w:jc w:val="both"/>
        <w:rPr>
          <w:rFonts w:hint="eastAsia" w:eastAsiaTheme="minorEastAsia"/>
          <w:lang w:eastAsia="zh-CN"/>
        </w:rPr>
      </w:pPr>
      <w:bookmarkStart w:id="10" w:name="OLE_LINK8"/>
      <w:r>
        <w:rPr>
          <w:rFonts w:hint="eastAsia" w:eastAsiaTheme="minorEastAsia"/>
          <w:b/>
          <w:bCs/>
          <w:lang w:eastAsia="zh-CN"/>
        </w:rPr>
        <w:t>Supplementary Figure 1.</w:t>
      </w:r>
      <w:r>
        <w:rPr>
          <w:rFonts w:hint="eastAsia" w:eastAsiaTheme="minorEastAsia"/>
          <w:lang w:eastAsia="zh-CN"/>
        </w:rPr>
        <w:t xml:space="preserve"> Plots of univariate Fine-Gray analysis of overall survival for locally advanced intraheptic cholangiocarcinoma after R0 resection. A) for age, B) for gender, C) for liver cirrhosis, D) for tumor size, E) for tumor number, F) for pathological grade, G) for MVI, H) for resection scope, I) for surgical margin, J) for RLNM, K) for AOT, L) for CEA, M) for CA19-9, N) for pCEA, O) for p CA19-9, P) for SII,Q) for AISI, R) for SIRI, S) for GPR, T) for PNI, U) for ALI. MVI, microvascular invasion; RLNM, regional lymph node metastasis; AOT, adjuvant postoperative treatment; CEA, carcino-embryonic antigen; CA19-9, carbohydrate antigen 19-9; pCEA, postoperative CEA; pCA19-9, postoperative CA19-9; SII, systemic immune- inflammation index; AISI, aggregate systemici nflammation index; SIRI, systemic inflammation response index; GPR, gamma-glutamyl-transpeptidase to platelet ratio; PNI, prognostic nutrition index; ALI, advanced lung cancer index.</w:t>
      </w:r>
    </w:p>
    <w:bookmarkEnd w:id="10"/>
    <w:p>
      <w:pPr>
        <w:rPr>
          <w:rFonts w:ascii="Times New Roman" w:hAnsi="Times New Roman" w:cs="Times New Roman"/>
          <w:b/>
          <w:sz w:val="24"/>
        </w:rPr>
      </w:pPr>
      <w:r>
        <w:rPr>
          <w:rFonts w:ascii="Times New Roman" w:hAnsi="Times New Roman" w:cs="Times New Roman"/>
          <w:b/>
          <w:sz w:val="24"/>
        </w:rPr>
        <w:br w:type="page"/>
      </w:r>
    </w:p>
    <w:p>
      <w:pPr>
        <w:widowControl/>
        <w:jc w:val="center"/>
        <w:rPr>
          <w:rFonts w:hint="eastAsia" w:eastAsiaTheme="minorEastAsia"/>
          <w:lang w:eastAsia="zh-CN"/>
        </w:rPr>
      </w:pPr>
    </w:p>
    <w:p>
      <w:pPr>
        <w:rPr>
          <w:rFonts w:hint="eastAsia" w:ascii="Times New Roman" w:hAnsi="Times New Roman" w:cs="Times New Roman" w:eastAsiaTheme="minorEastAsia"/>
          <w:bCs/>
          <w:sz w:val="24"/>
          <w:lang w:eastAsia="zh-CN"/>
        </w:rPr>
      </w:pPr>
      <w:r>
        <w:rPr>
          <w:rFonts w:hint="eastAsia" w:ascii="Times New Roman" w:hAnsi="Times New Roman" w:cs="Times New Roman" w:eastAsiaTheme="minorEastAsia"/>
          <w:bCs/>
          <w:sz w:val="24"/>
          <w:lang w:eastAsia="zh-CN"/>
        </w:rPr>
        <w:drawing>
          <wp:inline distT="0" distB="0" distL="114300" distR="114300">
            <wp:extent cx="6638290" cy="8116570"/>
            <wp:effectExtent l="0" t="0" r="635" b="8255"/>
            <wp:docPr id="6" name="图片 6" descr="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upplementary figure 2"/>
                    <pic:cNvPicPr>
                      <a:picLocks noChangeAspect="1"/>
                    </pic:cNvPicPr>
                  </pic:nvPicPr>
                  <pic:blipFill>
                    <a:blip r:embed="rId5"/>
                    <a:stretch>
                      <a:fillRect/>
                    </a:stretch>
                  </pic:blipFill>
                  <pic:spPr>
                    <a:xfrm>
                      <a:off x="0" y="0"/>
                      <a:ext cx="6638290" cy="8116570"/>
                    </a:xfrm>
                    <a:prstGeom prst="rect">
                      <a:avLst/>
                    </a:prstGeom>
                  </pic:spPr>
                </pic:pic>
              </a:graphicData>
            </a:graphic>
          </wp:inline>
        </w:drawing>
      </w:r>
    </w:p>
    <w:p>
      <w:pPr>
        <w:widowControl/>
        <w:jc w:val="both"/>
        <w:rPr>
          <w:rFonts w:hint="eastAsia" w:eastAsiaTheme="minorEastAsia"/>
          <w:lang w:eastAsia="zh-CN"/>
        </w:rPr>
      </w:pPr>
      <w:r>
        <w:rPr>
          <w:rFonts w:hint="eastAsia" w:eastAsiaTheme="minorEastAsia"/>
          <w:b/>
          <w:bCs/>
          <w:lang w:eastAsia="zh-CN"/>
        </w:rPr>
        <w:t xml:space="preserve">Supplementary Figure </w:t>
      </w:r>
      <w:r>
        <w:rPr>
          <w:rFonts w:hint="eastAsia"/>
          <w:b/>
          <w:bCs/>
          <w:lang w:val="en-US" w:eastAsia="zh-CN"/>
        </w:rPr>
        <w:t>2</w:t>
      </w:r>
      <w:r>
        <w:rPr>
          <w:rFonts w:hint="eastAsia" w:eastAsiaTheme="minorEastAsia"/>
          <w:b/>
          <w:bCs/>
          <w:lang w:eastAsia="zh-CN"/>
        </w:rPr>
        <w:t>.</w:t>
      </w:r>
      <w:r>
        <w:rPr>
          <w:rFonts w:hint="eastAsia" w:eastAsiaTheme="minorEastAsia"/>
          <w:lang w:eastAsia="zh-CN"/>
        </w:rPr>
        <w:t xml:space="preserve"> Plots of </w:t>
      </w:r>
      <w:r>
        <w:rPr>
          <w:rFonts w:hint="eastAsia"/>
          <w:lang w:val="en-US" w:eastAsia="zh-CN"/>
        </w:rPr>
        <w:t>Kaplan-Meier survival analysis</w:t>
      </w:r>
      <w:r>
        <w:rPr>
          <w:rFonts w:hint="eastAsia" w:eastAsiaTheme="minorEastAsia"/>
          <w:lang w:eastAsia="zh-CN"/>
        </w:rPr>
        <w:t xml:space="preserve"> of overall survival for locally advanced intraheptic cholangiocarcinoma after R0 resection. A) for age, B) for gender, C) for liver cirrhosis, D) for tumor size, E) for tumor number, F) for pathological grade, G) for MVI, H) for resection scope, I) for surgical margin, J) for RLNM, K) for AOT, L) for CEA, M) for CA19-9, N) for pCEA, O) for p CA19-9, P) for SII,Q) for AISI, R) for SIRI, S) for GPR, T) for PNI, U) for ALI. MVI, microvascular invasion; RLNM, regional lymph node metastasis; AOT, adjuvant postoperative treatment; CEA, carcino-embryonic antigen; CA19-9, carbohydrate antigen 19-9; pCEA, postoperative CEA; pCA19-9, postoperative CA19-9; SII, systemic immune- inflammation index; AISI, aggregate systemici nflammation index; SIRI, systemic inflammation response index; GPR, gamma-glutamyl-transpeptidase to platelet ratio; PNI, prognostic nutrition index; ALI, advanced lung cancer index.</w:t>
      </w:r>
    </w:p>
    <w:p>
      <w:pPr>
        <w:rPr>
          <w:rFonts w:hint="eastAsia" w:ascii="Times New Roman" w:hAnsi="Times New Roman" w:cs="Times New Roman" w:eastAsiaTheme="minorEastAsia"/>
          <w:bCs/>
          <w:sz w:val="24"/>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A156A"/>
    <w:multiLevelType w:val="singleLevel"/>
    <w:tmpl w:val="F0AA156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yNjMxN7O0NDOyNDZW0lEKTi0uzszPAykwrAUARenbBywAAAA="/>
    <w:docVar w:name="commondata" w:val="eyJoZGlkIjoiNWMwNzMzZTkyYjcyZmQ2MTM2MmExMmJmMzRiMWE0MjQifQ=="/>
  </w:docVars>
  <w:rsids>
    <w:rsidRoot w:val="00122861"/>
    <w:rsid w:val="000709DE"/>
    <w:rsid w:val="000C5DEA"/>
    <w:rsid w:val="00122861"/>
    <w:rsid w:val="001526D0"/>
    <w:rsid w:val="001A3FCF"/>
    <w:rsid w:val="001B1885"/>
    <w:rsid w:val="001D5665"/>
    <w:rsid w:val="00245DF4"/>
    <w:rsid w:val="00282776"/>
    <w:rsid w:val="002A408F"/>
    <w:rsid w:val="002B1435"/>
    <w:rsid w:val="002B2355"/>
    <w:rsid w:val="002E18B1"/>
    <w:rsid w:val="00412B80"/>
    <w:rsid w:val="0042503A"/>
    <w:rsid w:val="00431E61"/>
    <w:rsid w:val="00435E0F"/>
    <w:rsid w:val="004C136B"/>
    <w:rsid w:val="005F5187"/>
    <w:rsid w:val="00666EF4"/>
    <w:rsid w:val="00684ACE"/>
    <w:rsid w:val="006C2520"/>
    <w:rsid w:val="006C2FAB"/>
    <w:rsid w:val="006D25CE"/>
    <w:rsid w:val="0071530A"/>
    <w:rsid w:val="00782C96"/>
    <w:rsid w:val="007E4600"/>
    <w:rsid w:val="007F4FDF"/>
    <w:rsid w:val="00831F8E"/>
    <w:rsid w:val="008344A0"/>
    <w:rsid w:val="00836C15"/>
    <w:rsid w:val="008469F8"/>
    <w:rsid w:val="00862D0E"/>
    <w:rsid w:val="008A2D90"/>
    <w:rsid w:val="008B1DB5"/>
    <w:rsid w:val="008B6ABF"/>
    <w:rsid w:val="0093197F"/>
    <w:rsid w:val="00931A06"/>
    <w:rsid w:val="00933B96"/>
    <w:rsid w:val="009C54FC"/>
    <w:rsid w:val="00A0090F"/>
    <w:rsid w:val="00A20E0E"/>
    <w:rsid w:val="00A558C3"/>
    <w:rsid w:val="00AC0F4E"/>
    <w:rsid w:val="00AE3664"/>
    <w:rsid w:val="00B5428C"/>
    <w:rsid w:val="00B6235A"/>
    <w:rsid w:val="00B738FE"/>
    <w:rsid w:val="00B82235"/>
    <w:rsid w:val="00B955C1"/>
    <w:rsid w:val="00C34893"/>
    <w:rsid w:val="00C4446E"/>
    <w:rsid w:val="00CC7DB2"/>
    <w:rsid w:val="00CE4B24"/>
    <w:rsid w:val="00CF2E8F"/>
    <w:rsid w:val="00D357A5"/>
    <w:rsid w:val="00E91310"/>
    <w:rsid w:val="00E976A4"/>
    <w:rsid w:val="00EA77B0"/>
    <w:rsid w:val="00ED11AF"/>
    <w:rsid w:val="00ED1BB4"/>
    <w:rsid w:val="00F068E4"/>
    <w:rsid w:val="00F2020F"/>
    <w:rsid w:val="00F37CE2"/>
    <w:rsid w:val="00F700D9"/>
    <w:rsid w:val="00F71FE6"/>
    <w:rsid w:val="13C63FD0"/>
    <w:rsid w:val="1EF27252"/>
    <w:rsid w:val="27AE55C0"/>
    <w:rsid w:val="30BC5A34"/>
    <w:rsid w:val="3C650556"/>
    <w:rsid w:val="4D24266B"/>
    <w:rsid w:val="507823B7"/>
    <w:rsid w:val="53BA0CC5"/>
    <w:rsid w:val="548C251C"/>
    <w:rsid w:val="58E62709"/>
    <w:rsid w:val="634669C1"/>
    <w:rsid w:val="645C1924"/>
    <w:rsid w:val="67D619EE"/>
    <w:rsid w:val="7F1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6"/>
    <w:link w:val="3"/>
    <w:autoRedefine/>
    <w:qFormat/>
    <w:uiPriority w:val="99"/>
    <w:rPr>
      <w:sz w:val="18"/>
      <w:szCs w:val="18"/>
    </w:rPr>
  </w:style>
  <w:style w:type="character" w:customStyle="1" w:styleId="8">
    <w:name w:val="Footer Char"/>
    <w:basedOn w:val="6"/>
    <w:link w:val="2"/>
    <w:autoRedefine/>
    <w:qFormat/>
    <w:uiPriority w:val="99"/>
    <w:rPr>
      <w:sz w:val="18"/>
      <w:szCs w:val="18"/>
    </w:rPr>
  </w:style>
  <w:style w:type="table" w:customStyle="1" w:styleId="9">
    <w:name w:val="网格型1"/>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559</Words>
  <Characters>3447</Characters>
  <Lines>46</Lines>
  <Paragraphs>12</Paragraphs>
  <TotalTime>5</TotalTime>
  <ScaleCrop>false</ScaleCrop>
  <LinksUpToDate>false</LinksUpToDate>
  <CharactersWithSpaces>3987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2022-11-20T03:28:00Z</dcterms:created>
  <dc:creator>junlin zhang</dc:creator>
  <cp:lastModifiedBy>行方 智园。</cp:lastModifiedBy>
  <dcterms:modified xsi:type="dcterms:W3CDTF">2024-04-15T07:57:43Z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D0AEDE9568AD4A59BC4E4A10483E6B90_13</vt:lpwstr>
  </property>
</Properties>
</file>