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D4B" w:rsidRDefault="00AF0D4B"/>
    <w:p w:rsidR="00FB3A8C" w:rsidRDefault="00FB3A8C"/>
    <w:p w:rsidR="00FB3A8C" w:rsidRPr="002377BE" w:rsidRDefault="00FB3A8C" w:rsidP="00FB3A8C">
      <w:pPr>
        <w:rPr>
          <w:b/>
        </w:rPr>
      </w:pPr>
      <w:r w:rsidRPr="000C2430">
        <w:rPr>
          <w:rFonts w:ascii="Times New Roman" w:hAnsi="Times New Roman" w:cs="Times New Roman"/>
          <w:b/>
          <w:sz w:val="24"/>
          <w:szCs w:val="24"/>
        </w:rPr>
        <w:t>SUPPLEMENTARY FILE</w:t>
      </w:r>
    </w:p>
    <w:p w:rsidR="00FB3A8C" w:rsidRPr="00966644" w:rsidRDefault="00AE5FEE" w:rsidP="00FB3A8C">
      <w:pPr>
        <w:shd w:val="clear" w:color="auto" w:fill="FFFFFF"/>
        <w:spacing w:before="400" w:after="400" w:line="240" w:lineRule="auto"/>
        <w:jc w:val="both"/>
        <w:rPr>
          <w:rFonts w:ascii="Times New Roman" w:eastAsia="Times New Roman" w:hAnsi="Times New Roman" w:cs="Times New Roman"/>
          <w:color w:val="212121"/>
          <w:sz w:val="24"/>
          <w:szCs w:val="24"/>
          <w:shd w:val="clear" w:color="auto" w:fill="FFFFFF"/>
          <w:lang w:eastAsia="en-GB"/>
        </w:rPr>
      </w:pPr>
      <w:proofErr w:type="gramStart"/>
      <w:r>
        <w:rPr>
          <w:rFonts w:ascii="Times New Roman" w:eastAsia="Times New Roman" w:hAnsi="Times New Roman" w:cs="Times New Roman"/>
          <w:sz w:val="24"/>
          <w:szCs w:val="24"/>
          <w:lang w:eastAsia="en-GB"/>
        </w:rPr>
        <w:t>Table S1</w:t>
      </w:r>
      <w:r w:rsidR="00FB3A8C" w:rsidRPr="00966644">
        <w:rPr>
          <w:rFonts w:ascii="Times New Roman" w:eastAsia="Times New Roman" w:hAnsi="Times New Roman" w:cs="Times New Roman"/>
          <w:sz w:val="24"/>
          <w:szCs w:val="24"/>
          <w:lang w:eastAsia="en-GB"/>
        </w:rPr>
        <w:t xml:space="preserve"> </w:t>
      </w:r>
      <w:r w:rsidR="00FB3A8C" w:rsidRPr="00966644">
        <w:rPr>
          <w:rFonts w:ascii="Times New Roman" w:eastAsia="Times New Roman" w:hAnsi="Times New Roman" w:cs="Times New Roman"/>
          <w:bCs/>
          <w:sz w:val="24"/>
          <w:szCs w:val="24"/>
          <w:lang w:eastAsia="en-GB"/>
        </w:rPr>
        <w:t>Search strategy via CINAHL.</w:t>
      </w:r>
      <w:proofErr w:type="gramEnd"/>
      <w:r w:rsidR="00FB3A8C" w:rsidRPr="00966644">
        <w:rPr>
          <w:rFonts w:ascii="Times New Roman" w:eastAsia="Times New Roman" w:hAnsi="Times New Roman" w:cs="Times New Roman"/>
          <w:bCs/>
          <w:sz w:val="24"/>
          <w:szCs w:val="24"/>
          <w:lang w:eastAsia="en-GB"/>
        </w:rPr>
        <w:t xml:space="preserve"> </w:t>
      </w:r>
      <w:r w:rsidR="00FB3A8C" w:rsidRPr="00966644">
        <w:rPr>
          <w:rFonts w:ascii="Times New Roman" w:eastAsia="Times New Roman" w:hAnsi="Times New Roman" w:cs="Times New Roman"/>
          <w:sz w:val="24"/>
          <w:szCs w:val="24"/>
          <w:lang w:eastAsia="en-GB"/>
        </w:rPr>
        <w:t xml:space="preserve">This shows all keywords utilised in search, including organisation and combination of keywords to formulate the final search. </w:t>
      </w:r>
    </w:p>
    <w:tbl>
      <w:tblPr>
        <w:tblStyle w:val="TableGrid3"/>
        <w:tblW w:w="0" w:type="auto"/>
        <w:tblLook w:val="04A0" w:firstRow="1" w:lastRow="0" w:firstColumn="1" w:lastColumn="0" w:noHBand="0" w:noVBand="1"/>
      </w:tblPr>
      <w:tblGrid>
        <w:gridCol w:w="8296"/>
      </w:tblGrid>
      <w:tr w:rsidR="00FB3A8C" w:rsidRPr="00966644" w:rsidTr="00913ECA">
        <w:tc>
          <w:tcPr>
            <w:tcW w:w="8296" w:type="dxa"/>
          </w:tcPr>
          <w:p w:rsidR="00FB3A8C" w:rsidRPr="00966644" w:rsidRDefault="00FB3A8C" w:rsidP="00913ECA">
            <w:pPr>
              <w:rPr>
                <w:rFonts w:ascii="Times New Roman" w:hAnsi="Times New Roman" w:cs="Times New Roman"/>
                <w:b/>
                <w:bCs/>
                <w:sz w:val="24"/>
                <w:szCs w:val="24"/>
              </w:rPr>
            </w:pPr>
            <w:bookmarkStart w:id="0" w:name="OLE_LINK3"/>
            <w:r w:rsidRPr="00966644">
              <w:rPr>
                <w:rFonts w:ascii="Times New Roman" w:hAnsi="Times New Roman" w:cs="Times New Roman"/>
                <w:b/>
                <w:bCs/>
                <w:sz w:val="24"/>
                <w:szCs w:val="24"/>
              </w:rPr>
              <w:t>Search strategy</w:t>
            </w:r>
            <w:bookmarkEnd w:id="0"/>
          </w:p>
        </w:tc>
      </w:tr>
      <w:tr w:rsidR="00FB3A8C" w:rsidRPr="00966644" w:rsidTr="00913ECA">
        <w:tc>
          <w:tcPr>
            <w:tcW w:w="8296" w:type="dxa"/>
          </w:tcPr>
          <w:p w:rsidR="00FB3A8C" w:rsidRPr="00966644" w:rsidRDefault="00FB3A8C" w:rsidP="00913ECA">
            <w:pPr>
              <w:wordWrap w:val="0"/>
              <w:ind w:rightChars="-12" w:right="-26"/>
              <w:contextualSpacing/>
              <w:rPr>
                <w:rFonts w:ascii="Times New Roman" w:hAnsi="Times New Roman" w:cs="Times New Roman"/>
                <w:sz w:val="24"/>
                <w:szCs w:val="24"/>
              </w:rPr>
            </w:pPr>
            <w:r w:rsidRPr="00966644">
              <w:rPr>
                <w:rFonts w:ascii="Times New Roman" w:hAnsi="Times New Roman" w:cs="Times New Roman"/>
                <w:sz w:val="24"/>
                <w:szCs w:val="24"/>
              </w:rPr>
              <w:t>#1- ((</w:t>
            </w:r>
            <w:r>
              <w:rPr>
                <w:rFonts w:ascii="Times New Roman" w:hAnsi="Times New Roman" w:cs="Times New Roman"/>
                <w:sz w:val="24"/>
                <w:szCs w:val="24"/>
              </w:rPr>
              <w:t>“</w:t>
            </w:r>
            <w:r w:rsidRPr="00966644">
              <w:rPr>
                <w:rFonts w:ascii="Times New Roman" w:hAnsi="Times New Roman" w:cs="Times New Roman"/>
                <w:sz w:val="24"/>
                <w:szCs w:val="24"/>
              </w:rPr>
              <w:t>child maltreatment</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maltreatment</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 trauma</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trauma</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trauma</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adversity</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 adversity</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early stress</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adverse childhood experience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 experience</w:t>
            </w:r>
            <w:r>
              <w:rPr>
                <w:rFonts w:ascii="Times New Roman" w:hAnsi="Times New Roman" w:cs="Times New Roman"/>
                <w:sz w:val="24"/>
                <w:szCs w:val="24"/>
              </w:rPr>
              <w:t>”</w:t>
            </w:r>
            <w:r w:rsidRPr="00966644">
              <w:rPr>
                <w:rFonts w:ascii="Times New Roman" w:hAnsi="Times New Roman" w:cs="Times New Roman"/>
                <w:sz w:val="24"/>
                <w:szCs w:val="24"/>
              </w:rPr>
              <w:t>) OR (stressful life experience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physical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physical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sexual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sexual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psychological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psychological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emotional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emotional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neglect</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physical neglect</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physical neglect</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 physical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 emotional neglect</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 psychological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physical abuse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childhood sexual abuse</w:t>
            </w:r>
            <w:r>
              <w:rPr>
                <w:rFonts w:ascii="Times New Roman" w:hAnsi="Times New Roman" w:cs="Times New Roman"/>
                <w:sz w:val="24"/>
                <w:szCs w:val="24"/>
              </w:rPr>
              <w:t>”</w:t>
            </w:r>
            <w:r w:rsidRPr="00966644">
              <w:rPr>
                <w:rFonts w:ascii="Times New Roman" w:hAnsi="Times New Roman" w:cs="Times New Roman"/>
                <w:sz w:val="24"/>
                <w:szCs w:val="24"/>
              </w:rPr>
              <w:t>))</w:t>
            </w:r>
          </w:p>
        </w:tc>
      </w:tr>
      <w:tr w:rsidR="00FB3A8C" w:rsidRPr="00966644" w:rsidTr="00913ECA">
        <w:tc>
          <w:tcPr>
            <w:tcW w:w="8296" w:type="dxa"/>
          </w:tcPr>
          <w:p w:rsidR="00FB3A8C" w:rsidRPr="00966644" w:rsidRDefault="00FB3A8C" w:rsidP="00913ECA">
            <w:pPr>
              <w:wordWrap w:val="0"/>
              <w:rPr>
                <w:rFonts w:ascii="Times New Roman" w:hAnsi="Times New Roman" w:cs="Times New Roman"/>
                <w:sz w:val="24"/>
                <w:szCs w:val="24"/>
              </w:rPr>
            </w:pPr>
            <w:r w:rsidRPr="00966644">
              <w:rPr>
                <w:rFonts w:ascii="Times New Roman" w:hAnsi="Times New Roman" w:cs="Times New Roman"/>
                <w:sz w:val="24"/>
                <w:szCs w:val="24"/>
              </w:rPr>
              <w:t>#2- ((</w:t>
            </w:r>
            <w:r>
              <w:rPr>
                <w:rFonts w:ascii="Times New Roman" w:hAnsi="Times New Roman" w:cs="Times New Roman"/>
                <w:sz w:val="24"/>
                <w:szCs w:val="24"/>
              </w:rPr>
              <w:t>“</w:t>
            </w:r>
            <w:r w:rsidRPr="00966644">
              <w:rPr>
                <w:rFonts w:ascii="Times New Roman" w:hAnsi="Times New Roman" w:cs="Times New Roman"/>
                <w:sz w:val="24"/>
                <w:szCs w:val="24"/>
              </w:rPr>
              <w:t>metabolic syndrome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metabolic syndrome X</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syndrome X</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insulin resistance syndrome</w:t>
            </w:r>
            <w:r>
              <w:rPr>
                <w:rFonts w:ascii="Times New Roman" w:hAnsi="Times New Roman" w:cs="Times New Roman"/>
                <w:sz w:val="24"/>
                <w:szCs w:val="24"/>
              </w:rPr>
              <w:t>”</w:t>
            </w:r>
            <w:r w:rsidRPr="00966644">
              <w:rPr>
                <w:rFonts w:ascii="Times New Roman" w:hAnsi="Times New Roman" w:cs="Times New Roman"/>
                <w:sz w:val="24"/>
                <w:szCs w:val="24"/>
              </w:rPr>
              <w:t>) OR (</w:t>
            </w:r>
            <w:r>
              <w:rPr>
                <w:rFonts w:ascii="Times New Roman" w:hAnsi="Times New Roman" w:cs="Times New Roman"/>
                <w:sz w:val="24"/>
                <w:szCs w:val="24"/>
              </w:rPr>
              <w:t>“</w:t>
            </w:r>
            <w:r w:rsidRPr="00966644">
              <w:rPr>
                <w:rFonts w:ascii="Times New Roman" w:hAnsi="Times New Roman" w:cs="Times New Roman"/>
                <w:sz w:val="24"/>
                <w:szCs w:val="24"/>
              </w:rPr>
              <w:t>insulin resistance</w:t>
            </w:r>
            <w:r>
              <w:rPr>
                <w:rFonts w:ascii="Times New Roman" w:hAnsi="Times New Roman" w:cs="Times New Roman"/>
                <w:sz w:val="24"/>
                <w:szCs w:val="24"/>
              </w:rPr>
              <w:t>”</w:t>
            </w:r>
            <w:r w:rsidRPr="00966644">
              <w:rPr>
                <w:rFonts w:ascii="Times New Roman" w:hAnsi="Times New Roman" w:cs="Times New Roman"/>
                <w:sz w:val="24"/>
                <w:szCs w:val="24"/>
              </w:rPr>
              <w:t>))</w:t>
            </w:r>
          </w:p>
          <w:p w:rsidR="00FB3A8C" w:rsidRPr="00966644" w:rsidRDefault="00FB3A8C" w:rsidP="00913ECA">
            <w:pPr>
              <w:wordWrap w:val="0"/>
              <w:rPr>
                <w:rFonts w:ascii="Times New Roman" w:hAnsi="Times New Roman" w:cs="Times New Roman"/>
                <w:sz w:val="24"/>
                <w:szCs w:val="24"/>
              </w:rPr>
            </w:pPr>
            <w:r w:rsidRPr="00966644">
              <w:rPr>
                <w:rFonts w:ascii="Times New Roman" w:hAnsi="Times New Roman" w:cs="Times New Roman"/>
                <w:sz w:val="24"/>
                <w:szCs w:val="24"/>
              </w:rPr>
              <w:t xml:space="preserve"> </w:t>
            </w:r>
          </w:p>
        </w:tc>
      </w:tr>
      <w:tr w:rsidR="00FB3A8C" w:rsidRPr="00966644" w:rsidTr="00913ECA">
        <w:tc>
          <w:tcPr>
            <w:tcW w:w="8296" w:type="dxa"/>
          </w:tcPr>
          <w:p w:rsidR="00FB3A8C" w:rsidRPr="00966644" w:rsidRDefault="00FB3A8C" w:rsidP="00913ECA">
            <w:pPr>
              <w:rPr>
                <w:rFonts w:ascii="Times New Roman" w:hAnsi="Times New Roman" w:cs="Times New Roman"/>
                <w:sz w:val="24"/>
                <w:szCs w:val="24"/>
              </w:rPr>
            </w:pPr>
            <w:r w:rsidRPr="00966644">
              <w:rPr>
                <w:rFonts w:ascii="Times New Roman" w:hAnsi="Times New Roman" w:cs="Times New Roman" w:hint="eastAsia"/>
                <w:sz w:val="24"/>
                <w:szCs w:val="24"/>
              </w:rPr>
              <w:t>#</w:t>
            </w:r>
            <w:r w:rsidRPr="00966644">
              <w:rPr>
                <w:rFonts w:ascii="Times New Roman" w:hAnsi="Times New Roman" w:cs="Times New Roman"/>
                <w:sz w:val="24"/>
                <w:szCs w:val="24"/>
              </w:rPr>
              <w:t>3- #1 AND #2</w:t>
            </w:r>
          </w:p>
        </w:tc>
      </w:tr>
    </w:tbl>
    <w:p w:rsidR="00FB3A8C" w:rsidRPr="00966644" w:rsidRDefault="00FB3A8C" w:rsidP="00FB3A8C">
      <w:pPr>
        <w:rPr>
          <w:rFonts w:ascii="Times New Roman" w:hAnsi="Times New Roman" w:cs="Times New Roman"/>
          <w:sz w:val="24"/>
          <w:szCs w:val="24"/>
        </w:rPr>
      </w:pPr>
    </w:p>
    <w:p w:rsidR="00FB3A8C" w:rsidRPr="00966644" w:rsidRDefault="00FB3A8C" w:rsidP="00FB3A8C">
      <w:pPr>
        <w:rPr>
          <w:rFonts w:ascii="Times New Roman" w:hAnsi="Times New Roman" w:cs="Times New Roman"/>
          <w:sz w:val="24"/>
          <w:szCs w:val="24"/>
        </w:rPr>
      </w:pPr>
    </w:p>
    <w:p w:rsidR="00FB3A8C" w:rsidRPr="00966644" w:rsidRDefault="00FB3A8C" w:rsidP="00FB3A8C">
      <w:pPr>
        <w:rPr>
          <w:rFonts w:ascii="Times New Roman" w:hAnsi="Times New Roman" w:cs="Times New Roman"/>
          <w:sz w:val="24"/>
          <w:szCs w:val="24"/>
        </w:rPr>
      </w:pPr>
    </w:p>
    <w:p w:rsidR="00FB3A8C" w:rsidRPr="00966644" w:rsidRDefault="00FB3A8C" w:rsidP="00FB3A8C">
      <w:pPr>
        <w:rPr>
          <w:rFonts w:ascii="Times New Roman" w:eastAsia="Calibri" w:hAnsi="Times New Roman" w:cs="Times New Roman"/>
        </w:rPr>
      </w:pPr>
      <w:r w:rsidRPr="00966644">
        <w:br w:type="page"/>
      </w:r>
    </w:p>
    <w:p w:rsidR="00FB3A8C" w:rsidRPr="00966644" w:rsidRDefault="00AE5FEE" w:rsidP="00FB3A8C">
      <w:pPr>
        <w:suppressAutoHyphens/>
        <w:autoSpaceDN w:val="0"/>
        <w:spacing w:after="160" w:line="480" w:lineRule="auto"/>
        <w:jc w:val="both"/>
        <w:textAlignment w:val="baseline"/>
        <w:rPr>
          <w:rFonts w:ascii="Times New Roman" w:eastAsia="Calibri" w:hAnsi="Times New Roman" w:cs="Times New Roman"/>
          <w:bCs/>
          <w:sz w:val="24"/>
          <w:szCs w:val="24"/>
        </w:rPr>
      </w:pPr>
      <w:r>
        <w:rPr>
          <w:rFonts w:ascii="Times New Roman" w:eastAsia="Calibri" w:hAnsi="Times New Roman" w:cs="Times New Roman"/>
        </w:rPr>
        <w:lastRenderedPageBreak/>
        <w:t>Table S2</w:t>
      </w:r>
      <w:r w:rsidR="00FB3A8C" w:rsidRPr="00966644">
        <w:rPr>
          <w:rFonts w:ascii="Times New Roman" w:eastAsia="Calibri" w:hAnsi="Times New Roman" w:cs="Times New Roman"/>
        </w:rPr>
        <w:t xml:space="preserve"> </w:t>
      </w:r>
      <w:r w:rsidR="00FB3A8C" w:rsidRPr="00966644">
        <w:rPr>
          <w:rFonts w:ascii="Times New Roman" w:eastAsia="Calibri" w:hAnsi="Times New Roman" w:cs="Times New Roman"/>
          <w:bCs/>
          <w:sz w:val="24"/>
          <w:szCs w:val="24"/>
        </w:rPr>
        <w:t>Methodological qualities of cross-sectional studies</w:t>
      </w:r>
    </w:p>
    <w:tbl>
      <w:tblPr>
        <w:tblStyle w:val="TableGrid3"/>
        <w:tblpPr w:leftFromText="180" w:rightFromText="180" w:horzAnchor="page" w:tblpX="231" w:tblpY="938"/>
        <w:tblW w:w="11483" w:type="dxa"/>
        <w:tblLayout w:type="fixed"/>
        <w:tblLook w:val="04A0" w:firstRow="1" w:lastRow="0" w:firstColumn="1" w:lastColumn="0" w:noHBand="0" w:noVBand="1"/>
      </w:tblPr>
      <w:tblGrid>
        <w:gridCol w:w="851"/>
        <w:gridCol w:w="851"/>
        <w:gridCol w:w="992"/>
        <w:gridCol w:w="885"/>
        <w:gridCol w:w="851"/>
        <w:gridCol w:w="957"/>
        <w:gridCol w:w="851"/>
        <w:gridCol w:w="850"/>
        <w:gridCol w:w="851"/>
        <w:gridCol w:w="850"/>
        <w:gridCol w:w="851"/>
        <w:gridCol w:w="885"/>
        <w:gridCol w:w="958"/>
      </w:tblGrid>
      <w:tr w:rsidR="00E55435" w:rsidRPr="00966644" w:rsidTr="001248C1">
        <w:tc>
          <w:tcPr>
            <w:tcW w:w="851" w:type="dxa"/>
            <w:tcBorders>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Study</w:t>
            </w:r>
          </w:p>
        </w:tc>
        <w:tc>
          <w:tcPr>
            <w:tcW w:w="851"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Define source of information</w:t>
            </w:r>
          </w:p>
        </w:tc>
        <w:tc>
          <w:tcPr>
            <w:tcW w:w="992"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List of inclusion and exclusion criteria</w:t>
            </w:r>
          </w:p>
        </w:tc>
        <w:tc>
          <w:tcPr>
            <w:tcW w:w="885"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Indicate time period</w:t>
            </w:r>
          </w:p>
        </w:tc>
        <w:tc>
          <w:tcPr>
            <w:tcW w:w="851"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Subjects consecutive</w:t>
            </w:r>
          </w:p>
        </w:tc>
        <w:tc>
          <w:tcPr>
            <w:tcW w:w="957"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 xml:space="preserve">Evaluators of subjective components </w:t>
            </w:r>
          </w:p>
        </w:tc>
        <w:tc>
          <w:tcPr>
            <w:tcW w:w="851"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 xml:space="preserve">Quality assurance </w:t>
            </w:r>
          </w:p>
        </w:tc>
        <w:tc>
          <w:tcPr>
            <w:tcW w:w="850"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Exclusion from analysis</w:t>
            </w:r>
          </w:p>
        </w:tc>
        <w:tc>
          <w:tcPr>
            <w:tcW w:w="851"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Confounding control</w:t>
            </w:r>
          </w:p>
        </w:tc>
        <w:tc>
          <w:tcPr>
            <w:tcW w:w="850"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Missing data</w:t>
            </w:r>
          </w:p>
        </w:tc>
        <w:tc>
          <w:tcPr>
            <w:tcW w:w="851"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Completeness of data</w:t>
            </w:r>
          </w:p>
        </w:tc>
        <w:tc>
          <w:tcPr>
            <w:tcW w:w="885"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Completeness of follow-up</w:t>
            </w:r>
          </w:p>
        </w:tc>
        <w:tc>
          <w:tcPr>
            <w:tcW w:w="958" w:type="dxa"/>
            <w:tcBorders>
              <w:left w:val="nil"/>
              <w:bottom w:val="single" w:sz="4" w:space="0" w:color="auto"/>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Total score</w:t>
            </w:r>
          </w:p>
        </w:tc>
      </w:tr>
      <w:tr w:rsidR="00E55435" w:rsidRPr="00966644" w:rsidTr="001248C1">
        <w:tc>
          <w:tcPr>
            <w:tcW w:w="851" w:type="dxa"/>
            <w:tcBorders>
              <w:top w:val="nil"/>
              <w:left w:val="nil"/>
              <w:bottom w:val="nil"/>
              <w:right w:val="nil"/>
            </w:tcBorders>
          </w:tcPr>
          <w:p w:rsidR="00E55435" w:rsidRPr="00E55435" w:rsidRDefault="00E55435" w:rsidP="001248C1">
            <w:pPr>
              <w:spacing w:after="160" w:line="259" w:lineRule="auto"/>
              <w:rPr>
                <w:rFonts w:ascii="Times New Roman" w:hAnsi="Times New Roman" w:cs="Times New Roman"/>
                <w:sz w:val="16"/>
                <w:szCs w:val="16"/>
              </w:rPr>
            </w:pPr>
            <w:r w:rsidRPr="00E55435">
              <w:rPr>
                <w:rFonts w:ascii="Times New Roman" w:hAnsi="Times New Roman" w:cs="Times New Roman"/>
                <w:sz w:val="16"/>
                <w:szCs w:val="16"/>
              </w:rPr>
              <w:t xml:space="preserve">Midei </w:t>
            </w:r>
            <w:r w:rsidRPr="00E55435">
              <w:rPr>
                <w:rFonts w:ascii="Times New Roman" w:hAnsi="Times New Roman" w:cs="Times New Roman"/>
                <w:i/>
                <w:sz w:val="16"/>
                <w:szCs w:val="16"/>
              </w:rPr>
              <w:t>et al</w:t>
            </w:r>
            <w:r w:rsidRPr="00E55435">
              <w:rPr>
                <w:rFonts w:ascii="Times New Roman" w:hAnsi="Times New Roman" w:cs="Times New Roman"/>
                <w:sz w:val="16"/>
                <w:szCs w:val="16"/>
              </w:rPr>
              <w:t xml:space="preserve"> 2013</w:t>
            </w: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{"citationItems":[{"id":"ITEM-1","itemData":{"DOI":"10.1037/a0027891","ISBN":"2122633255","ISSN":"1930-7810","PMID":"22775234","abstract":"OBJECTIVE: Previous research has suggested that childhood emotional abuse, physical abuse, and sexual abuse are associated with an increased risk for ischemic heart disease. Our objective was to examine whether childhood abuse predicted incident metabolic syndrome, a precursor to heart disease, in midlife women.\\n\\nMETHODS: Participants were 342 (114 Black, 228 White) women from the Pittsburgh site of the Study of Women's Health Across the Nation (SWAN). SWAN included a baseline assessment of premenopausal or early perimenopausal women in midlife (mean age = 45.7), and women were evaluated for presence of the metabolic syndrome over 7 annual follow-up visits. Women were classified as having metabolic syndrome if they met 3 of the following criteria: waist circumference &gt;88 cm, triglycerides ≥150 mg/dl, HDL &lt;50 mg/dl, SBP ≥130 or DBP ≥85 mmHg or on blood pressure medication, and fasting glucose ≥110 mg/dl or diabetic. The Childhood Trauma Questionnaire is a standardized measure that retrospectively assesses 3 domains of abuse in childhood and adolescence: emotional, physical, and sexual abuse.\\n\\nRESULTS: Approximately 34% of the participants reported a history of abuse. Cox model survival analysis showed that physical abuse was associated with incident metabolic syndrome over the course of 7 years (HR = 2.12, p = .02), adjusted for ethnicity, age at baseline, and time-dependent menopausal status. Sexual abuse and emotional abuse were unrelated to the metabolic syndrome.\\n\\nCONCLUSION: This is the first study to show that a history of childhood abuse, specifically physical abuse, is related to the development of metabolic syndrome in midlife women.","author":[{"dropping-particle":"","family":"Midei","given":"Aimee J","non-dropping-particle":"","parse-names":false,"suffix":""},{"dropping-particle":"","family":"Matthews","given":"Karen A","non-dropping-particle":"","parse-names":false,"suffix":""},{"dropping-particle":"","family":"Chang","given":"Yue-Fang","non-dropping-particle":"","parse-names":false,"suffix":""},{"dropping-particle":"","family":"Bromberger","given":"Joyce T","non-dropping-particle":"","parse-names":false,"suffix":""}],"container-title":"Health psychology : official journal of the Division of Health Psychology, American Psychological Association","id":"ITEM-1","issue":"2","issued":{"date-parts":[["2013"]]},"page":"121-7","title":"Childhood physical abuse is associated with incident metabolic syndrome in mid-life women.","type":"article-journal","volume":"32"},"uris":["http://www.mendeley.com/documents/?uuid=e710f827-a2dd-47fa-b18e-74c545c0ff7e"]}],"mendeley":{"formattedCitation":"[64]","plainTextFormattedCitation":"[64]","previouslyFormattedCitation":"[64]"},"properties":{"noteIndex":0},"schema":"https://github.com/citation-style-language/schema/raw/master/csl-citation.json"}</w:instrText>
            </w:r>
            <w:r>
              <w:rPr>
                <w:rFonts w:ascii="Times New Roman" w:hAnsi="Times New Roman" w:cs="Times New Roman"/>
                <w:sz w:val="16"/>
                <w:szCs w:val="16"/>
              </w:rPr>
              <w:fldChar w:fldCharType="separate"/>
            </w:r>
            <w:r w:rsidRPr="00DB2AD0">
              <w:rPr>
                <w:rFonts w:ascii="Times New Roman" w:hAnsi="Times New Roman" w:cs="Times New Roman"/>
                <w:noProof/>
                <w:sz w:val="16"/>
                <w:szCs w:val="16"/>
              </w:rPr>
              <w:t>[64]</w:t>
            </w:r>
            <w:r>
              <w:rPr>
                <w:rFonts w:ascii="Times New Roman" w:hAnsi="Times New Roman" w:cs="Times New Roman"/>
                <w:sz w:val="16"/>
                <w:szCs w:val="16"/>
              </w:rPr>
              <w:fldChar w:fldCharType="end"/>
            </w:r>
          </w:p>
        </w:tc>
        <w:tc>
          <w:tcPr>
            <w:tcW w:w="851"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992"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 xml:space="preserve"> 1</w:t>
            </w:r>
          </w:p>
        </w:tc>
        <w:tc>
          <w:tcPr>
            <w:tcW w:w="885"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957"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0"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0"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Pr>
                <w:rFonts w:ascii="Times New Roman" w:hAnsi="Times New Roman" w:cs="Times New Roman"/>
                <w:sz w:val="18"/>
                <w:szCs w:val="18"/>
              </w:rPr>
              <w:t>0</w:t>
            </w:r>
          </w:p>
        </w:tc>
        <w:tc>
          <w:tcPr>
            <w:tcW w:w="885"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958" w:type="dxa"/>
            <w:tcBorders>
              <w:top w:val="single" w:sz="4" w:space="0" w:color="auto"/>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Pr>
                <w:rFonts w:ascii="Times New Roman" w:hAnsi="Times New Roman" w:cs="Times New Roman"/>
                <w:sz w:val="18"/>
                <w:szCs w:val="18"/>
              </w:rPr>
              <w:t>10</w:t>
            </w:r>
          </w:p>
        </w:tc>
      </w:tr>
      <w:tr w:rsidR="00E55435" w:rsidRPr="00966644" w:rsidTr="001248C1">
        <w:tc>
          <w:tcPr>
            <w:tcW w:w="851" w:type="dxa"/>
            <w:tcBorders>
              <w:top w:val="nil"/>
              <w:left w:val="nil"/>
              <w:bottom w:val="nil"/>
              <w:right w:val="nil"/>
            </w:tcBorders>
          </w:tcPr>
          <w:p w:rsidR="00E55435" w:rsidRPr="00E55435" w:rsidRDefault="00E55435" w:rsidP="001248C1">
            <w:pPr>
              <w:spacing w:after="160" w:line="259" w:lineRule="auto"/>
              <w:rPr>
                <w:rFonts w:ascii="Times New Roman" w:hAnsi="Times New Roman" w:cs="Times New Roman"/>
                <w:sz w:val="16"/>
                <w:szCs w:val="16"/>
              </w:rPr>
            </w:pPr>
            <w:r w:rsidRPr="00E55435">
              <w:rPr>
                <w:rFonts w:ascii="Times New Roman" w:hAnsi="Times New Roman" w:cs="Times New Roman"/>
                <w:sz w:val="16"/>
                <w:szCs w:val="16"/>
              </w:rPr>
              <w:t xml:space="preserve">Lee </w:t>
            </w:r>
            <w:r w:rsidRPr="00E55435">
              <w:rPr>
                <w:rFonts w:ascii="Times New Roman" w:hAnsi="Times New Roman" w:cs="Times New Roman"/>
                <w:i/>
                <w:sz w:val="16"/>
                <w:szCs w:val="16"/>
              </w:rPr>
              <w:t>et al</w:t>
            </w:r>
            <w:r w:rsidRPr="00E55435">
              <w:rPr>
                <w:rFonts w:ascii="Times New Roman" w:hAnsi="Times New Roman" w:cs="Times New Roman"/>
                <w:sz w:val="16"/>
                <w:szCs w:val="16"/>
              </w:rPr>
              <w:t xml:space="preserve"> 2014</w:t>
            </w:r>
            <w:r>
              <w:rPr>
                <w:rFonts w:ascii="Times New Roman" w:hAnsi="Times New Roman" w:cs="Times New Roman"/>
                <w:sz w:val="16"/>
                <w:szCs w:val="16"/>
              </w:rPr>
              <w:fldChar w:fldCharType="begin" w:fldLock="1"/>
            </w:r>
            <w:r>
              <w:rPr>
                <w:rFonts w:ascii="Times New Roman" w:hAnsi="Times New Roman" w:cs="Times New Roman"/>
                <w:sz w:val="16"/>
                <w:szCs w:val="16"/>
              </w:rPr>
              <w:instrText>ADDIN CSL_CITATION {"citationItems":[{"id":"ITEM-1","itemData":{"DOI":"10.1016/j.socscimed.2014.01.017","ISBN":"0033-3174","ISSN":"1873-5347","PMID":"24524907","abstract":"The long-term effects of childhood trauma on health are well-documented, but few population-based studies have explored how childhood trauma affects the risk of developing metabolic syndrome (MetS) in adulthood. Using data from 1234 adults in the second wave of Midlife in the United States (MIDUS), we investigate (1) the extent to which childhood abuse affects the risk of developing MetS in adulthood; (2) how the severity of different types of abuse (emotional, physical, sexual, or cumulative abuse) affects this risk; and (3) the extent to which adult socioeconomic status (SES), maladaptive stress responses, and unhealthy behaviors mediate the association. We also test whether these associations differ significantly by sex. We find that emotional and physical abuse increase the risk of developing MetS for both sexes, whereas sexual abuse is a predictor for women only. For both sexes, individuals who experienced more cumulative abuse have a greater risk of developing MetS. Adult SES partially explains the association between childhood abuse and MetS. Maladaptive stress responses and unhealthy behaviors further explain the association. Among the potential mediators, poor sleep quality was a significant pathway for men and women, while stress-induced eating was a significant pathway for women only. Our findings suggest that the well-documented health consequences of early life trauma may vary by the nature of the trauma, the victim's sex, and the coping mechanisms that he or she employs.","author":[{"dropping-particle":"","family":"Lee","given":"Chioun","non-dropping-particle":"","parse-names":false,"suffix":""},{"dropping-particle":"","family":"Tsenkova","given":"Vera","non-dropping-particle":"","parse-names":false,"suffix":""},{"dropping-particle":"","family":"Carr","given":"Deborah","non-dropping-particle":"","parse-names":false,"suffix":""}],"container-title":"Social science &amp; medicine (1982)","id":"ITEM-1","issued":{"date-parts":[["2014"]]},"page":"122-30","title":"Childhood trauma and metabolic syndrome in men and women.","type":"article-journal","volume":"105"},"uris":["http://www.mendeley.com/documents/?uuid=22c7bfa7-5bd6-45b5-a0cb-81751e3a0128"]}],"mendeley":{"formattedCitation":"[63]","plainTextFormattedCitation":"[63]","previouslyFormattedCitation":"[63]"},"properties":{"noteIndex":0},"schema":"https://github.com/citation-style-language/schema/raw/master/csl-citation.json"}</w:instrText>
            </w:r>
            <w:r>
              <w:rPr>
                <w:rFonts w:ascii="Times New Roman" w:hAnsi="Times New Roman" w:cs="Times New Roman"/>
                <w:sz w:val="16"/>
                <w:szCs w:val="16"/>
              </w:rPr>
              <w:fldChar w:fldCharType="separate"/>
            </w:r>
            <w:r w:rsidRPr="00DB2AD0">
              <w:rPr>
                <w:rFonts w:ascii="Times New Roman" w:hAnsi="Times New Roman" w:cs="Times New Roman"/>
                <w:noProof/>
                <w:sz w:val="16"/>
                <w:szCs w:val="16"/>
              </w:rPr>
              <w:t>[63]</w:t>
            </w:r>
            <w:r>
              <w:rPr>
                <w:rFonts w:ascii="Times New Roman" w:hAnsi="Times New Roman" w:cs="Times New Roman"/>
                <w:sz w:val="16"/>
                <w:szCs w:val="16"/>
              </w:rPr>
              <w:fldChar w:fldCharType="end"/>
            </w:r>
          </w:p>
        </w:tc>
        <w:tc>
          <w:tcPr>
            <w:tcW w:w="851"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992"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 xml:space="preserve"> 1</w:t>
            </w:r>
          </w:p>
        </w:tc>
        <w:tc>
          <w:tcPr>
            <w:tcW w:w="885"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957"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0"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0"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85"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958" w:type="dxa"/>
            <w:tcBorders>
              <w:top w:val="nil"/>
              <w:left w:val="nil"/>
              <w:bottom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11</w:t>
            </w:r>
          </w:p>
        </w:tc>
      </w:tr>
      <w:tr w:rsidR="00E55435" w:rsidRPr="00966644" w:rsidTr="001248C1">
        <w:tc>
          <w:tcPr>
            <w:tcW w:w="851" w:type="dxa"/>
            <w:tcBorders>
              <w:top w:val="nil"/>
              <w:left w:val="nil"/>
              <w:right w:val="nil"/>
            </w:tcBorders>
          </w:tcPr>
          <w:p w:rsidR="00E55435" w:rsidRPr="00E55435" w:rsidRDefault="00E55435" w:rsidP="001248C1">
            <w:pPr>
              <w:spacing w:after="160" w:line="259" w:lineRule="auto"/>
              <w:rPr>
                <w:rFonts w:ascii="Times New Roman" w:hAnsi="Times New Roman" w:cs="Times New Roman"/>
                <w:sz w:val="16"/>
                <w:szCs w:val="16"/>
              </w:rPr>
            </w:pPr>
            <w:proofErr w:type="spellStart"/>
            <w:r w:rsidRPr="00E55435">
              <w:rPr>
                <w:rFonts w:ascii="Times New Roman" w:hAnsi="Times New Roman" w:cs="Times New Roman"/>
                <w:bCs/>
                <w:color w:val="000000"/>
                <w:sz w:val="16"/>
                <w:szCs w:val="16"/>
              </w:rPr>
              <w:t>Willeman</w:t>
            </w:r>
            <w:proofErr w:type="spellEnd"/>
            <w:r w:rsidRPr="00E55435">
              <w:rPr>
                <w:rFonts w:ascii="Times New Roman" w:hAnsi="Times New Roman" w:cs="Times New Roman"/>
                <w:bCs/>
                <w:color w:val="000000"/>
                <w:sz w:val="16"/>
                <w:szCs w:val="16"/>
              </w:rPr>
              <w:t xml:space="preserve"> </w:t>
            </w:r>
            <w:r>
              <w:rPr>
                <w:rFonts w:ascii="Times New Roman" w:hAnsi="Times New Roman" w:cs="Times New Roman"/>
                <w:bCs/>
                <w:i/>
                <w:color w:val="000000"/>
                <w:sz w:val="16"/>
                <w:szCs w:val="16"/>
              </w:rPr>
              <w:t xml:space="preserve">et al </w:t>
            </w:r>
            <w:r w:rsidRPr="00E55435">
              <w:rPr>
                <w:rFonts w:ascii="Times New Roman" w:hAnsi="Times New Roman" w:cs="Times New Roman"/>
                <w:bCs/>
                <w:color w:val="000000"/>
                <w:sz w:val="16"/>
                <w:szCs w:val="16"/>
              </w:rPr>
              <w:t>2022</w:t>
            </w:r>
            <w:r>
              <w:rPr>
                <w:rFonts w:ascii="Times New Roman" w:hAnsi="Times New Roman" w:cs="Times New Roman"/>
                <w:bCs/>
                <w:color w:val="000000"/>
                <w:sz w:val="16"/>
                <w:szCs w:val="16"/>
              </w:rPr>
              <w:fldChar w:fldCharType="begin" w:fldLock="1"/>
            </w:r>
            <w:r>
              <w:rPr>
                <w:rFonts w:ascii="Times New Roman" w:hAnsi="Times New Roman" w:cs="Times New Roman"/>
                <w:bCs/>
                <w:color w:val="000000"/>
                <w:sz w:val="16"/>
                <w:szCs w:val="16"/>
              </w:rPr>
              <w:instrText>ADDIN CSL_CITATION {"citationItems":[{"id":"ITEM-1","itemData":{"DOI":"10.3389/fpsyg.2022.787029","ISSN":"16641078","abstract":"Background: Child maltreatment is a common negative experience and has potential long-lasting adverse consequences for mental and physical health, including increased risk for major depressive disorder (MDD) and metabolic syndrome. In addition, child maltreatment may increase the risk for comorbid physical health conditions to psychiatric conditions, with inflammation as an important mediator linking child maltreatment to poor adult health. However, it remains unresolved whether experiencing child maltreatment increases the risk for the development of comorbid metabolic syndrome to MDD. Therefore, we investigated whether child maltreatment increased the risk for comorbid metabolic syndrome to depressed mood. Subsequently, we examined whether C-reactive protein (CRP), as an inflammatory marker, mediated this association. In addition, we investigated whether effects differed between men and women. Methods: Associations were examined within cross-sectional data from the multiethnic HELIUS study (N = 21,617). Adult residents of Amsterdam, Netherlands, self-reported on child maltreatment (distinct and total number of types experienced before the age of 16 years) as well as current depressed mood (PHQ-9 score ≥ 10), and underwent physical examination to assess metabolic syndrome. The CRP levels were assessed in N = 5,998 participants. Logistic and linear regressions were applied for binary and continuous outcomes, respectively. All analyses were adjusted for relevant demographic, socioeconomic, and lifestyle characteristics, including ethnicity. Results: A higher number of maltreatment types as well as distinct types of emotional neglect, emotional abuse, and sexual abuse were significantly associated with a higher risk for current depressed mood. Child maltreatment was not significantly associated with the risk for metabolic syndrome in the whole cohort, nor within individuals with depressed mood. As child maltreatment was not significantly associated with the CRP levels, subsequent mediation analyses were not performed. No significant moderating effects by sex were observed. Conclusion: In this multiethnic urban cohort, child maltreatment was associated with a higher risk for depressed mood. Contrary to our expectations, child maltreatment was not significantly associated with an increased risk for metabolic syndrome, neither in the whole cohort nor as a comorbid condition in individuals with depressed mood. As the data were cross-sectional and came from a …","author":[{"dropping-particle":"","family":"Willemen","given":"Fabienne E.M.","non-dropping-particle":"","parse-names":false,"suffix":""},{"dropping-particle":"","family":"Zuiden","given":"Mirjam","non-dropping-particle":"van","parse-names":false,"suffix":""},{"dropping-particle":"","family":"Zantvoord","given":"Jasper B.","non-dropping-particle":"","parse-names":false,"suffix":""},{"dropping-particle":"","family":"Rooij","given":"Susanne R.","non-dropping-particle":"de","parse-names":false,"suffix":""},{"dropping-particle":"","family":"Born","given":"Bert Jan H.","non-dropping-particle":"van den","parse-names":false,"suffix":""},{"dropping-particle":"","family":"Hak","given":"A. Elisabeth","non-dropping-particle":"","parse-names":false,"suffix":""},{"dropping-particle":"","family":"Thomaes","given":"Kathleen","non-dropping-particle":"","parse-names":false,"suffix":""},{"dropping-particle":"","family":"Segeren","given":"Menno","non-dropping-particle":"","parse-names":false,"suffix":""},{"dropping-particle":"","family":"Elsenburg","given":"Leonie K.","non-dropping-particle":"","parse-names":false,"suffix":""},{"dropping-particle":"","family":"Lok","given":"Anja","non-dropping-particle":"","parse-names":false,"suffix":""}],"container-title":"Frontiers in Psychology","id":"ITEM-1","issued":{"date-parts":[["2022"]]},"title":"Associations Between Child Maltreatment, Inflammation, and Comorbid Metabolic Syndrome to Depressed Mood in a Multiethnic Urban Population: The HELIUS Study","type":"article-journal"},"uris":["http://www.mendeley.com/documents/?uuid=356fa430-7c9a-4b3c-b8a3-ba77da1e3977"]}],"mendeley":{"formattedCitation":"[67]","plainTextFormattedCitation":"[67]"},"properties":{"noteIndex":0},"schema":"https://github.com/citation-style-language/schema/raw/master/csl-citation.json"}</w:instrText>
            </w:r>
            <w:r>
              <w:rPr>
                <w:rFonts w:ascii="Times New Roman" w:hAnsi="Times New Roman" w:cs="Times New Roman"/>
                <w:bCs/>
                <w:color w:val="000000"/>
                <w:sz w:val="16"/>
                <w:szCs w:val="16"/>
              </w:rPr>
              <w:fldChar w:fldCharType="separate"/>
            </w:r>
            <w:r w:rsidRPr="00DB2AD0">
              <w:rPr>
                <w:rFonts w:ascii="Times New Roman" w:hAnsi="Times New Roman" w:cs="Times New Roman"/>
                <w:bCs/>
                <w:noProof/>
                <w:color w:val="000000"/>
                <w:sz w:val="16"/>
                <w:szCs w:val="16"/>
              </w:rPr>
              <w:t>[67]</w:t>
            </w:r>
            <w:r>
              <w:rPr>
                <w:rFonts w:ascii="Times New Roman" w:hAnsi="Times New Roman" w:cs="Times New Roman"/>
                <w:bCs/>
                <w:color w:val="000000"/>
                <w:sz w:val="16"/>
                <w:szCs w:val="16"/>
              </w:rPr>
              <w:fldChar w:fldCharType="end"/>
            </w:r>
          </w:p>
        </w:tc>
        <w:tc>
          <w:tcPr>
            <w:tcW w:w="851"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992"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85"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957"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0</w:t>
            </w:r>
          </w:p>
        </w:tc>
        <w:tc>
          <w:tcPr>
            <w:tcW w:w="850"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0"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1</w:t>
            </w:r>
          </w:p>
        </w:tc>
        <w:tc>
          <w:tcPr>
            <w:tcW w:w="851"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Pr>
                <w:rFonts w:ascii="Times New Roman" w:hAnsi="Times New Roman" w:cs="Times New Roman"/>
                <w:sz w:val="18"/>
                <w:szCs w:val="18"/>
              </w:rPr>
              <w:t>0</w:t>
            </w:r>
          </w:p>
        </w:tc>
        <w:tc>
          <w:tcPr>
            <w:tcW w:w="885"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Pr>
                <w:rFonts w:ascii="Times New Roman" w:hAnsi="Times New Roman" w:cs="Times New Roman"/>
                <w:sz w:val="18"/>
                <w:szCs w:val="18"/>
              </w:rPr>
              <w:t>1</w:t>
            </w:r>
          </w:p>
        </w:tc>
        <w:tc>
          <w:tcPr>
            <w:tcW w:w="958" w:type="dxa"/>
            <w:tcBorders>
              <w:top w:val="nil"/>
              <w:left w:val="nil"/>
              <w:right w:val="nil"/>
            </w:tcBorders>
          </w:tcPr>
          <w:p w:rsidR="00E55435" w:rsidRPr="00966644" w:rsidRDefault="00E55435" w:rsidP="001248C1">
            <w:pPr>
              <w:spacing w:after="160" w:line="259" w:lineRule="auto"/>
              <w:rPr>
                <w:rFonts w:ascii="Times New Roman" w:hAnsi="Times New Roman" w:cs="Times New Roman"/>
                <w:sz w:val="18"/>
                <w:szCs w:val="18"/>
              </w:rPr>
            </w:pPr>
            <w:r w:rsidRPr="00966644">
              <w:rPr>
                <w:rFonts w:ascii="Times New Roman" w:hAnsi="Times New Roman" w:cs="Times New Roman"/>
                <w:sz w:val="18"/>
                <w:szCs w:val="18"/>
              </w:rPr>
              <w:t>9</w:t>
            </w:r>
          </w:p>
        </w:tc>
      </w:tr>
    </w:tbl>
    <w:p w:rsidR="00FB3A8C" w:rsidRPr="00966644" w:rsidRDefault="00FB3A8C" w:rsidP="00FB3A8C">
      <w:pPr>
        <w:rPr>
          <w:rFonts w:ascii="Times New Roman" w:hAnsi="Times New Roman" w:cs="Times New Roman"/>
          <w:bCs/>
          <w:sz w:val="24"/>
          <w:szCs w:val="24"/>
        </w:rPr>
      </w:pPr>
      <w:bookmarkStart w:id="1" w:name="_GoBack"/>
    </w:p>
    <w:bookmarkEnd w:id="1"/>
    <w:p w:rsidR="00FB3A8C" w:rsidRPr="00966644" w:rsidRDefault="00FB3A8C" w:rsidP="00FB3A8C">
      <w:pPr>
        <w:rPr>
          <w:rFonts w:ascii="Times New Roman" w:hAnsi="Times New Roman" w:cs="Times New Roman"/>
          <w:bCs/>
          <w:sz w:val="24"/>
          <w:szCs w:val="24"/>
        </w:rPr>
      </w:pPr>
    </w:p>
    <w:p w:rsidR="00FB3A8C" w:rsidRPr="00966644" w:rsidRDefault="00FB3A8C" w:rsidP="00FB3A8C">
      <w:pPr>
        <w:rPr>
          <w:rFonts w:ascii="Times New Roman" w:hAnsi="Times New Roman" w:cs="Times New Roman"/>
          <w:bCs/>
          <w:sz w:val="24"/>
          <w:szCs w:val="24"/>
        </w:rPr>
      </w:pPr>
    </w:p>
    <w:p w:rsidR="00FB3A8C" w:rsidRPr="00966644" w:rsidRDefault="00FB3A8C" w:rsidP="00FB3A8C">
      <w:pPr>
        <w:suppressAutoHyphens/>
        <w:autoSpaceDN w:val="0"/>
        <w:spacing w:after="160" w:line="480" w:lineRule="auto"/>
        <w:jc w:val="both"/>
        <w:textAlignment w:val="baseline"/>
        <w:rPr>
          <w:rFonts w:ascii="Times New Roman" w:eastAsia="Calibri" w:hAnsi="Times New Roman" w:cs="Times New Roman"/>
          <w:bCs/>
          <w:sz w:val="24"/>
          <w:szCs w:val="24"/>
        </w:rPr>
      </w:pPr>
      <w:r w:rsidRPr="00966644">
        <w:rPr>
          <w:rFonts w:ascii="Times New Roman" w:eastAsia="Calibri" w:hAnsi="Times New Roman" w:cs="Times New Roman"/>
          <w:sz w:val="24"/>
          <w:szCs w:val="24"/>
        </w:rPr>
        <w:t xml:space="preserve">Table </w:t>
      </w:r>
      <w:r>
        <w:rPr>
          <w:rFonts w:ascii="Times New Roman" w:eastAsia="Calibri" w:hAnsi="Times New Roman" w:cs="Times New Roman"/>
          <w:sz w:val="24"/>
          <w:szCs w:val="24"/>
        </w:rPr>
        <w:t>S</w:t>
      </w:r>
      <w:r w:rsidRPr="00966644">
        <w:rPr>
          <w:rFonts w:ascii="Times New Roman" w:eastAsia="Calibri" w:hAnsi="Times New Roman" w:cs="Times New Roman"/>
          <w:sz w:val="24"/>
          <w:szCs w:val="24"/>
        </w:rPr>
        <w:t xml:space="preserve">3 </w:t>
      </w:r>
      <w:r w:rsidRPr="00966644">
        <w:rPr>
          <w:rFonts w:ascii="Times New Roman" w:eastAsia="Calibri" w:hAnsi="Times New Roman" w:cs="Times New Roman"/>
          <w:bCs/>
          <w:sz w:val="24"/>
          <w:szCs w:val="24"/>
        </w:rPr>
        <w:t xml:space="preserve">Methodological qualities of prospective studies </w:t>
      </w:r>
    </w:p>
    <w:tbl>
      <w:tblPr>
        <w:tblStyle w:val="TableGrid2"/>
        <w:tblW w:w="11605" w:type="dxa"/>
        <w:tblInd w:w="-1168" w:type="dxa"/>
        <w:tblBorders>
          <w:left w:val="none" w:sz="0" w:space="0" w:color="auto"/>
          <w:right w:val="none" w:sz="0" w:space="0" w:color="auto"/>
          <w:insideH w:val="none" w:sz="0" w:space="0" w:color="auto"/>
        </w:tblBorders>
        <w:tblLayout w:type="fixed"/>
        <w:tblLook w:val="04A0" w:firstRow="1" w:lastRow="0" w:firstColumn="1" w:lastColumn="0" w:noHBand="0" w:noVBand="1"/>
      </w:tblPr>
      <w:tblGrid>
        <w:gridCol w:w="991"/>
        <w:gridCol w:w="1134"/>
        <w:gridCol w:w="1275"/>
        <w:gridCol w:w="1134"/>
        <w:gridCol w:w="1275"/>
        <w:gridCol w:w="1276"/>
        <w:gridCol w:w="1134"/>
        <w:gridCol w:w="1276"/>
        <w:gridCol w:w="1276"/>
        <w:gridCol w:w="834"/>
      </w:tblGrid>
      <w:tr w:rsidR="00974AE2" w:rsidRPr="00966644" w:rsidTr="001248C1">
        <w:trPr>
          <w:trHeight w:val="559"/>
        </w:trPr>
        <w:tc>
          <w:tcPr>
            <w:tcW w:w="991" w:type="dxa"/>
            <w:vMerge w:val="restart"/>
            <w:tcBorders>
              <w:top w:val="single" w:sz="4" w:space="0" w:color="auto"/>
              <w:bottom w:val="nil"/>
              <w:right w:val="nil"/>
            </w:tcBorders>
          </w:tcPr>
          <w:p w:rsidR="00974AE2" w:rsidRPr="00966644" w:rsidRDefault="00974AE2" w:rsidP="001248C1">
            <w:pPr>
              <w:widowControl w:val="0"/>
              <w:jc w:val="both"/>
              <w:rPr>
                <w:rFonts w:ascii="Times New Roman" w:hAnsi="Times New Roman" w:cs="Times New Roman"/>
                <w:sz w:val="18"/>
                <w:szCs w:val="18"/>
              </w:rPr>
            </w:pPr>
            <w:r w:rsidRPr="00966644">
              <w:rPr>
                <w:rFonts w:ascii="Times New Roman" w:hAnsi="Times New Roman" w:cs="Times New Roman"/>
                <w:sz w:val="18"/>
                <w:szCs w:val="18"/>
              </w:rPr>
              <w:t>Included studies</w:t>
            </w:r>
          </w:p>
        </w:tc>
        <w:tc>
          <w:tcPr>
            <w:tcW w:w="4818" w:type="dxa"/>
            <w:gridSpan w:val="4"/>
            <w:tcBorders>
              <w:top w:val="single" w:sz="4" w:space="0" w:color="auto"/>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Selection</w:t>
            </w:r>
          </w:p>
        </w:tc>
        <w:tc>
          <w:tcPr>
            <w:tcW w:w="1276" w:type="dxa"/>
            <w:tcBorders>
              <w:top w:val="single" w:sz="4" w:space="0" w:color="auto"/>
              <w:left w:val="nil"/>
              <w:bottom w:val="single" w:sz="4" w:space="0" w:color="auto"/>
              <w:right w:val="nil"/>
            </w:tcBorders>
          </w:tcPr>
          <w:p w:rsidR="00974AE2" w:rsidRPr="00966644" w:rsidRDefault="00974AE2" w:rsidP="001248C1">
            <w:pPr>
              <w:widowControl w:val="0"/>
              <w:jc w:val="both"/>
              <w:rPr>
                <w:rFonts w:ascii="Times New Roman" w:hAnsi="Times New Roman" w:cs="Times New Roman"/>
                <w:sz w:val="18"/>
                <w:szCs w:val="18"/>
              </w:rPr>
            </w:pPr>
            <w:r w:rsidRPr="00966644">
              <w:rPr>
                <w:rFonts w:ascii="Times New Roman" w:hAnsi="Times New Roman" w:cs="Times New Roman"/>
                <w:sz w:val="18"/>
                <w:szCs w:val="18"/>
              </w:rPr>
              <w:t>Comparability</w:t>
            </w:r>
          </w:p>
        </w:tc>
        <w:tc>
          <w:tcPr>
            <w:tcW w:w="4520" w:type="dxa"/>
            <w:gridSpan w:val="4"/>
            <w:tcBorders>
              <w:top w:val="single" w:sz="4" w:space="0" w:color="auto"/>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Outcome</w:t>
            </w:r>
          </w:p>
        </w:tc>
      </w:tr>
      <w:tr w:rsidR="00974AE2" w:rsidRPr="00966644" w:rsidTr="001248C1">
        <w:tc>
          <w:tcPr>
            <w:tcW w:w="991" w:type="dxa"/>
            <w:vMerge/>
            <w:tcBorders>
              <w:top w:val="nil"/>
              <w:bottom w:val="nil"/>
              <w:right w:val="nil"/>
            </w:tcBorders>
          </w:tcPr>
          <w:p w:rsidR="00974AE2" w:rsidRPr="00966644" w:rsidRDefault="00974AE2" w:rsidP="001248C1">
            <w:pPr>
              <w:widowControl w:val="0"/>
              <w:jc w:val="both"/>
              <w:rPr>
                <w:rFonts w:ascii="Times New Roman" w:hAnsi="Times New Roman" w:cs="Times New Roman"/>
                <w:sz w:val="18"/>
                <w:szCs w:val="18"/>
              </w:rPr>
            </w:pPr>
          </w:p>
        </w:tc>
        <w:tc>
          <w:tcPr>
            <w:tcW w:w="1134" w:type="dxa"/>
            <w:tcBorders>
              <w:top w:val="nil"/>
              <w:left w:val="nil"/>
              <w:bottom w:val="nil"/>
              <w:right w:val="nil"/>
            </w:tcBorders>
          </w:tcPr>
          <w:p w:rsidR="00974AE2" w:rsidRPr="00966644" w:rsidRDefault="00974AE2" w:rsidP="001248C1">
            <w:pPr>
              <w:widowControl w:val="0"/>
              <w:rPr>
                <w:rFonts w:ascii="Times New Roman" w:hAnsi="Times New Roman" w:cs="Times New Roman"/>
                <w:sz w:val="18"/>
                <w:szCs w:val="18"/>
              </w:rPr>
            </w:pPr>
            <w:r w:rsidRPr="00966644">
              <w:rPr>
                <w:rFonts w:ascii="Times New Roman" w:hAnsi="Times New Roman" w:cs="Times New Roman"/>
                <w:sz w:val="18"/>
                <w:szCs w:val="18"/>
              </w:rPr>
              <w:t>Representativeness of exposed Cohort</w:t>
            </w:r>
          </w:p>
        </w:tc>
        <w:tc>
          <w:tcPr>
            <w:tcW w:w="1275" w:type="dxa"/>
            <w:tcBorders>
              <w:top w:val="nil"/>
              <w:left w:val="nil"/>
              <w:bottom w:val="nil"/>
              <w:right w:val="nil"/>
            </w:tcBorders>
          </w:tcPr>
          <w:p w:rsidR="00974AE2" w:rsidRPr="00966644" w:rsidRDefault="00974AE2" w:rsidP="001248C1">
            <w:pPr>
              <w:widowControl w:val="0"/>
              <w:rPr>
                <w:rFonts w:ascii="Times New Roman" w:hAnsi="Times New Roman" w:cs="Times New Roman"/>
                <w:sz w:val="18"/>
                <w:szCs w:val="18"/>
              </w:rPr>
            </w:pPr>
            <w:r w:rsidRPr="00966644">
              <w:rPr>
                <w:rFonts w:ascii="Times New Roman" w:hAnsi="Times New Roman" w:cs="Times New Roman"/>
                <w:sz w:val="18"/>
                <w:szCs w:val="18"/>
              </w:rPr>
              <w:t>Selection of the Non-Exposed Cohort</w:t>
            </w:r>
          </w:p>
        </w:tc>
        <w:tc>
          <w:tcPr>
            <w:tcW w:w="1134" w:type="dxa"/>
            <w:tcBorders>
              <w:top w:val="nil"/>
              <w:left w:val="nil"/>
              <w:bottom w:val="nil"/>
              <w:right w:val="nil"/>
            </w:tcBorders>
          </w:tcPr>
          <w:p w:rsidR="00974AE2" w:rsidRPr="00966644" w:rsidRDefault="00974AE2" w:rsidP="001248C1">
            <w:pPr>
              <w:widowControl w:val="0"/>
              <w:rPr>
                <w:rFonts w:ascii="Times New Roman" w:hAnsi="Times New Roman" w:cs="Times New Roman"/>
                <w:sz w:val="18"/>
                <w:szCs w:val="18"/>
              </w:rPr>
            </w:pPr>
            <w:r w:rsidRPr="00966644">
              <w:rPr>
                <w:rFonts w:ascii="Times New Roman" w:hAnsi="Times New Roman" w:cs="Times New Roman"/>
                <w:sz w:val="18"/>
                <w:szCs w:val="18"/>
              </w:rPr>
              <w:t>Ascertainment of Exposure</w:t>
            </w:r>
          </w:p>
        </w:tc>
        <w:tc>
          <w:tcPr>
            <w:tcW w:w="1275" w:type="dxa"/>
            <w:tcBorders>
              <w:top w:val="nil"/>
              <w:left w:val="nil"/>
              <w:bottom w:val="nil"/>
              <w:right w:val="nil"/>
            </w:tcBorders>
          </w:tcPr>
          <w:p w:rsidR="00974AE2" w:rsidRPr="00966644" w:rsidRDefault="00974AE2" w:rsidP="001248C1">
            <w:pPr>
              <w:widowControl w:val="0"/>
              <w:rPr>
                <w:rFonts w:ascii="Times New Roman" w:hAnsi="Times New Roman" w:cs="Times New Roman"/>
                <w:sz w:val="18"/>
                <w:szCs w:val="18"/>
              </w:rPr>
            </w:pPr>
            <w:r w:rsidRPr="00966644">
              <w:rPr>
                <w:rFonts w:ascii="Times New Roman" w:hAnsi="Times New Roman" w:cs="Times New Roman"/>
                <w:sz w:val="18"/>
                <w:szCs w:val="18"/>
              </w:rPr>
              <w:t>outcome of interest</w:t>
            </w:r>
          </w:p>
        </w:tc>
        <w:tc>
          <w:tcPr>
            <w:tcW w:w="1276" w:type="dxa"/>
            <w:tcBorders>
              <w:top w:val="nil"/>
              <w:left w:val="nil"/>
              <w:bottom w:val="nil"/>
              <w:right w:val="nil"/>
            </w:tcBorders>
          </w:tcPr>
          <w:p w:rsidR="00974AE2" w:rsidRPr="00966644" w:rsidRDefault="00974AE2" w:rsidP="001248C1">
            <w:pPr>
              <w:widowControl w:val="0"/>
              <w:rPr>
                <w:rFonts w:ascii="Times New Roman" w:hAnsi="Times New Roman" w:cs="Times New Roman"/>
                <w:sz w:val="18"/>
                <w:szCs w:val="18"/>
              </w:rPr>
            </w:pPr>
            <w:r w:rsidRPr="00966644">
              <w:rPr>
                <w:rFonts w:ascii="Times New Roman" w:hAnsi="Times New Roman" w:cs="Times New Roman"/>
                <w:sz w:val="18"/>
                <w:szCs w:val="18"/>
              </w:rPr>
              <w:t>Comparability of Cohorts</w:t>
            </w:r>
          </w:p>
        </w:tc>
        <w:tc>
          <w:tcPr>
            <w:tcW w:w="1134" w:type="dxa"/>
            <w:tcBorders>
              <w:top w:val="nil"/>
              <w:left w:val="nil"/>
              <w:bottom w:val="nil"/>
              <w:right w:val="nil"/>
            </w:tcBorders>
          </w:tcPr>
          <w:p w:rsidR="00974AE2" w:rsidRPr="00966644" w:rsidRDefault="00974AE2" w:rsidP="001248C1">
            <w:pPr>
              <w:widowControl w:val="0"/>
              <w:rPr>
                <w:rFonts w:ascii="Times New Roman" w:hAnsi="Times New Roman" w:cs="Times New Roman"/>
                <w:sz w:val="18"/>
                <w:szCs w:val="18"/>
              </w:rPr>
            </w:pPr>
            <w:r w:rsidRPr="00966644">
              <w:rPr>
                <w:rFonts w:ascii="Times New Roman" w:hAnsi="Times New Roman" w:cs="Times New Roman"/>
                <w:sz w:val="18"/>
                <w:szCs w:val="18"/>
              </w:rPr>
              <w:t>Assessment of Outcome</w:t>
            </w:r>
          </w:p>
        </w:tc>
        <w:tc>
          <w:tcPr>
            <w:tcW w:w="1276" w:type="dxa"/>
            <w:tcBorders>
              <w:top w:val="nil"/>
              <w:left w:val="nil"/>
              <w:bottom w:val="nil"/>
              <w:right w:val="nil"/>
            </w:tcBorders>
          </w:tcPr>
          <w:p w:rsidR="00974AE2" w:rsidRPr="00966644" w:rsidRDefault="00974AE2" w:rsidP="001248C1">
            <w:pPr>
              <w:widowControl w:val="0"/>
              <w:rPr>
                <w:rFonts w:ascii="Times New Roman" w:hAnsi="Times New Roman" w:cs="Times New Roman"/>
                <w:sz w:val="18"/>
                <w:szCs w:val="18"/>
              </w:rPr>
            </w:pPr>
            <w:r w:rsidRPr="00966644">
              <w:rPr>
                <w:rFonts w:ascii="Times New Roman" w:hAnsi="Times New Roman" w:cs="Times New Roman"/>
                <w:sz w:val="18"/>
                <w:szCs w:val="18"/>
              </w:rPr>
              <w:t>Follow-up duration</w:t>
            </w:r>
          </w:p>
        </w:tc>
        <w:tc>
          <w:tcPr>
            <w:tcW w:w="1276" w:type="dxa"/>
            <w:tcBorders>
              <w:top w:val="nil"/>
              <w:left w:val="nil"/>
              <w:bottom w:val="nil"/>
              <w:right w:val="nil"/>
            </w:tcBorders>
          </w:tcPr>
          <w:p w:rsidR="00974AE2" w:rsidRPr="00966644" w:rsidRDefault="00974AE2" w:rsidP="001248C1">
            <w:pPr>
              <w:widowControl w:val="0"/>
              <w:rPr>
                <w:rFonts w:ascii="Times New Roman" w:hAnsi="Times New Roman" w:cs="Times New Roman"/>
                <w:sz w:val="18"/>
                <w:szCs w:val="18"/>
              </w:rPr>
            </w:pPr>
            <w:r w:rsidRPr="00966644">
              <w:rPr>
                <w:rFonts w:ascii="Times New Roman" w:hAnsi="Times New Roman" w:cs="Times New Roman"/>
                <w:sz w:val="18"/>
                <w:szCs w:val="18"/>
              </w:rPr>
              <w:t xml:space="preserve">Adequacy of </w:t>
            </w:r>
          </w:p>
          <w:p w:rsidR="00974AE2" w:rsidRPr="00966644" w:rsidRDefault="00974AE2" w:rsidP="001248C1">
            <w:pPr>
              <w:widowControl w:val="0"/>
              <w:rPr>
                <w:rFonts w:ascii="Times New Roman" w:hAnsi="Times New Roman" w:cs="Times New Roman"/>
                <w:sz w:val="18"/>
                <w:szCs w:val="18"/>
              </w:rPr>
            </w:pPr>
            <w:r w:rsidRPr="00966644">
              <w:rPr>
                <w:rFonts w:ascii="Times New Roman" w:hAnsi="Times New Roman" w:cs="Times New Roman"/>
                <w:sz w:val="18"/>
                <w:szCs w:val="18"/>
              </w:rPr>
              <w:t>Follow-up Cohorts</w:t>
            </w:r>
          </w:p>
        </w:tc>
        <w:tc>
          <w:tcPr>
            <w:tcW w:w="834" w:type="dxa"/>
            <w:tcBorders>
              <w:top w:val="nil"/>
              <w:left w:val="nil"/>
              <w:bottom w:val="nil"/>
              <w:right w:val="nil"/>
            </w:tcBorders>
          </w:tcPr>
          <w:p w:rsidR="00974AE2" w:rsidRPr="00966644" w:rsidRDefault="00974AE2" w:rsidP="001248C1">
            <w:pPr>
              <w:rPr>
                <w:rFonts w:ascii="Times New Roman" w:hAnsi="Times New Roman" w:cs="Times New Roman"/>
                <w:sz w:val="18"/>
                <w:szCs w:val="18"/>
              </w:rPr>
            </w:pPr>
            <w:r w:rsidRPr="00966644">
              <w:rPr>
                <w:rFonts w:ascii="Times New Roman" w:hAnsi="Times New Roman" w:cs="Times New Roman"/>
                <w:sz w:val="18"/>
                <w:szCs w:val="18"/>
              </w:rPr>
              <w:t xml:space="preserve">Quality </w:t>
            </w:r>
          </w:p>
          <w:p w:rsidR="00974AE2" w:rsidRPr="00966644" w:rsidRDefault="00974AE2" w:rsidP="001248C1">
            <w:pPr>
              <w:rPr>
                <w:rFonts w:ascii="Times New Roman" w:hAnsi="Times New Roman" w:cs="Times New Roman"/>
                <w:sz w:val="18"/>
                <w:szCs w:val="18"/>
              </w:rPr>
            </w:pPr>
            <w:r w:rsidRPr="00966644">
              <w:rPr>
                <w:rFonts w:ascii="Times New Roman" w:hAnsi="Times New Roman" w:cs="Times New Roman"/>
                <w:sz w:val="18"/>
                <w:szCs w:val="18"/>
              </w:rPr>
              <w:t>score</w:t>
            </w:r>
          </w:p>
          <w:p w:rsidR="00974AE2" w:rsidRPr="00966644" w:rsidRDefault="00974AE2" w:rsidP="001248C1">
            <w:pPr>
              <w:widowControl w:val="0"/>
              <w:rPr>
                <w:rFonts w:ascii="Times New Roman" w:hAnsi="Times New Roman" w:cs="Times New Roman"/>
                <w:sz w:val="18"/>
                <w:szCs w:val="18"/>
              </w:rPr>
            </w:pPr>
          </w:p>
        </w:tc>
      </w:tr>
      <w:tr w:rsidR="00974AE2" w:rsidRPr="00966644" w:rsidTr="001248C1">
        <w:tc>
          <w:tcPr>
            <w:tcW w:w="991" w:type="dxa"/>
            <w:tcBorders>
              <w:top w:val="nil"/>
              <w:bottom w:val="nil"/>
              <w:right w:val="nil"/>
            </w:tcBorders>
          </w:tcPr>
          <w:p w:rsidR="00974AE2" w:rsidRPr="00546BEE" w:rsidRDefault="00974AE2" w:rsidP="001248C1">
            <w:pPr>
              <w:widowControl w:val="0"/>
              <w:jc w:val="both"/>
              <w:rPr>
                <w:rFonts w:ascii="Times New Roman" w:hAnsi="Times New Roman" w:cs="Times New Roman"/>
                <w:sz w:val="16"/>
                <w:szCs w:val="16"/>
              </w:rPr>
            </w:pPr>
            <w:r w:rsidRPr="00546BEE">
              <w:rPr>
                <w:rFonts w:ascii="Times New Roman" w:hAnsi="Times New Roman" w:cs="Times New Roman"/>
                <w:bCs/>
                <w:color w:val="000000"/>
                <w:sz w:val="16"/>
                <w:szCs w:val="16"/>
              </w:rPr>
              <w:t xml:space="preserve">Li L </w:t>
            </w:r>
            <w:r w:rsidRPr="00546BEE">
              <w:rPr>
                <w:rFonts w:ascii="Times New Roman" w:hAnsi="Times New Roman" w:cs="Times New Roman"/>
                <w:bCs/>
                <w:i/>
                <w:color w:val="000000"/>
                <w:sz w:val="16"/>
                <w:szCs w:val="16"/>
              </w:rPr>
              <w:t>et al</w:t>
            </w:r>
            <w:r w:rsidRPr="00546BEE">
              <w:rPr>
                <w:rFonts w:ascii="Times New Roman" w:hAnsi="Times New Roman" w:cs="Times New Roman"/>
                <w:bCs/>
                <w:color w:val="000000"/>
                <w:sz w:val="16"/>
                <w:szCs w:val="16"/>
              </w:rPr>
              <w:t xml:space="preserve"> 2019 </w:t>
            </w:r>
            <w:r w:rsidRPr="00546BEE">
              <w:rPr>
                <w:rFonts w:ascii="Times New Roman" w:hAnsi="Times New Roman" w:cs="Times New Roman"/>
                <w:bCs/>
                <w:color w:val="000000"/>
                <w:sz w:val="16"/>
                <w:szCs w:val="16"/>
              </w:rPr>
              <w:fldChar w:fldCharType="begin" w:fldLock="1"/>
            </w:r>
            <w:r w:rsidRPr="00546BEE">
              <w:rPr>
                <w:rFonts w:ascii="Times New Roman" w:hAnsi="Times New Roman" w:cs="Times New Roman"/>
                <w:bCs/>
                <w:color w:val="000000"/>
                <w:sz w:val="16"/>
                <w:szCs w:val="16"/>
              </w:rPr>
              <w:instrText>ADDIN CSL_CITATION {"citationItems":[{"id":"ITEM-1","itemData":{"DOI":"10.1136/bmjopen-2018-024079","ISSN":"20446055","PMID":"30904846","abstract":"Objectives Research on associations between childhood maltreatment and adult cardiometabolic disease risk is sparse. We aimed to investigate associations between different forms of child maltreatment and mid-Adult cardiometabolic markers and whether potential intermediaries could account for the associations observed. Setting 1958 British birth cohort. Participants Approximately 9000 cohort members with data on cardiometabolic markers. Outcomes Adult (45y) cardiometabolic markers (blood pressure, lipids and glycated haemoglobin [HbA 1c ]). Results Seventeen per cent of participants were identified as neglected; 6.1%, 1.6% and 10.0% were identified as experiencing physical, sexual and psychological abuse, respectively. Childhood neglect and physical abuse were associated with high body mass index (BMI) and large waist circumference when adjusting for early-life covariates. For neglect, the adjusted odds ratio (AOR) was 1.16 (95% CI: 1.02 to 1.32) and 1.15 (1.02 to 1.30) for general and central obesity, respectively, and for physical abuse, the respective AOR was 1.36 (1.13 to 1.64) and 1.38 (1.16 to 1.65). Neglect was also associated with raised triglycerides by 3.9 (0.3 to 7.5)% and HbA 1c by 1.2 (0.4 to 2.0)%, and among females, lower high-density lipoprotein cholesterol (HDL-c) by 0.05 (0.01 to 0.08)mmol/L after adjustment. For physical abuse, the AOR was 1.25 (1.00 to 1.56) for high low-density lipoprotein cholesterol, HbA 1c was raised by 2.5 (0.7 to 4.3)% (in males) and HDL-c was lower by 0.06 (0.01 to 0.12)mmol/L (in females). Associations for sexual abuse were similar to those for physical abuse but 95% CIs were wide. For psychological abuse, the AOR for elevated triglycerides was 1.21 (1.02 to 1.44) and HDL-c was lower by 0.04 (0.01 to 0.07)mmol/L. Maltreatments were not associated with raised blood pressure. In analyses of potential intermediary factors, several associations attenuated after adjustment for adult lifestyles (mainly smoking and alcohol consumption rather than physical activity) and child-To-Adult BMI. Conclusions Childhood maltreatments, particularly neglect and physical abuse, were associated with greater adiposity and poorer lipid and HbA 1c profiles decades later in adulthood. Associations were modest but independent of early-life factors linked to these outcomes. Findings implicate adult lifestyles as an important intermediary between child maltreatment and outcomes.","author":[{"dropping-particle":"","family":"Li","given":"Leah","non-dropping-particle":"","parse-names":false,"suffix":""},{"dropping-particle":"","family":"Pinto Pereira","given":"Snehal M.","non-dropping-particle":"","parse-names":false,"suffix":""},{"dropping-particle":"","family":"Power","given":"Christine","non-dropping-particle":"","parse-names":false,"suffix":""}],"container-title":"BMJ Open","id":"ITEM-1","issued":{"date-parts":[["2019"]]},"title":"Childhood maltreatment and biomarkers for cardiometabolic disease in mid-Adulthood in a prospective British birth cohort: Associations and potential explanations","type":"article-journal"},"uris":["http://www.mendeley.com/documents/?uuid=a4d288c4-c874-4128-82ae-ef3d0e88e66e"]}],"mendeley":{"formattedCitation":"[65]","plainTextFormattedCitation":"[65]","previouslyFormattedCitation":"[65]"},"properties":{"noteIndex":0},"schema":"https://github.com/citation-style-language/schema/raw/master/csl-citation.json"}</w:instrText>
            </w:r>
            <w:r w:rsidRPr="00546BEE">
              <w:rPr>
                <w:rFonts w:ascii="Times New Roman" w:hAnsi="Times New Roman" w:cs="Times New Roman"/>
                <w:bCs/>
                <w:color w:val="000000"/>
                <w:sz w:val="16"/>
                <w:szCs w:val="16"/>
              </w:rPr>
              <w:fldChar w:fldCharType="separate"/>
            </w:r>
            <w:r w:rsidRPr="00546BEE">
              <w:rPr>
                <w:rFonts w:ascii="Times New Roman" w:hAnsi="Times New Roman" w:cs="Times New Roman"/>
                <w:bCs/>
                <w:noProof/>
                <w:color w:val="000000"/>
                <w:sz w:val="16"/>
                <w:szCs w:val="16"/>
              </w:rPr>
              <w:t>[65]</w:t>
            </w:r>
            <w:r w:rsidRPr="00546BEE">
              <w:rPr>
                <w:rFonts w:ascii="Times New Roman" w:hAnsi="Times New Roman" w:cs="Times New Roman"/>
                <w:bCs/>
                <w:color w:val="000000"/>
                <w:sz w:val="16"/>
                <w:szCs w:val="16"/>
              </w:rPr>
              <w:fldChar w:fldCharType="end"/>
            </w:r>
          </w:p>
        </w:tc>
        <w:tc>
          <w:tcPr>
            <w:tcW w:w="1134" w:type="dxa"/>
            <w:tcBorders>
              <w:top w:val="nil"/>
              <w:left w:val="nil"/>
              <w:bottom w:val="nil"/>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275" w:type="dxa"/>
            <w:tcBorders>
              <w:top w:val="nil"/>
              <w:left w:val="nil"/>
              <w:bottom w:val="nil"/>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134" w:type="dxa"/>
            <w:tcBorders>
              <w:top w:val="nil"/>
              <w:left w:val="nil"/>
              <w:bottom w:val="nil"/>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275" w:type="dxa"/>
            <w:tcBorders>
              <w:top w:val="nil"/>
              <w:left w:val="nil"/>
              <w:bottom w:val="nil"/>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276" w:type="dxa"/>
            <w:tcBorders>
              <w:top w:val="nil"/>
              <w:left w:val="nil"/>
              <w:bottom w:val="nil"/>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134" w:type="dxa"/>
            <w:tcBorders>
              <w:top w:val="nil"/>
              <w:left w:val="nil"/>
              <w:bottom w:val="nil"/>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276" w:type="dxa"/>
            <w:tcBorders>
              <w:top w:val="nil"/>
              <w:left w:val="nil"/>
              <w:bottom w:val="nil"/>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276" w:type="dxa"/>
            <w:tcBorders>
              <w:top w:val="nil"/>
              <w:left w:val="nil"/>
              <w:bottom w:val="nil"/>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834" w:type="dxa"/>
            <w:tcBorders>
              <w:top w:val="nil"/>
              <w:left w:val="nil"/>
              <w:bottom w:val="nil"/>
              <w:right w:val="nil"/>
            </w:tcBorders>
          </w:tcPr>
          <w:p w:rsidR="00974AE2" w:rsidRPr="00966644" w:rsidRDefault="00974AE2" w:rsidP="001248C1">
            <w:pPr>
              <w:widowControl w:val="0"/>
              <w:tabs>
                <w:tab w:val="right" w:pos="2207"/>
              </w:tabs>
              <w:jc w:val="both"/>
              <w:rPr>
                <w:rFonts w:ascii="Times New Roman" w:hAnsi="Times New Roman" w:cs="Times New Roman"/>
                <w:sz w:val="18"/>
                <w:szCs w:val="18"/>
              </w:rPr>
            </w:pPr>
            <w:r>
              <w:rPr>
                <w:rFonts w:ascii="Times New Roman" w:hAnsi="Times New Roman" w:cs="Times New Roman"/>
                <w:sz w:val="18"/>
                <w:szCs w:val="18"/>
              </w:rPr>
              <w:t>8</w:t>
            </w:r>
          </w:p>
        </w:tc>
      </w:tr>
      <w:tr w:rsidR="00974AE2" w:rsidRPr="00966644" w:rsidTr="001248C1">
        <w:trPr>
          <w:trHeight w:val="58"/>
        </w:trPr>
        <w:tc>
          <w:tcPr>
            <w:tcW w:w="991" w:type="dxa"/>
            <w:tcBorders>
              <w:top w:val="nil"/>
              <w:bottom w:val="single" w:sz="4" w:space="0" w:color="auto"/>
              <w:right w:val="nil"/>
            </w:tcBorders>
          </w:tcPr>
          <w:p w:rsidR="00974AE2" w:rsidRPr="00546BEE" w:rsidRDefault="00974AE2" w:rsidP="001248C1">
            <w:pPr>
              <w:widowControl w:val="0"/>
              <w:jc w:val="both"/>
              <w:rPr>
                <w:rFonts w:ascii="Times New Roman" w:hAnsi="Times New Roman" w:cs="Times New Roman"/>
                <w:sz w:val="16"/>
                <w:szCs w:val="16"/>
              </w:rPr>
            </w:pPr>
            <w:r w:rsidRPr="00546BEE">
              <w:rPr>
                <w:rFonts w:ascii="Times New Roman" w:hAnsi="Times New Roman" w:cs="Times New Roman"/>
                <w:bCs/>
                <w:color w:val="000000"/>
                <w:sz w:val="16"/>
                <w:szCs w:val="16"/>
              </w:rPr>
              <w:t xml:space="preserve">Danese </w:t>
            </w:r>
            <w:r w:rsidRPr="00546BEE">
              <w:rPr>
                <w:rFonts w:ascii="Times New Roman" w:hAnsi="Times New Roman" w:cs="Times New Roman"/>
                <w:bCs/>
                <w:i/>
                <w:color w:val="000000"/>
                <w:sz w:val="16"/>
                <w:szCs w:val="16"/>
              </w:rPr>
              <w:t>et al</w:t>
            </w:r>
            <w:r w:rsidRPr="00546BEE">
              <w:rPr>
                <w:rFonts w:ascii="Times New Roman" w:hAnsi="Times New Roman" w:cs="Times New Roman"/>
                <w:bCs/>
                <w:color w:val="000000"/>
                <w:sz w:val="16"/>
                <w:szCs w:val="16"/>
              </w:rPr>
              <w:t xml:space="preserve"> 2009</w:t>
            </w:r>
            <w:r w:rsidRPr="00546BEE">
              <w:rPr>
                <w:rFonts w:ascii="Times New Roman" w:hAnsi="Times New Roman" w:cs="Times New Roman"/>
                <w:bCs/>
                <w:color w:val="000000"/>
                <w:sz w:val="16"/>
                <w:szCs w:val="16"/>
              </w:rPr>
              <w:fldChar w:fldCharType="begin" w:fldLock="1"/>
            </w:r>
            <w:r w:rsidRPr="00546BEE">
              <w:rPr>
                <w:rFonts w:ascii="Times New Roman" w:hAnsi="Times New Roman" w:cs="Times New Roman"/>
                <w:bCs/>
                <w:color w:val="000000"/>
                <w:sz w:val="16"/>
                <w:szCs w:val="16"/>
              </w:rPr>
              <w:instrText>ADDIN CSL_CITATION {"citationItems":[{"id":"ITEM-1","itemData":{"DOI":"10.1001/archpediatrics.2009.214","ISBN":"1072-4710","ISSN":"10724710","PMID":"19996051","abstract":"To understand why children exposed to adverse psychosocial experiences are at elevated risk for age-related disease, such as cardiovascular disease, by testing whether adverse childhood experiences predict enduring abnormalities in stress-sensitive biological systems, namely, the nervous, immune, and endocrine/metabolic systems.","author":[{"dropping-particle":"","family":"Danese","given":"Andrea","non-dropping-particle":"","parse-names":false,"suffix":""},{"dropping-particle":"","family":"Moffitt","given":"Terrie E.","non-dropping-particle":"","parse-names":false,"suffix":""},{"dropping-particle":"","family":"Harrington","given":"Hona Lee","non-dropping-particle":"","parse-names":false,"suffix":""},{"dropping-particle":"","family":"Milne","given":"Barry J.","non-dropping-particle":"","parse-names":false,"suffix":""},{"dropping-particle":"","family":"Polanczyk","given":"Guilherme","non-dropping-particle":"","parse-names":false,"suffix":""},{"dropping-particle":"","family":"Pariante","given":"Carmine M.","non-dropping-particle":"","parse-names":false,"suffix":""},{"dropping-particle":"","family":"Poulton","given":"Richie","non-dropping-particle":"","parse-names":false,"suffix":""},{"dropping-particle":"","family":"Caspi","given":"Avshalom","non-dropping-particle":"","parse-names":false,"suffix":""}],"container-title":"Archives of Pediatrics and Adolescent Medicine","id":"ITEM-1","issue":"12","issued":{"date-parts":[["2009"]]},"page":"1135-1143","title":"Adverse childhood experiences and adult risk factors for age-related disease: Depression, inflammation, and clustering of metabolic risk markers","type":"article-journal","volume":"163"},"uris":["http://www.mendeley.com/documents/?uuid=baf35c11-fa92-4d7a-afe5-198ba8d0920b"]}],"mendeley":{"formattedCitation":"[66]","plainTextFormattedCitation":"[66]"},"properties":{"noteIndex":0},"schema":"https://github.com/citation-style-language/schema/raw/master/csl-citation.json"}</w:instrText>
            </w:r>
            <w:r w:rsidRPr="00546BEE">
              <w:rPr>
                <w:rFonts w:ascii="Times New Roman" w:hAnsi="Times New Roman" w:cs="Times New Roman"/>
                <w:bCs/>
                <w:color w:val="000000"/>
                <w:sz w:val="16"/>
                <w:szCs w:val="16"/>
              </w:rPr>
              <w:fldChar w:fldCharType="separate"/>
            </w:r>
            <w:r w:rsidRPr="00546BEE">
              <w:rPr>
                <w:rFonts w:ascii="Times New Roman" w:hAnsi="Times New Roman" w:cs="Times New Roman"/>
                <w:bCs/>
                <w:noProof/>
                <w:color w:val="000000"/>
                <w:sz w:val="16"/>
                <w:szCs w:val="16"/>
              </w:rPr>
              <w:t>[66]</w:t>
            </w:r>
            <w:r w:rsidRPr="00546BEE">
              <w:rPr>
                <w:rFonts w:ascii="Times New Roman" w:hAnsi="Times New Roman" w:cs="Times New Roman"/>
                <w:bCs/>
                <w:color w:val="000000"/>
                <w:sz w:val="16"/>
                <w:szCs w:val="16"/>
              </w:rPr>
              <w:fldChar w:fldCharType="end"/>
            </w:r>
          </w:p>
        </w:tc>
        <w:tc>
          <w:tcPr>
            <w:tcW w:w="1134" w:type="dxa"/>
            <w:tcBorders>
              <w:top w:val="nil"/>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275" w:type="dxa"/>
            <w:tcBorders>
              <w:top w:val="nil"/>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134" w:type="dxa"/>
            <w:tcBorders>
              <w:top w:val="nil"/>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Pr>
                <w:rFonts w:ascii="Times New Roman" w:hAnsi="Times New Roman" w:cs="Times New Roman"/>
                <w:sz w:val="18"/>
                <w:szCs w:val="18"/>
              </w:rPr>
              <w:t>0</w:t>
            </w:r>
          </w:p>
        </w:tc>
        <w:tc>
          <w:tcPr>
            <w:tcW w:w="1275" w:type="dxa"/>
            <w:tcBorders>
              <w:top w:val="nil"/>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276" w:type="dxa"/>
            <w:tcBorders>
              <w:top w:val="nil"/>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134" w:type="dxa"/>
            <w:tcBorders>
              <w:top w:val="nil"/>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1276" w:type="dxa"/>
            <w:tcBorders>
              <w:top w:val="nil"/>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Pr>
                <w:rFonts w:ascii="Times New Roman" w:hAnsi="Times New Roman" w:cs="Times New Roman"/>
                <w:sz w:val="18"/>
                <w:szCs w:val="18"/>
              </w:rPr>
              <w:t>1</w:t>
            </w:r>
          </w:p>
        </w:tc>
        <w:tc>
          <w:tcPr>
            <w:tcW w:w="1276" w:type="dxa"/>
            <w:tcBorders>
              <w:top w:val="nil"/>
              <w:left w:val="nil"/>
              <w:bottom w:val="single" w:sz="4" w:space="0" w:color="auto"/>
              <w:right w:val="nil"/>
            </w:tcBorders>
          </w:tcPr>
          <w:p w:rsidR="00974AE2" w:rsidRPr="00966644" w:rsidRDefault="00974AE2" w:rsidP="001248C1">
            <w:pPr>
              <w:widowControl w:val="0"/>
              <w:jc w:val="center"/>
              <w:rPr>
                <w:rFonts w:ascii="Times New Roman" w:hAnsi="Times New Roman" w:cs="Times New Roman"/>
                <w:sz w:val="18"/>
                <w:szCs w:val="18"/>
              </w:rPr>
            </w:pPr>
            <w:r w:rsidRPr="00966644">
              <w:rPr>
                <w:rFonts w:ascii="Times New Roman" w:hAnsi="Times New Roman" w:cs="Times New Roman"/>
                <w:sz w:val="18"/>
                <w:szCs w:val="18"/>
              </w:rPr>
              <w:t>1</w:t>
            </w:r>
          </w:p>
        </w:tc>
        <w:tc>
          <w:tcPr>
            <w:tcW w:w="834" w:type="dxa"/>
            <w:tcBorders>
              <w:top w:val="nil"/>
              <w:left w:val="nil"/>
              <w:bottom w:val="single" w:sz="4" w:space="0" w:color="auto"/>
              <w:right w:val="nil"/>
            </w:tcBorders>
          </w:tcPr>
          <w:p w:rsidR="00974AE2" w:rsidRPr="00966644" w:rsidRDefault="00974AE2" w:rsidP="001248C1">
            <w:pPr>
              <w:widowControl w:val="0"/>
              <w:rPr>
                <w:rFonts w:ascii="Times New Roman" w:hAnsi="Times New Roman" w:cs="Times New Roman"/>
                <w:sz w:val="18"/>
                <w:szCs w:val="18"/>
              </w:rPr>
            </w:pPr>
            <w:r>
              <w:rPr>
                <w:rFonts w:ascii="Times New Roman" w:hAnsi="Times New Roman" w:cs="Times New Roman"/>
                <w:sz w:val="18"/>
                <w:szCs w:val="18"/>
              </w:rPr>
              <w:t>7</w:t>
            </w:r>
          </w:p>
          <w:p w:rsidR="00974AE2" w:rsidRPr="00966644" w:rsidRDefault="00974AE2" w:rsidP="001248C1">
            <w:pPr>
              <w:widowControl w:val="0"/>
              <w:jc w:val="right"/>
              <w:rPr>
                <w:rFonts w:ascii="Times New Roman" w:hAnsi="Times New Roman" w:cs="Times New Roman"/>
                <w:sz w:val="18"/>
                <w:szCs w:val="18"/>
              </w:rPr>
            </w:pPr>
          </w:p>
          <w:p w:rsidR="00974AE2" w:rsidRPr="00966644" w:rsidRDefault="00974AE2" w:rsidP="001248C1">
            <w:pPr>
              <w:widowControl w:val="0"/>
              <w:jc w:val="right"/>
              <w:rPr>
                <w:rFonts w:ascii="Times New Roman" w:hAnsi="Times New Roman" w:cs="Times New Roman"/>
                <w:sz w:val="18"/>
                <w:szCs w:val="18"/>
              </w:rPr>
            </w:pPr>
          </w:p>
        </w:tc>
      </w:tr>
    </w:tbl>
    <w:p w:rsidR="00FB3A8C" w:rsidRPr="00966644" w:rsidRDefault="00FB3A8C" w:rsidP="00FB3A8C">
      <w:pPr>
        <w:rPr>
          <w:rFonts w:ascii="Times New Roman" w:hAnsi="Times New Roman" w:cs="Times New Roman"/>
          <w:sz w:val="24"/>
          <w:szCs w:val="24"/>
        </w:rPr>
      </w:pPr>
    </w:p>
    <w:p w:rsidR="00FB3A8C" w:rsidRDefault="00FB3A8C" w:rsidP="00FB3A8C"/>
    <w:p w:rsidR="00FB3A8C" w:rsidRDefault="00FB3A8C"/>
    <w:sectPr w:rsidR="00FB3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8C"/>
    <w:rsid w:val="000322E2"/>
    <w:rsid w:val="00070181"/>
    <w:rsid w:val="00167C41"/>
    <w:rsid w:val="001C37BF"/>
    <w:rsid w:val="001D1224"/>
    <w:rsid w:val="002C1974"/>
    <w:rsid w:val="0030466D"/>
    <w:rsid w:val="00353228"/>
    <w:rsid w:val="00453134"/>
    <w:rsid w:val="00546BEE"/>
    <w:rsid w:val="007766F4"/>
    <w:rsid w:val="00800D4B"/>
    <w:rsid w:val="008F6564"/>
    <w:rsid w:val="0097294D"/>
    <w:rsid w:val="00974AE2"/>
    <w:rsid w:val="00AE5FEE"/>
    <w:rsid w:val="00AF0D4B"/>
    <w:rsid w:val="00B25B89"/>
    <w:rsid w:val="00BE6B1A"/>
    <w:rsid w:val="00C925F8"/>
    <w:rsid w:val="00D22F69"/>
    <w:rsid w:val="00E55435"/>
    <w:rsid w:val="00ED0407"/>
    <w:rsid w:val="00F4511E"/>
    <w:rsid w:val="00F804F8"/>
    <w:rsid w:val="00FA35C3"/>
    <w:rsid w:val="00FB3A8C"/>
    <w:rsid w:val="00FD1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FB3A8C"/>
    <w:pPr>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3A8C"/>
    <w:pPr>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B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A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FB3A8C"/>
    <w:pPr>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B3A8C"/>
    <w:pPr>
      <w:spacing w:after="0" w:line="240" w:lineRule="auto"/>
    </w:pPr>
    <w:rPr>
      <w:rFonts w:eastAsiaTheme="minorEastAsia"/>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B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21671-DEC4-4913-9B93-362CD0AA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Bedfordshire</Company>
  <LinksUpToDate>false</LinksUpToDate>
  <CharactersWithSpaces>17795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 Osode</dc:creator>
  <cp:lastModifiedBy>Eno Osode</cp:lastModifiedBy>
  <cp:revision>6</cp:revision>
  <dcterms:created xsi:type="dcterms:W3CDTF">2024-06-10T11:40:00Z</dcterms:created>
  <dcterms:modified xsi:type="dcterms:W3CDTF">2024-06-15T21:36:00Z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3dbe1f91-1a08-3a22-9f17-b9fe7e99e23f</vt:lpwstr>
  </property>
  <property fmtid="{D5CDD505-2E9C-101B-9397-08002B2CF9AE}" pid="24" name="Mendeley Citation Style_1">
    <vt:lpwstr>http://www.zotero.org/styles/ieee</vt:lpwstr>
  </property>
</Properties>
</file>