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1CA8" w14:textId="77777777" w:rsidR="00462E26" w:rsidRPr="00DC4E13" w:rsidRDefault="00462E26" w:rsidP="00462E26">
      <w:pPr>
        <w:pStyle w:val="Heading1"/>
        <w:rPr>
          <w:color w:val="000000"/>
        </w:rPr>
      </w:pPr>
      <w:r w:rsidRPr="00DC4E13">
        <w:rPr>
          <w:color w:val="000000"/>
        </w:rPr>
        <w:t>Supplementary Materials</w:t>
      </w:r>
    </w:p>
    <w:p w14:paraId="1DD3E78B" w14:textId="301A8221" w:rsidR="00462E26" w:rsidRPr="00DC4E13" w:rsidRDefault="00462E26" w:rsidP="00462E26">
      <w:pPr>
        <w:rPr>
          <w:rFonts w:ascii="Arial" w:eastAsiaTheme="majorEastAsia" w:hAnsi="Arial" w:cstheme="majorBidi"/>
          <w:b/>
          <w:bCs/>
          <w:color w:val="000000"/>
        </w:rPr>
      </w:pPr>
    </w:p>
    <w:p w14:paraId="65667538" w14:textId="77777777" w:rsidR="00462E26" w:rsidRPr="00DC4E13" w:rsidRDefault="00462E26" w:rsidP="00462E26">
      <w:pPr>
        <w:pStyle w:val="Heading2"/>
        <w:rPr>
          <w:b w:val="0"/>
          <w:bCs/>
          <w:i w:val="0"/>
          <w:iCs/>
          <w:color w:val="000000"/>
          <w:sz w:val="22"/>
          <w:szCs w:val="22"/>
        </w:rPr>
      </w:pPr>
      <w:r w:rsidRPr="00DC4E13">
        <w:rPr>
          <w:bCs/>
          <w:i w:val="0"/>
          <w:iCs/>
          <w:color w:val="000000"/>
          <w:sz w:val="22"/>
          <w:szCs w:val="22"/>
        </w:rPr>
        <w:t>Supplementary Table 1.</w:t>
      </w:r>
      <w:r w:rsidRPr="00DC4E13">
        <w:rPr>
          <w:i w:val="0"/>
          <w:iCs/>
          <w:color w:val="000000"/>
          <w:sz w:val="22"/>
          <w:szCs w:val="22"/>
        </w:rPr>
        <w:t xml:space="preserve"> 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>Treatment characteristics of patients in the US subset previously treated with sorafenib</w:t>
      </w:r>
    </w:p>
    <w:tbl>
      <w:tblPr>
        <w:tblW w:w="6745" w:type="dxa"/>
        <w:tblLook w:val="04A0" w:firstRow="1" w:lastRow="0" w:firstColumn="1" w:lastColumn="0" w:noHBand="0" w:noVBand="1"/>
      </w:tblPr>
      <w:tblGrid>
        <w:gridCol w:w="4494"/>
        <w:gridCol w:w="2251"/>
      </w:tblGrid>
      <w:tr w:rsidR="00462E26" w:rsidRPr="00DC4E13" w14:paraId="2D2C688C" w14:textId="77777777" w:rsidTr="00A06037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ABC84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E1019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US (n=57)</w:t>
            </w:r>
          </w:p>
        </w:tc>
      </w:tr>
      <w:tr w:rsidR="00462E26" w:rsidRPr="00DC4E13" w14:paraId="640A1732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B3980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Baseline cancer characteristics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DD18B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559D4698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B68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Child–Pugh classification, n (%)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18F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2A3F01BD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1C0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DBF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17 (29.8)</w:t>
            </w:r>
          </w:p>
        </w:tc>
      </w:tr>
      <w:tr w:rsidR="00462E26" w:rsidRPr="00DC4E13" w14:paraId="5F2820B4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1F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2DC9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 (5.3)</w:t>
            </w:r>
          </w:p>
        </w:tc>
      </w:tr>
      <w:tr w:rsidR="00462E26" w:rsidRPr="00DC4E13" w14:paraId="08D9170E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B6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F4B9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(1.8)</w:t>
            </w:r>
          </w:p>
        </w:tc>
      </w:tr>
      <w:tr w:rsidR="00462E26" w:rsidRPr="00DC4E13" w14:paraId="2406E841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304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Missing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01FD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36 (63.2)</w:t>
            </w:r>
          </w:p>
        </w:tc>
      </w:tr>
      <w:tr w:rsidR="00462E26" w:rsidRPr="00DC4E13" w14:paraId="6362A676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8E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ECOG PS, n (%)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221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7BC34688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F73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0/1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374D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34 (59.6)</w:t>
            </w:r>
          </w:p>
        </w:tc>
      </w:tr>
      <w:tr w:rsidR="00462E26" w:rsidRPr="00DC4E13" w14:paraId="1BF0D3B6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CD2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≥2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9C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(1.8)</w:t>
            </w:r>
          </w:p>
        </w:tc>
      </w:tr>
      <w:tr w:rsidR="00462E26" w:rsidRPr="00DC4E13" w14:paraId="248B9B09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A6E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Missing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2E0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22 (38.6)</w:t>
            </w:r>
          </w:p>
        </w:tc>
      </w:tr>
      <w:tr w:rsidR="00462E26" w:rsidRPr="00DC4E13" w14:paraId="7FB4B414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7B1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BCLC stage, n (%)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79EF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7C709DFD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5B3A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 (Early stage)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929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(3.5)</w:t>
            </w:r>
          </w:p>
        </w:tc>
      </w:tr>
      <w:tr w:rsidR="00462E26" w:rsidRPr="00DC4E13" w14:paraId="7FF022A0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08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B (Intermediate stage)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915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5 (8.8)</w:t>
            </w:r>
          </w:p>
        </w:tc>
      </w:tr>
      <w:tr w:rsidR="00462E26" w:rsidRPr="00DC4E13" w14:paraId="0744394C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5AC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C (Advanced stage)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12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18 (31.6)</w:t>
            </w:r>
          </w:p>
        </w:tc>
      </w:tr>
      <w:tr w:rsidR="00462E26" w:rsidRPr="00DC4E13" w14:paraId="3C940818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DC91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D (End-stage)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9D3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(1.8)</w:t>
            </w:r>
          </w:p>
        </w:tc>
      </w:tr>
      <w:tr w:rsidR="00462E26" w:rsidRPr="00DC4E13" w14:paraId="636C8CC9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4A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Missing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DBD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31 (54.4)</w:t>
            </w:r>
          </w:p>
        </w:tc>
      </w:tr>
      <w:tr w:rsidR="00462E26" w:rsidRPr="00DC4E13" w14:paraId="2D4F29C9" w14:textId="77777777" w:rsidTr="00A06037">
        <w:trPr>
          <w:trHeight w:val="557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F86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Time (in months) between initial diagnosis of uHCC to start of sorafenib, median (IQR)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504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4.60 (1.5, 22.0)</w:t>
            </w:r>
          </w:p>
        </w:tc>
      </w:tr>
      <w:tr w:rsidR="00462E26" w:rsidRPr="00DC4E13" w14:paraId="451F7654" w14:textId="77777777" w:rsidTr="00A06037">
        <w:trPr>
          <w:trHeight w:val="5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C40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Duration of prior sorafenib treatment (months), median (Q1, Q3)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5F3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4.1 (2.7, 7.6)</w:t>
            </w:r>
          </w:p>
        </w:tc>
      </w:tr>
      <w:tr w:rsidR="00462E26" w:rsidRPr="00DC4E13" w14:paraId="0DA8BEF5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AF1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Initial daily dose, mg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B50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3C543B89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D7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Median (Q1, Q3)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9FB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800 (400, 800)</w:t>
            </w:r>
          </w:p>
        </w:tc>
      </w:tr>
      <w:tr w:rsidR="00462E26" w:rsidRPr="00DC4E13" w14:paraId="01DDA1B2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91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 200 mg, n (%)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AF3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(7.0)</w:t>
            </w:r>
          </w:p>
        </w:tc>
      </w:tr>
      <w:tr w:rsidR="00462E26" w:rsidRPr="00DC4E13" w14:paraId="0EFC15B3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F0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 400 mg, n (%)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81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24 (42.1)</w:t>
            </w:r>
          </w:p>
        </w:tc>
      </w:tr>
      <w:tr w:rsidR="00462E26" w:rsidRPr="00DC4E13" w14:paraId="17C22B53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3F7A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 800 mg, n (%)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282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29 (50.9)</w:t>
            </w:r>
          </w:p>
        </w:tc>
      </w:tr>
      <w:tr w:rsidR="00462E26" w:rsidRPr="00DC4E13" w14:paraId="6B8285E5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9C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Highest daily dose, mg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FE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4C16140A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9403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Median (Q1, Q3)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E74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800 (800, 800)</w:t>
            </w:r>
          </w:p>
        </w:tc>
      </w:tr>
      <w:tr w:rsidR="00462E26" w:rsidRPr="00DC4E13" w14:paraId="7AE0F59E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92B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 400 mg                                                      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0F4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(3.5)</w:t>
            </w:r>
          </w:p>
        </w:tc>
      </w:tr>
      <w:tr w:rsidR="00462E26" w:rsidRPr="00DC4E13" w14:paraId="0579F780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9C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 600 mg                                                      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859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(3.5)</w:t>
            </w:r>
          </w:p>
        </w:tc>
      </w:tr>
      <w:tr w:rsidR="00462E26" w:rsidRPr="00DC4E13" w14:paraId="3A06A2A3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A2D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 800 mg                                                   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A6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21 (36.8)</w:t>
            </w:r>
          </w:p>
        </w:tc>
      </w:tr>
      <w:tr w:rsidR="00462E26" w:rsidRPr="00DC4E13" w14:paraId="79814326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C4D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Missing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AB9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32 (56.1)</w:t>
            </w:r>
          </w:p>
        </w:tc>
      </w:tr>
      <w:tr w:rsidR="00462E26" w:rsidRPr="00DC4E13" w14:paraId="1A3351D4" w14:textId="77777777" w:rsidTr="00A06037">
        <w:trPr>
          <w:trHeight w:val="5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8B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Changes to the initial dose during treatment with sorafenib, n (%)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E3FF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4323DFCD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019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D3F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25 (43.9)</w:t>
            </w:r>
          </w:p>
        </w:tc>
      </w:tr>
      <w:tr w:rsidR="00462E26" w:rsidRPr="00DC4E13" w14:paraId="7546F491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A31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D7F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32 (56.1)</w:t>
            </w:r>
          </w:p>
        </w:tc>
      </w:tr>
      <w:tr w:rsidR="00462E26" w:rsidRPr="00DC4E13" w14:paraId="5EB606DA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4B7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Reason for discontinuation, n (%)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30E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4266568A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97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Adverse event/toxicity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66D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10 (17.5)</w:t>
            </w:r>
          </w:p>
        </w:tc>
      </w:tr>
      <w:tr w:rsidR="00462E26" w:rsidRPr="00DC4E13" w14:paraId="2C983455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B44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Progression, recurrence/relapse of HCC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51A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36 (63.2)</w:t>
            </w:r>
          </w:p>
        </w:tc>
      </w:tr>
      <w:tr w:rsidR="00462E26" w:rsidRPr="00DC4E13" w14:paraId="57B10B02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15A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Switch to other treatment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6AE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9 (15.8)</w:t>
            </w:r>
          </w:p>
        </w:tc>
      </w:tr>
      <w:tr w:rsidR="00462E26" w:rsidRPr="00DC4E13" w14:paraId="16FA060C" w14:textId="77777777" w:rsidTr="00A06037">
        <w:trPr>
          <w:trHeight w:val="2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37D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Others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DCB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(3.5)</w:t>
            </w:r>
          </w:p>
        </w:tc>
      </w:tr>
    </w:tbl>
    <w:p w14:paraId="10C6B0E9" w14:textId="77777777" w:rsidR="00462E26" w:rsidRPr="00DC4E13" w:rsidRDefault="00462E26" w:rsidP="00462E2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Abbreviations: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BCLC, Barcelona Clinic Liver Cancer; ECOG PS, Eastern Cooperative Oncology Group Performance Status; HCC, hepatocellular carcinoma; IQR, interquartile range; Q, quartile; uHCC, unresectable HCC; US, United States.</w:t>
      </w:r>
    </w:p>
    <w:p w14:paraId="317D971D" w14:textId="77777777" w:rsidR="00462E26" w:rsidRPr="00DC4E13" w:rsidRDefault="00462E26" w:rsidP="00462E26">
      <w:pPr>
        <w:rPr>
          <w:rFonts w:ascii="Arial" w:hAnsi="Arial" w:cs="Arial"/>
          <w:color w:val="000000"/>
        </w:rPr>
      </w:pPr>
    </w:p>
    <w:p w14:paraId="3A1AFD6A" w14:textId="77777777" w:rsidR="00462E26" w:rsidRPr="00DC4E13" w:rsidRDefault="00462E26" w:rsidP="00462E26">
      <w:pPr>
        <w:rPr>
          <w:rFonts w:ascii="Arial" w:hAnsi="Arial" w:cs="Arial"/>
          <w:color w:val="000000"/>
        </w:rPr>
      </w:pPr>
      <w:r w:rsidRPr="00DC4E13">
        <w:rPr>
          <w:rFonts w:ascii="Arial" w:hAnsi="Arial" w:cs="Arial"/>
          <w:color w:val="000000"/>
        </w:rPr>
        <w:br w:type="page"/>
      </w:r>
    </w:p>
    <w:p w14:paraId="3878A918" w14:textId="77777777" w:rsidR="00462E26" w:rsidRPr="00DC4E13" w:rsidRDefault="00462E26" w:rsidP="00462E26">
      <w:pPr>
        <w:pStyle w:val="Heading2"/>
        <w:rPr>
          <w:b w:val="0"/>
          <w:bCs/>
          <w:i w:val="0"/>
          <w:iCs/>
          <w:color w:val="000000"/>
          <w:sz w:val="22"/>
          <w:szCs w:val="22"/>
        </w:rPr>
      </w:pPr>
      <w:r w:rsidRPr="00DC4E13">
        <w:rPr>
          <w:bCs/>
          <w:i w:val="0"/>
          <w:iCs/>
          <w:color w:val="000000"/>
          <w:sz w:val="22"/>
          <w:szCs w:val="22"/>
        </w:rPr>
        <w:t>Supplementary Table 2.</w:t>
      </w:r>
      <w:r w:rsidRPr="00DC4E13">
        <w:rPr>
          <w:i w:val="0"/>
          <w:iCs/>
          <w:color w:val="000000"/>
          <w:sz w:val="22"/>
          <w:szCs w:val="22"/>
        </w:rPr>
        <w:t xml:space="preserve"> 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>Adverse events related to sorafenib in patients in the US subset previously treated with sorafenib</w:t>
      </w:r>
    </w:p>
    <w:tbl>
      <w:tblPr>
        <w:tblW w:w="8105" w:type="dxa"/>
        <w:tblLook w:val="04A0" w:firstRow="1" w:lastRow="0" w:firstColumn="1" w:lastColumn="0" w:noHBand="0" w:noVBand="1"/>
      </w:tblPr>
      <w:tblGrid>
        <w:gridCol w:w="5211"/>
        <w:gridCol w:w="2894"/>
      </w:tblGrid>
      <w:tr w:rsidR="00462E26" w:rsidRPr="00DC4E13" w14:paraId="4AF8A87A" w14:textId="77777777" w:rsidTr="00A06037">
        <w:trPr>
          <w:trHeight w:val="8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BD28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Adverse events by MedDRA SOC/PT, n (%)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8C349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Total, n=57 </w:t>
            </w: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</w:p>
        </w:tc>
      </w:tr>
      <w:tr w:rsidR="00462E26" w:rsidRPr="00DC4E13" w14:paraId="133E05AA" w14:textId="77777777" w:rsidTr="00A06037">
        <w:trPr>
          <w:trHeight w:val="391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BC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Patients with sorafenib-related side effects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5B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30 (52.6)</w:t>
            </w:r>
          </w:p>
        </w:tc>
      </w:tr>
      <w:tr w:rsidR="00462E26" w:rsidRPr="00DC4E13" w14:paraId="52B4D8E7" w14:textId="77777777" w:rsidTr="00A06037">
        <w:trPr>
          <w:trHeight w:val="58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FADC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General disorders and administration-site conditions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BB4A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17 (29.8)</w:t>
            </w:r>
          </w:p>
        </w:tc>
      </w:tr>
      <w:tr w:rsidR="00462E26" w:rsidRPr="00DC4E13" w14:paraId="27D89FEA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F9A5" w14:textId="77777777" w:rsidR="00462E26" w:rsidRPr="00DC4E13" w:rsidRDefault="00462E26" w:rsidP="00A06037">
            <w:pPr>
              <w:spacing w:after="0" w:line="360" w:lineRule="auto"/>
              <w:ind w:left="227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Fatigue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261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17 (29.8)</w:t>
            </w:r>
          </w:p>
        </w:tc>
      </w:tr>
      <w:tr w:rsidR="00462E26" w:rsidRPr="00DC4E13" w14:paraId="229883AA" w14:textId="77777777" w:rsidTr="00A06037">
        <w:trPr>
          <w:trHeight w:val="328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4E5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Skin and subcutaneous tissue disorders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A9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16 (28.1)</w:t>
            </w:r>
          </w:p>
        </w:tc>
      </w:tr>
      <w:tr w:rsidR="00462E26" w:rsidRPr="00DC4E13" w14:paraId="45003B0E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D551" w14:textId="77777777" w:rsidR="00462E26" w:rsidRPr="00DC4E13" w:rsidRDefault="00462E26" w:rsidP="00A06037">
            <w:pPr>
              <w:spacing w:after="0" w:line="360" w:lineRule="auto"/>
              <w:ind w:left="227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Drug eruption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5F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(3.5)</w:t>
            </w:r>
          </w:p>
        </w:tc>
      </w:tr>
      <w:tr w:rsidR="00462E26" w:rsidRPr="00DC4E13" w14:paraId="591C4738" w14:textId="77777777" w:rsidTr="00A06037">
        <w:trPr>
          <w:trHeight w:val="58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5F01" w14:textId="77777777" w:rsidR="00462E26" w:rsidRPr="00DC4E13" w:rsidRDefault="00462E26" w:rsidP="00A06037">
            <w:pPr>
              <w:spacing w:after="0" w:line="360" w:lineRule="auto"/>
              <w:ind w:left="227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Hand-foot skin reaction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7D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14 (24.6)</w:t>
            </w:r>
          </w:p>
        </w:tc>
      </w:tr>
      <w:tr w:rsidR="00462E26" w:rsidRPr="00DC4E13" w14:paraId="3B107810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1553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Gastrointestinal disorders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CCCB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14 (24.6)</w:t>
            </w:r>
          </w:p>
        </w:tc>
      </w:tr>
      <w:tr w:rsidR="00462E26" w:rsidRPr="00DC4E13" w14:paraId="0C12BA42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272" w14:textId="77777777" w:rsidR="00462E26" w:rsidRPr="00DC4E13" w:rsidRDefault="00462E26" w:rsidP="00A06037">
            <w:pPr>
              <w:spacing w:after="0" w:line="360" w:lineRule="auto"/>
              <w:ind w:left="227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Diarrhea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0B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14 (24.6)</w:t>
            </w:r>
          </w:p>
        </w:tc>
      </w:tr>
      <w:tr w:rsidR="00462E26" w:rsidRPr="00DC4E13" w14:paraId="3DCCDD92" w14:textId="77777777" w:rsidTr="00A06037">
        <w:trPr>
          <w:trHeight w:val="337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E1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Metabolism and nutrition disorders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2C7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7 (12.3)</w:t>
            </w:r>
          </w:p>
        </w:tc>
      </w:tr>
      <w:tr w:rsidR="00462E26" w:rsidRPr="00DC4E13" w14:paraId="7793CBB0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0C0B" w14:textId="77777777" w:rsidR="00462E26" w:rsidRPr="00DC4E13" w:rsidRDefault="00462E26" w:rsidP="00A06037">
            <w:pPr>
              <w:spacing w:after="0" w:line="360" w:lineRule="auto"/>
              <w:ind w:left="227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Decreased appetite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25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7 (12.3)</w:t>
            </w:r>
          </w:p>
        </w:tc>
      </w:tr>
      <w:tr w:rsidR="00462E26" w:rsidRPr="00DC4E13" w14:paraId="481C5520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1CF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Vascular disorders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1DA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(7.0)</w:t>
            </w:r>
          </w:p>
        </w:tc>
      </w:tr>
      <w:tr w:rsidR="00462E26" w:rsidRPr="00DC4E13" w14:paraId="7E39A3FC" w14:textId="77777777" w:rsidTr="00A06037">
        <w:trPr>
          <w:trHeight w:val="29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514" w14:textId="77777777" w:rsidR="00462E26" w:rsidRPr="00DC4E13" w:rsidRDefault="00462E26" w:rsidP="00A06037">
            <w:pPr>
              <w:spacing w:after="0" w:line="360" w:lineRule="auto"/>
              <w:ind w:left="227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Secondary hypertension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DBB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(7.0)</w:t>
            </w:r>
          </w:p>
        </w:tc>
      </w:tr>
    </w:tbl>
    <w:p w14:paraId="04550276" w14:textId="77777777" w:rsidR="00462E26" w:rsidRPr="00DC4E13" w:rsidRDefault="00462E26" w:rsidP="00462E2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Abbreviations: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MedDRA, Medical Dictionary for Regulatory Activities; PT, Preferred Term; SOC, System Organ Class; US, United States.</w:t>
      </w:r>
    </w:p>
    <w:p w14:paraId="4C4C203D" w14:textId="77777777" w:rsidR="00462E26" w:rsidRPr="00DC4E13" w:rsidRDefault="00462E26" w:rsidP="00462E26">
      <w:pPr>
        <w:rPr>
          <w:rFonts w:ascii="Arial" w:hAnsi="Arial" w:cs="Arial"/>
          <w:color w:val="000000"/>
        </w:rPr>
      </w:pPr>
      <w:r w:rsidRPr="00DC4E13">
        <w:rPr>
          <w:rFonts w:ascii="Arial" w:hAnsi="Arial" w:cs="Arial"/>
          <w:color w:val="000000"/>
        </w:rPr>
        <w:br w:type="page"/>
      </w:r>
    </w:p>
    <w:p w14:paraId="1F7DA6EB" w14:textId="77777777" w:rsidR="00462E26" w:rsidRPr="00DC4E13" w:rsidRDefault="00462E26" w:rsidP="00462E26">
      <w:pPr>
        <w:pStyle w:val="Heading2"/>
        <w:rPr>
          <w:rFonts w:eastAsia="Times New Roman"/>
          <w:i w:val="0"/>
          <w:iCs/>
          <w:color w:val="000000"/>
          <w:sz w:val="22"/>
          <w:szCs w:val="22"/>
        </w:rPr>
      </w:pPr>
      <w:r w:rsidRPr="00DC4E13">
        <w:rPr>
          <w:bCs/>
          <w:i w:val="0"/>
          <w:iCs/>
          <w:color w:val="000000"/>
          <w:sz w:val="22"/>
          <w:szCs w:val="22"/>
        </w:rPr>
        <w:t>Supplementary Table 3.</w:t>
      </w:r>
      <w:r w:rsidRPr="00DC4E13">
        <w:rPr>
          <w:i w:val="0"/>
          <w:iCs/>
          <w:color w:val="000000"/>
          <w:sz w:val="22"/>
          <w:szCs w:val="22"/>
        </w:rPr>
        <w:t xml:space="preserve"> 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>Characteristics of patients in the US subset who had received p</w:t>
      </w:r>
      <w:r w:rsidRPr="00DC4E13">
        <w:rPr>
          <w:rFonts w:eastAsia="Times New Roman"/>
          <w:b w:val="0"/>
          <w:bCs/>
          <w:i w:val="0"/>
          <w:iCs/>
          <w:color w:val="000000"/>
          <w:sz w:val="22"/>
          <w:szCs w:val="22"/>
        </w:rPr>
        <w:t>rior systemic anti-cancer therapies other than sorafenib</w:t>
      </w:r>
    </w:p>
    <w:tbl>
      <w:tblPr>
        <w:tblW w:w="7763" w:type="dxa"/>
        <w:tblLook w:val="04A0" w:firstRow="1" w:lastRow="0" w:firstColumn="1" w:lastColumn="0" w:noHBand="0" w:noVBand="1"/>
      </w:tblPr>
      <w:tblGrid>
        <w:gridCol w:w="4680"/>
        <w:gridCol w:w="3083"/>
      </w:tblGrid>
      <w:tr w:rsidR="00462E26" w:rsidRPr="00DC4E13" w14:paraId="598A99BA" w14:textId="77777777" w:rsidTr="00A06037">
        <w:trPr>
          <w:trHeight w:val="5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79484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Drugs for prior systemic anti-cancer therapy, n (%)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D6D3D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n=24</w:t>
            </w:r>
          </w:p>
        </w:tc>
      </w:tr>
      <w:tr w:rsidR="00462E26" w:rsidRPr="00DC4E13" w14:paraId="0A633285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9A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Nivolumab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4BE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13 (54.2)</w:t>
            </w:r>
          </w:p>
        </w:tc>
      </w:tr>
      <w:tr w:rsidR="00462E26" w:rsidRPr="00DC4E13" w14:paraId="61D6CA28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D57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Lenvatinib, lenvatinib mesilate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CBBD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7 (29.2)</w:t>
            </w:r>
          </w:p>
        </w:tc>
      </w:tr>
      <w:tr w:rsidR="00462E26" w:rsidRPr="00DC4E13" w14:paraId="07EC3716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38BA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Cabozantinib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EE7E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35B6BA78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C45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Napabucasin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9C29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43F5A5BE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64E3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Tremelimumab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236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187A57F3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E451E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Reason for discontinuation,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25CEC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1F6DF41C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CCD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Progression, recurrence/relapse of HCC                                   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F32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15 (62.5)</w:t>
            </w:r>
          </w:p>
        </w:tc>
      </w:tr>
      <w:tr w:rsidR="00462E26" w:rsidRPr="00DC4E13" w14:paraId="1E8CC69C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95B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Switch to other treatment                                                  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422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8 (33.3)</w:t>
            </w:r>
          </w:p>
        </w:tc>
      </w:tr>
      <w:tr w:rsidR="00462E26" w:rsidRPr="00DC4E13" w14:paraId="45C75F9F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0C7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Adverse events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EBA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0468552B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326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Patient decision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283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78B85154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037A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34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0399B04C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14EAF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Other prior multikinase inhibitor,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87E64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3B6A1E98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52C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105A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8 (33.3)</w:t>
            </w:r>
          </w:p>
        </w:tc>
      </w:tr>
      <w:tr w:rsidR="00462E26" w:rsidRPr="00DC4E13" w14:paraId="3EACCEDC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752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1B0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16 (66.7)</w:t>
            </w:r>
          </w:p>
        </w:tc>
      </w:tr>
      <w:tr w:rsidR="00462E26" w:rsidRPr="00DC4E13" w14:paraId="7661DB74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88964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Drugs for other prior multikinase treatment,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FAF3A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698C7333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DB2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Lenvatinib, lenvatinib mesilate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50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7 (29.2)</w:t>
            </w:r>
          </w:p>
        </w:tc>
      </w:tr>
      <w:tr w:rsidR="00462E26" w:rsidRPr="00DC4E13" w14:paraId="21677E8A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6031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Cabozantinib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0A8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282EC589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2F0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Tivozanib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F08B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4201102A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5CE5B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Prior immune checkpoint inhibitor,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E5B29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022C956A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5D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07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16 (66.7)</w:t>
            </w:r>
          </w:p>
        </w:tc>
      </w:tr>
      <w:tr w:rsidR="00462E26" w:rsidRPr="00DC4E13" w14:paraId="006AED36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F1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0C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8 (33.3)</w:t>
            </w:r>
          </w:p>
        </w:tc>
      </w:tr>
      <w:tr w:rsidR="00462E26" w:rsidRPr="00DC4E13" w14:paraId="71BFAD08" w14:textId="77777777" w:rsidTr="00A06037">
        <w:trPr>
          <w:trHeight w:val="5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11AE598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Drugs for prior immune checkpoint inhibitor treatment,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E6BBCF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62E26" w:rsidRPr="00DC4E13" w14:paraId="4553806A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F045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Nivolumab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7FE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13 (54.2)</w:t>
            </w:r>
          </w:p>
        </w:tc>
      </w:tr>
      <w:tr w:rsidR="00462E26" w:rsidRPr="00DC4E13" w14:paraId="5C440EDE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9C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Tremelimumab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41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28DC5E9B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3F0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Pembrolizumab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BED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2C4D0651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2616C8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Other prior immunotherapy,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44D285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462E26" w:rsidRPr="00DC4E13" w14:paraId="37BC5658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EA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B8E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7613B5BF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D0D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D8D1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22 (91.7)</w:t>
            </w:r>
          </w:p>
        </w:tc>
      </w:tr>
      <w:tr w:rsidR="00462E26" w:rsidRPr="00DC4E13" w14:paraId="3E9D7EE9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D3048D6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Drugs for prior immunotherapy,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671BA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62E26" w:rsidRPr="00DC4E13" w14:paraId="4FE9D449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A0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Mogamulizumab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52D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7A7A32AE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E36A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Pexastimogene devacirepvec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43C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2ABD472B" w14:textId="77777777" w:rsidTr="00A06037">
        <w:trPr>
          <w:trHeight w:val="5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CF728C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Prior systemic anti-cancer therapy not considered as treatment line, n (%)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60B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2E26" w:rsidRPr="00DC4E13" w14:paraId="1E189CA6" w14:textId="77777777" w:rsidTr="00A0603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170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D8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24 (100.0)</w:t>
            </w:r>
          </w:p>
        </w:tc>
      </w:tr>
    </w:tbl>
    <w:p w14:paraId="313E5D87" w14:textId="77777777" w:rsidR="00462E26" w:rsidRPr="00DC4E13" w:rsidRDefault="00462E26" w:rsidP="00462E26">
      <w:pPr>
        <w:rPr>
          <w:rFonts w:ascii="Arial" w:hAnsi="Arial" w:cs="Arial"/>
          <w:color w:val="000000"/>
        </w:rPr>
      </w:pPr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Abbreviations: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HCC, hepatocellular carcinoma; US, United States.</w:t>
      </w:r>
      <w:r w:rsidRPr="00DC4E13">
        <w:rPr>
          <w:rFonts w:ascii="Arial" w:hAnsi="Arial" w:cs="Arial"/>
          <w:color w:val="000000"/>
        </w:rPr>
        <w:br w:type="page"/>
      </w:r>
    </w:p>
    <w:p w14:paraId="4096D9FC" w14:textId="77777777" w:rsidR="00462E26" w:rsidRPr="00DC4E13" w:rsidRDefault="00462E26" w:rsidP="00462E26">
      <w:pPr>
        <w:pStyle w:val="Heading2"/>
        <w:rPr>
          <w:b w:val="0"/>
          <w:bCs/>
          <w:i w:val="0"/>
          <w:iCs/>
          <w:color w:val="000000"/>
          <w:sz w:val="22"/>
          <w:szCs w:val="22"/>
        </w:rPr>
      </w:pPr>
      <w:r w:rsidRPr="00DC4E13">
        <w:rPr>
          <w:bCs/>
          <w:i w:val="0"/>
          <w:iCs/>
          <w:color w:val="000000"/>
          <w:sz w:val="22"/>
          <w:szCs w:val="22"/>
        </w:rPr>
        <w:t>Supplementary Table 4.</w:t>
      </w:r>
      <w:r w:rsidRPr="00DC4E13">
        <w:rPr>
          <w:i w:val="0"/>
          <w:iCs/>
          <w:color w:val="000000"/>
          <w:sz w:val="22"/>
          <w:szCs w:val="22"/>
        </w:rPr>
        <w:t xml:space="preserve"> 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>Adverse events related to systemic anti-cancer therapy in patients treated with prior systemic anti-cancer therapies other than sorafenib</w:t>
      </w:r>
    </w:p>
    <w:tbl>
      <w:tblPr>
        <w:tblW w:w="6205" w:type="dxa"/>
        <w:tblLook w:val="04A0" w:firstRow="1" w:lastRow="0" w:firstColumn="1" w:lastColumn="0" w:noHBand="0" w:noVBand="1"/>
      </w:tblPr>
      <w:tblGrid>
        <w:gridCol w:w="4928"/>
        <w:gridCol w:w="1277"/>
      </w:tblGrid>
      <w:tr w:rsidR="00462E26" w:rsidRPr="00DC4E13" w14:paraId="135C82F7" w14:textId="77777777" w:rsidTr="00A06037">
        <w:trPr>
          <w:trHeight w:val="5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357F7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Adverse events by MedDRA SOC/PT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91B0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  <w:p w14:paraId="443DD68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n=24 </w:t>
            </w:r>
          </w:p>
        </w:tc>
      </w:tr>
      <w:tr w:rsidR="00462E26" w:rsidRPr="00DC4E13" w14:paraId="22872684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9D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Patients with treatment-related side effects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0560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10 (41.7)</w:t>
            </w:r>
          </w:p>
        </w:tc>
      </w:tr>
      <w:tr w:rsidR="00462E26" w:rsidRPr="00DC4E13" w14:paraId="2B082B4B" w14:textId="77777777" w:rsidTr="00A06037">
        <w:trPr>
          <w:trHeight w:val="58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6C59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General disorders and administration-site conditions, n (%)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565F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 (25.0)</w:t>
            </w:r>
          </w:p>
        </w:tc>
      </w:tr>
      <w:tr w:rsidR="00462E26" w:rsidRPr="00DC4E13" w14:paraId="5E0F8251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93C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Asthenia           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8D7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39CF6098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3BD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Fatigue            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557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 (25.0)</w:t>
            </w:r>
          </w:p>
        </w:tc>
      </w:tr>
      <w:tr w:rsidR="00462E26" w:rsidRPr="00DC4E13" w14:paraId="25C2D409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C7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Peripheral swelling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DA7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6EC92DAB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7B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Gastrointestinal disorders, n (%)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50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 (25.0)</w:t>
            </w:r>
          </w:p>
        </w:tc>
      </w:tr>
      <w:tr w:rsidR="00462E26" w:rsidRPr="00DC4E13" w14:paraId="50FBE7FF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EA30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Abdominal pain     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10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766AC742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132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Colitis             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01F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230DDDA1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4DF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Diarrhea          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3FA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43C96F0D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30A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Gastrointestinal hemorrhage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FF6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34F8E611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9C1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Nausea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976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4C587898" w14:textId="77777777" w:rsidTr="00A06037">
        <w:trPr>
          <w:trHeight w:val="29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F4FD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Skin and subcutaneous tissue disorders, </w:t>
            </w: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n (%)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6D7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 (12.5)</w:t>
            </w:r>
          </w:p>
        </w:tc>
      </w:tr>
      <w:tr w:rsidR="00462E26" w:rsidRPr="00DC4E13" w14:paraId="26A0327E" w14:textId="77777777" w:rsidTr="00A06037">
        <w:trPr>
          <w:trHeight w:val="18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3250" w14:textId="77777777" w:rsidR="00462E26" w:rsidRPr="00DC4E13" w:rsidRDefault="00462E26" w:rsidP="00A06037">
            <w:pPr>
              <w:spacing w:after="0" w:line="360" w:lineRule="auto"/>
              <w:ind w:left="142" w:hanging="142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HFSR     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11C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29014650" w14:textId="77777777" w:rsidTr="00A06037">
        <w:trPr>
          <w:trHeight w:val="29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EA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 Rash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5BD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 (12.5)</w:t>
            </w:r>
          </w:p>
        </w:tc>
      </w:tr>
    </w:tbl>
    <w:p w14:paraId="30F33CCF" w14:textId="77777777" w:rsidR="00462E26" w:rsidRPr="00DC4E13" w:rsidRDefault="00462E26" w:rsidP="00462E26">
      <w:pPr>
        <w:spacing w:after="0" w:line="240" w:lineRule="auto"/>
        <w:rPr>
          <w:rFonts w:ascii="Arial" w:hAnsi="Arial" w:cs="Arial"/>
          <w:color w:val="000000"/>
        </w:rPr>
      </w:pPr>
      <w:bookmarkStart w:id="0" w:name="_Hlk153294596"/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Abbreviations: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HFSR, hand-foot skin reaction; MedDRA, Medical Dictionary for Regulatory Activities; PT, Preferred Term; SOC, System Organ Class; US, United States.</w:t>
      </w:r>
      <w:bookmarkEnd w:id="0"/>
      <w:r w:rsidRPr="00DC4E13">
        <w:rPr>
          <w:rFonts w:ascii="Arial" w:hAnsi="Arial" w:cs="Arial"/>
          <w:color w:val="000000"/>
        </w:rPr>
        <w:br w:type="page"/>
      </w:r>
    </w:p>
    <w:p w14:paraId="7E70B18E" w14:textId="77777777" w:rsidR="00462E26" w:rsidRPr="00DC4E13" w:rsidRDefault="00462E26" w:rsidP="00462E26">
      <w:pPr>
        <w:pStyle w:val="Heading2"/>
        <w:rPr>
          <w:b w:val="0"/>
          <w:bCs/>
          <w:i w:val="0"/>
          <w:iCs/>
          <w:color w:val="000000"/>
          <w:sz w:val="22"/>
          <w:szCs w:val="22"/>
        </w:rPr>
      </w:pPr>
      <w:r w:rsidRPr="00DC4E13">
        <w:rPr>
          <w:bCs/>
          <w:i w:val="0"/>
          <w:iCs/>
          <w:color w:val="000000"/>
          <w:sz w:val="22"/>
          <w:szCs w:val="22"/>
        </w:rPr>
        <w:t>Supplementary Table 5.</w:t>
      </w:r>
      <w:r w:rsidRPr="00DC4E13">
        <w:rPr>
          <w:i w:val="0"/>
          <w:iCs/>
          <w:color w:val="000000"/>
          <w:sz w:val="22"/>
          <w:szCs w:val="22"/>
        </w:rPr>
        <w:t xml:space="preserve"> 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>Treatment responses in patients with prior systemic anti-cancer therapies other than sorafenib</w:t>
      </w:r>
    </w:p>
    <w:tbl>
      <w:tblPr>
        <w:tblW w:w="7195" w:type="dxa"/>
        <w:tblLook w:val="04A0" w:firstRow="1" w:lastRow="0" w:firstColumn="1" w:lastColumn="0" w:noHBand="0" w:noVBand="1"/>
      </w:tblPr>
      <w:tblGrid>
        <w:gridCol w:w="5215"/>
        <w:gridCol w:w="1980"/>
      </w:tblGrid>
      <w:tr w:rsidR="00462E26" w:rsidRPr="00DC4E13" w14:paraId="345092DB" w14:textId="77777777" w:rsidTr="00A06037">
        <w:trPr>
          <w:trHeight w:val="5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458850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Prior systemic anti-cancer therapy (other than sorafenib), n (%)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2F5364B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  <w:p w14:paraId="6430844E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n=24</w:t>
            </w:r>
          </w:p>
        </w:tc>
      </w:tr>
      <w:tr w:rsidR="00462E26" w:rsidRPr="00DC4E13" w14:paraId="67B05271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254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Partial response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010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49F4156B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9E47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Stable disease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F2D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4696BC44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989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Progressive disease by clinical judgment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AAB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 (25.0)</w:t>
            </w:r>
          </w:p>
        </w:tc>
      </w:tr>
      <w:tr w:rsidR="00462E26" w:rsidRPr="00DC4E13" w14:paraId="55A47765" w14:textId="77777777" w:rsidTr="00A06037">
        <w:trPr>
          <w:trHeight w:val="287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66BB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Progressive disease by response assessment criteria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C83B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14 (58.3)</w:t>
            </w:r>
          </w:p>
        </w:tc>
      </w:tr>
      <w:tr w:rsidR="00462E26" w:rsidRPr="00DC4E13" w14:paraId="72A99B7A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301D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Unknown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AE2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 (4.2)</w:t>
            </w:r>
          </w:p>
        </w:tc>
      </w:tr>
      <w:tr w:rsidR="00462E26" w:rsidRPr="00DC4E13" w14:paraId="015F3E1F" w14:textId="77777777" w:rsidTr="00A06037">
        <w:trPr>
          <w:trHeight w:val="58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6FBE8D2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Tumor progression during or after treatment with prior systemic anti-cancer therapy, n (%)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C3B1345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3C3C2FE6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F13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E2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20 (83.3)</w:t>
            </w:r>
          </w:p>
        </w:tc>
      </w:tr>
      <w:tr w:rsidR="00462E26" w:rsidRPr="00DC4E13" w14:paraId="5169DEC1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C0655B5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Radiologically confirmed progression, n (%)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A12E1B6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0AF47941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19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79C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20 (83.3)</w:t>
            </w:r>
          </w:p>
        </w:tc>
      </w:tr>
      <w:tr w:rsidR="00462E26" w:rsidRPr="00DC4E13" w14:paraId="33EBAFE1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FDC7692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Type of progression, n (%)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7BDB59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69E2DBCA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EA8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New lesion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DA8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5 (20.8)</w:t>
            </w:r>
          </w:p>
        </w:tc>
      </w:tr>
      <w:tr w:rsidR="00462E26" w:rsidRPr="00DC4E13" w14:paraId="67EB2C9D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258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New vascular invasion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B44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 (8.3)</w:t>
            </w:r>
          </w:p>
        </w:tc>
      </w:tr>
      <w:tr w:rsidR="00462E26" w:rsidRPr="00DC4E13" w14:paraId="5F037BA0" w14:textId="77777777" w:rsidTr="00A06037">
        <w:trPr>
          <w:trHeight w:val="29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65DE" w14:textId="77777777" w:rsidR="00462E26" w:rsidRPr="00DC4E13" w:rsidRDefault="00462E26" w:rsidP="00A06037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Progression of target lesion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BF87" w14:textId="77777777" w:rsidR="00462E26" w:rsidRPr="00DC4E13" w:rsidRDefault="00462E26" w:rsidP="00A060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17 (70.8)</w:t>
            </w:r>
          </w:p>
        </w:tc>
      </w:tr>
    </w:tbl>
    <w:p w14:paraId="23AAA44F" w14:textId="77777777" w:rsidR="00462E26" w:rsidRPr="00DC4E13" w:rsidRDefault="00462E26" w:rsidP="00462E26">
      <w:pPr>
        <w:spacing w:after="0" w:line="240" w:lineRule="auto"/>
        <w:rPr>
          <w:rFonts w:ascii="Arial" w:hAnsi="Arial" w:cs="Arial"/>
          <w:color w:val="000000"/>
        </w:rPr>
      </w:pPr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Abbreviations: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Q, quartile; SD, standard deviation.</w:t>
      </w:r>
    </w:p>
    <w:p w14:paraId="646E35DA" w14:textId="77777777" w:rsidR="00462E26" w:rsidRPr="00DC4E13" w:rsidRDefault="00462E26" w:rsidP="00462E26">
      <w:pPr>
        <w:rPr>
          <w:rFonts w:ascii="Arial" w:hAnsi="Arial" w:cs="Arial"/>
          <w:color w:val="000000"/>
        </w:rPr>
      </w:pPr>
      <w:r w:rsidRPr="00DC4E13">
        <w:rPr>
          <w:rFonts w:ascii="Arial" w:hAnsi="Arial" w:cs="Arial"/>
          <w:color w:val="000000"/>
        </w:rPr>
        <w:br w:type="page"/>
      </w:r>
    </w:p>
    <w:p w14:paraId="7314CD26" w14:textId="77777777" w:rsidR="00462E26" w:rsidRPr="00DC4E13" w:rsidRDefault="00462E26" w:rsidP="00462E26">
      <w:pPr>
        <w:pStyle w:val="Heading2"/>
        <w:rPr>
          <w:b w:val="0"/>
          <w:bCs/>
          <w:i w:val="0"/>
          <w:iCs/>
          <w:color w:val="000000"/>
          <w:sz w:val="22"/>
          <w:szCs w:val="22"/>
        </w:rPr>
      </w:pPr>
      <w:r w:rsidRPr="00DC4E13">
        <w:rPr>
          <w:bCs/>
          <w:i w:val="0"/>
          <w:iCs/>
          <w:color w:val="000000"/>
          <w:sz w:val="22"/>
          <w:szCs w:val="22"/>
        </w:rPr>
        <w:t>Supplementary Table 6.</w:t>
      </w:r>
      <w:r w:rsidRPr="00DC4E13">
        <w:rPr>
          <w:i w:val="0"/>
          <w:iCs/>
          <w:color w:val="000000"/>
          <w:sz w:val="22"/>
          <w:szCs w:val="22"/>
        </w:rPr>
        <w:t xml:space="preserve"> 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>TEAEs experienced by patients in the US and non-US subsets by MedDRA SOC and PT</w:t>
      </w:r>
    </w:p>
    <w:tbl>
      <w:tblPr>
        <w:tblW w:w="7367" w:type="dxa"/>
        <w:tblLayout w:type="fixed"/>
        <w:tblLook w:val="04A0" w:firstRow="1" w:lastRow="0" w:firstColumn="1" w:lastColumn="0" w:noHBand="0" w:noVBand="1"/>
      </w:tblPr>
      <w:tblGrid>
        <w:gridCol w:w="3980"/>
        <w:gridCol w:w="1693"/>
        <w:gridCol w:w="1694"/>
      </w:tblGrid>
      <w:tr w:rsidR="00462E26" w:rsidRPr="00DC4E13" w14:paraId="718DFEA0" w14:textId="77777777" w:rsidTr="00A06037">
        <w:trPr>
          <w:trHeight w:val="58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0F2CA9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Adverse events by MedDRA SOC/PT, n (%)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0FAA0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US </w:t>
            </w: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(n=65)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BC4E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Non-US (n=940)</w:t>
            </w:r>
          </w:p>
        </w:tc>
      </w:tr>
      <w:tr w:rsidR="00462E26" w:rsidRPr="00DC4E13" w14:paraId="013DEC24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341D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1D44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6B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2E26" w:rsidRPr="00DC4E13" w14:paraId="27992C52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98C7E4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Patients with any TEAEs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39531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59 (90.8)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366A4F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862 (91.7) </w:t>
            </w:r>
          </w:p>
        </w:tc>
      </w:tr>
      <w:tr w:rsidR="00462E26" w:rsidRPr="00DC4E13" w14:paraId="77D643BB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148A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Gastrointestinal disorders                     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84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30 (46.2)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77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506 (53.8) </w:t>
            </w:r>
          </w:p>
        </w:tc>
      </w:tr>
      <w:tr w:rsidR="00462E26" w:rsidRPr="00DC4E13" w14:paraId="682CC5C1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586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Diarrhea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CAF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11 (16.9)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80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285 (30.3) </w:t>
            </w:r>
          </w:p>
        </w:tc>
      </w:tr>
      <w:tr w:rsidR="00462E26" w:rsidRPr="00DC4E13" w14:paraId="755148B9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60B2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Nausea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F8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9 (13.8)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BC3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71 (7.6) </w:t>
            </w:r>
          </w:p>
        </w:tc>
      </w:tr>
      <w:tr w:rsidR="00462E26" w:rsidRPr="00DC4E13" w14:paraId="40F22E3B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E156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Constipation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6B1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 (10.8)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632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64 (6.8) </w:t>
            </w:r>
          </w:p>
        </w:tc>
      </w:tr>
      <w:tr w:rsidR="00462E26" w:rsidRPr="00DC4E13" w14:paraId="3AF6E568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D75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Abdominal pain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B0B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5 (7.7)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2129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109 (11.6) </w:t>
            </w:r>
          </w:p>
        </w:tc>
      </w:tr>
      <w:tr w:rsidR="00462E26" w:rsidRPr="00DC4E13" w14:paraId="6185C338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9382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Ascites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C1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 (6.2)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9D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60 (6.4)  </w:t>
            </w:r>
          </w:p>
        </w:tc>
      </w:tr>
      <w:tr w:rsidR="00462E26" w:rsidRPr="00DC4E13" w14:paraId="53FE360E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FEE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Nervous system disorders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AF9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20 (30.8)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8CBF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121 (12.9)</w:t>
            </w:r>
          </w:p>
        </w:tc>
      </w:tr>
      <w:tr w:rsidR="00462E26" w:rsidRPr="00DC4E13" w14:paraId="5E3988D1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98B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Dizziness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425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5 (7.7)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D9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25 (2.7)  </w:t>
            </w:r>
          </w:p>
        </w:tc>
      </w:tr>
      <w:tr w:rsidR="00462E26" w:rsidRPr="00DC4E13" w14:paraId="7882B9B5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9A4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Headache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F21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 (6.2)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DD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17 (1.8) </w:t>
            </w:r>
          </w:p>
        </w:tc>
      </w:tr>
      <w:tr w:rsidR="00462E26" w:rsidRPr="00DC4E13" w14:paraId="2714977F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568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Hepatic encephalopathy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BF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 (7.7)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7D7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26 (2.8) </w:t>
            </w:r>
          </w:p>
        </w:tc>
      </w:tr>
      <w:tr w:rsidR="00462E26" w:rsidRPr="00DC4E13" w14:paraId="55A4DE66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9A35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General disorders and administration-site conditions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080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26 (40.0)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91E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437 (46.5) </w:t>
            </w:r>
          </w:p>
        </w:tc>
      </w:tr>
      <w:tr w:rsidR="00462E26" w:rsidRPr="00DC4E13" w14:paraId="573B6798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D196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Fatigue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BD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17 (26.2)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54F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183 (19.5) </w:t>
            </w:r>
          </w:p>
        </w:tc>
      </w:tr>
      <w:tr w:rsidR="00462E26" w:rsidRPr="00DC4E13" w14:paraId="0A9DAE59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B76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Death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6E2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 (6.2)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88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12 (1.3)  </w:t>
            </w:r>
          </w:p>
        </w:tc>
      </w:tr>
      <w:tr w:rsidR="00462E26" w:rsidRPr="00DC4E13" w14:paraId="7CC38BD2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4F0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Edema peripheral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56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4 (6.2)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1E9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59 (6.3) </w:t>
            </w:r>
          </w:p>
        </w:tc>
      </w:tr>
      <w:tr w:rsidR="00462E26" w:rsidRPr="00DC4E13" w14:paraId="04BAB0DF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EDE6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Pyrexia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7F14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 (3.1)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2B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69 (7.3) </w:t>
            </w:r>
          </w:p>
        </w:tc>
      </w:tr>
      <w:tr w:rsidR="00462E26" w:rsidRPr="00DC4E13" w14:paraId="44448A0D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1995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Asthenia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0FF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1 (1.5)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6DD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107 (11.4) </w:t>
            </w:r>
          </w:p>
        </w:tc>
      </w:tr>
      <w:tr w:rsidR="00462E26" w:rsidRPr="00DC4E13" w14:paraId="2699E948" w14:textId="77777777" w:rsidTr="00A06037">
        <w:trPr>
          <w:trHeight w:val="18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05D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Metabolism and nutrition disorders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8E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17 (26.2)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194F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233 (24.8) </w:t>
            </w:r>
          </w:p>
        </w:tc>
      </w:tr>
      <w:tr w:rsidR="00462E26" w:rsidRPr="00DC4E13" w14:paraId="4250251D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331D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Decreased appetite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61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11 (16.9)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582B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166 (17.7) </w:t>
            </w:r>
          </w:p>
        </w:tc>
      </w:tr>
      <w:tr w:rsidR="00462E26" w:rsidRPr="00DC4E13" w14:paraId="4C4B2397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ABEB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Skin and subcutaneous tissue disorders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1CC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17 (26.2)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AC9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406 (43.2) </w:t>
            </w:r>
          </w:p>
        </w:tc>
      </w:tr>
      <w:tr w:rsidR="00462E26" w:rsidRPr="00DC4E13" w14:paraId="0E7F3585" w14:textId="77777777" w:rsidTr="00A06037">
        <w:trPr>
          <w:trHeight w:val="30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3823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HFSR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803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8 (12.3)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E3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321 (34.1) </w:t>
            </w:r>
          </w:p>
        </w:tc>
      </w:tr>
      <w:tr w:rsidR="00462E26" w:rsidRPr="00DC4E13" w14:paraId="2B5BE6CD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D8E7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Investigations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87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 16 (24.6)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3B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170 (18.1) </w:t>
            </w:r>
          </w:p>
        </w:tc>
      </w:tr>
      <w:tr w:rsidR="00462E26" w:rsidRPr="00DC4E13" w14:paraId="39B40307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6B8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Aspartate aminotransferase increased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F49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 (7.7)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09D5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41 (4.4)</w:t>
            </w:r>
          </w:p>
        </w:tc>
      </w:tr>
      <w:tr w:rsidR="00462E26" w:rsidRPr="00DC4E13" w14:paraId="531C6AFE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46E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Alanine aminotransferase increased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55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(6.2)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1B3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38 (4.0)</w:t>
            </w:r>
          </w:p>
        </w:tc>
      </w:tr>
      <w:tr w:rsidR="00462E26" w:rsidRPr="00DC4E13" w14:paraId="56D29541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73E9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Respiratory, thoracic, and mediastinal disorders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58C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11 (16.9)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DD4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175 (18.6) </w:t>
            </w:r>
          </w:p>
        </w:tc>
      </w:tr>
      <w:tr w:rsidR="00462E26" w:rsidRPr="00DC4E13" w14:paraId="7D9E880E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BBC0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Dysphonia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19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(6.2)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035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61 (6.5)</w:t>
            </w:r>
          </w:p>
        </w:tc>
      </w:tr>
      <w:tr w:rsidR="00462E26" w:rsidRPr="00DC4E13" w14:paraId="64C7AB2B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4A9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Dyspnea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FB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(6.2)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4F0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46 (4.9)</w:t>
            </w:r>
          </w:p>
        </w:tc>
      </w:tr>
      <w:tr w:rsidR="00462E26" w:rsidRPr="00DC4E13" w14:paraId="7730042A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DB7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Hepatobiliary disorders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14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9 (13.8)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F6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109 (11.6) </w:t>
            </w:r>
          </w:p>
        </w:tc>
      </w:tr>
      <w:tr w:rsidR="00462E26" w:rsidRPr="00DC4E13" w14:paraId="39346ED8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89C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Infections and infestations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2B22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8 (12.3)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959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125 (13.3)  </w:t>
            </w:r>
          </w:p>
        </w:tc>
      </w:tr>
      <w:tr w:rsidR="00462E26" w:rsidRPr="00DC4E13" w14:paraId="0CDDC6DA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20E6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Injury, poisoning, and procedural complications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585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8 (12.3)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3179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52 (5.5)  </w:t>
            </w:r>
          </w:p>
        </w:tc>
      </w:tr>
      <w:tr w:rsidR="00462E26" w:rsidRPr="00DC4E13" w14:paraId="505971A6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F25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Off-label use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0FE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4 (6.2)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625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27 (2.9)  </w:t>
            </w:r>
          </w:p>
        </w:tc>
      </w:tr>
      <w:tr w:rsidR="00462E26" w:rsidRPr="00DC4E13" w14:paraId="306ED5FB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E4D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Vascular disorders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02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8 (12.3)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0A24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126 (13.4)</w:t>
            </w:r>
          </w:p>
        </w:tc>
      </w:tr>
      <w:tr w:rsidR="00462E26" w:rsidRPr="00DC4E13" w14:paraId="0F01D5EF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D2EE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Hypertension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8A5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6 (9.2)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705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109 (11.6) </w:t>
            </w:r>
          </w:p>
        </w:tc>
      </w:tr>
      <w:tr w:rsidR="00462E26" w:rsidRPr="00DC4E13" w14:paraId="3710D121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E081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Musculoskeletal and connective tissue disorders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4E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 (10.8)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65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136 (14.5) </w:t>
            </w:r>
          </w:p>
        </w:tc>
      </w:tr>
      <w:tr w:rsidR="00462E26" w:rsidRPr="00DC4E13" w14:paraId="4E3284A5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5F3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Psychiatric disorders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F4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 (10.8)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F2E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45 (4.8)  </w:t>
            </w:r>
          </w:p>
        </w:tc>
      </w:tr>
      <w:tr w:rsidR="00462E26" w:rsidRPr="00DC4E13" w14:paraId="05C9A12E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7ECB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Blood and lymphatic system disorders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4D9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 (7.7)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E0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89 (9.5)  </w:t>
            </w:r>
          </w:p>
        </w:tc>
      </w:tr>
      <w:tr w:rsidR="00462E26" w:rsidRPr="00DC4E13" w14:paraId="0D4E4053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500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Anemia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28D2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3 (4.6)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67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57 (6.1)  </w:t>
            </w:r>
          </w:p>
        </w:tc>
      </w:tr>
      <w:tr w:rsidR="00462E26" w:rsidRPr="00DC4E13" w14:paraId="0114411F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E066DBF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Patients with any drug-related TEAEs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7ACF7B4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45 (69.2)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1A77A8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701 (74.6) </w:t>
            </w:r>
          </w:p>
        </w:tc>
      </w:tr>
      <w:tr w:rsidR="00462E26" w:rsidRPr="00DC4E13" w14:paraId="29B25E6B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FEF5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Gastrointestinal disorders                     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56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19 (29.2)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F352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352 (37.4)</w:t>
            </w:r>
          </w:p>
        </w:tc>
      </w:tr>
      <w:tr w:rsidR="00462E26" w:rsidRPr="00DC4E13" w14:paraId="781B01FD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E93E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Diarrhea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61B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9 (13.8)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07B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249 (26.5) </w:t>
            </w:r>
          </w:p>
        </w:tc>
      </w:tr>
      <w:tr w:rsidR="00462E26" w:rsidRPr="00DC4E13" w14:paraId="2D50C486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E4E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Nausea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E8DF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 (10.8)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6105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44 (4.7%)  </w:t>
            </w:r>
          </w:p>
        </w:tc>
      </w:tr>
      <w:tr w:rsidR="00462E26" w:rsidRPr="00DC4E13" w14:paraId="4AA58E8F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C01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Skin and subcutaneous tissue disorders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53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15 (23.1)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BD1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364 (38.7) </w:t>
            </w:r>
          </w:p>
        </w:tc>
      </w:tr>
      <w:tr w:rsidR="00462E26" w:rsidRPr="00DC4E13" w14:paraId="13964902" w14:textId="77777777" w:rsidTr="00A06037">
        <w:trPr>
          <w:trHeight w:val="291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CF2D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HFSR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94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8 (12.3)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9C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301 (32.0)</w:t>
            </w:r>
          </w:p>
        </w:tc>
      </w:tr>
      <w:tr w:rsidR="00462E26" w:rsidRPr="00DC4E13" w14:paraId="39E4FCF9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99A9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General disorders and administration-site conditions  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A42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14 (21.5)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2D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282 (30.0) </w:t>
            </w:r>
          </w:p>
        </w:tc>
      </w:tr>
      <w:tr w:rsidR="00462E26" w:rsidRPr="00DC4E13" w14:paraId="0EE48ED5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A5E4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Fatigue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F9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12 (18.5)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347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139 (14.8) </w:t>
            </w:r>
          </w:p>
        </w:tc>
      </w:tr>
      <w:tr w:rsidR="00462E26" w:rsidRPr="00DC4E13" w14:paraId="72993629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8AC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Nervous system disorders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0A2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12 (18.5)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452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47 (5.0)  </w:t>
            </w:r>
          </w:p>
        </w:tc>
      </w:tr>
      <w:tr w:rsidR="00462E26" w:rsidRPr="00DC4E13" w14:paraId="30D58599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411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Investigations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61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10 (15.4)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127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94 (10.0)   </w:t>
            </w:r>
          </w:p>
        </w:tc>
      </w:tr>
      <w:tr w:rsidR="00462E26" w:rsidRPr="00DC4E13" w14:paraId="452A90D8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EF3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Metabolism and nutrition disorders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64E0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9 (13.8)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2D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146 (15.5) </w:t>
            </w:r>
          </w:p>
        </w:tc>
      </w:tr>
      <w:tr w:rsidR="00462E26" w:rsidRPr="00DC4E13" w14:paraId="11B9AFC8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949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Decreased appetite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EB0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8 (12.3)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467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125 (13.3)</w:t>
            </w:r>
          </w:p>
        </w:tc>
      </w:tr>
      <w:tr w:rsidR="00462E26" w:rsidRPr="00DC4E13" w14:paraId="3FCF0311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4FFF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Respiratory, thoracic, and mediastinal disorders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B6D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 6 (9.2)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61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77 (8.2) </w:t>
            </w:r>
          </w:p>
        </w:tc>
      </w:tr>
      <w:tr w:rsidR="00462E26" w:rsidRPr="00DC4E13" w14:paraId="2D65A0EB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8AC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Dysphonia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BA0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4 (6.2)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AB5C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48 (5.1)</w:t>
            </w:r>
          </w:p>
        </w:tc>
      </w:tr>
      <w:tr w:rsidR="00462E26" w:rsidRPr="00DC4E13" w14:paraId="4DDA7D32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2F90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Vascular disorders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7923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 (9.2)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F4AE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96 (10.2)</w:t>
            </w:r>
          </w:p>
        </w:tc>
      </w:tr>
      <w:tr w:rsidR="00462E26" w:rsidRPr="00DC4E13" w14:paraId="23C20487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3AA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Hypertension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6C0F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6 (9.2)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31F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90 (9.6)</w:t>
            </w:r>
          </w:p>
        </w:tc>
      </w:tr>
      <w:tr w:rsidR="00462E26" w:rsidRPr="00DC4E13" w14:paraId="173E152E" w14:textId="77777777" w:rsidTr="00A06037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87D5" w14:textId="77777777" w:rsidR="00462E26" w:rsidRPr="00DC4E13" w:rsidRDefault="00462E26" w:rsidP="00A0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Injury, poisoning, and procedural complications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D996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(6.2)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5DA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30 (3.2)</w:t>
            </w:r>
          </w:p>
        </w:tc>
      </w:tr>
      <w:tr w:rsidR="00462E26" w:rsidRPr="00DC4E13" w14:paraId="65A1B105" w14:textId="77777777" w:rsidTr="00A06037">
        <w:trPr>
          <w:trHeight w:val="29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360A" w14:textId="77777777" w:rsidR="00462E26" w:rsidRPr="00DC4E13" w:rsidRDefault="00462E26" w:rsidP="00A0603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 xml:space="preserve">Off-label use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D8B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4 (6.2)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428" w14:textId="77777777" w:rsidR="00462E26" w:rsidRPr="00DC4E13" w:rsidRDefault="00462E26" w:rsidP="00A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C4E13">
              <w:rPr>
                <w:rFonts w:ascii="Arial" w:eastAsia="Times New Roman" w:hAnsi="Arial" w:cs="Arial"/>
                <w:color w:val="000000"/>
              </w:rPr>
              <w:t>27 (2.9)</w:t>
            </w:r>
          </w:p>
        </w:tc>
      </w:tr>
    </w:tbl>
    <w:p w14:paraId="0710F964" w14:textId="77777777" w:rsidR="00462E26" w:rsidRPr="00DC4E13" w:rsidRDefault="00462E26" w:rsidP="00462E2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Abbreviations: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HFSR, hand-foot skin reaction; MedDRA, Medical Dictionary for Regulatory Activities; PT, Preferred Term; SOC, System Organ Class; TEAE, treatment-emergent adverse event; US, United States.</w:t>
      </w:r>
    </w:p>
    <w:p w14:paraId="313C2C5F" w14:textId="77777777" w:rsidR="00462E26" w:rsidRPr="00DC4E13" w:rsidRDefault="00462E26" w:rsidP="00462E26">
      <w:pPr>
        <w:rPr>
          <w:rFonts w:ascii="Arial" w:eastAsiaTheme="majorEastAsia" w:hAnsi="Arial" w:cs="Arial"/>
          <w:color w:val="000000"/>
          <w:sz w:val="26"/>
          <w:szCs w:val="26"/>
        </w:rPr>
      </w:pPr>
    </w:p>
    <w:p w14:paraId="6C7F1772" w14:textId="77777777" w:rsidR="00462E26" w:rsidRPr="00DC4E13" w:rsidRDefault="00462E26" w:rsidP="00462E26">
      <w:pPr>
        <w:rPr>
          <w:rFonts w:ascii="Arial" w:hAnsi="Arial" w:cs="Arial"/>
          <w:color w:val="000000"/>
        </w:rPr>
        <w:sectPr w:rsidR="00462E26" w:rsidRPr="00DC4E13" w:rsidSect="00720E6F">
          <w:footerReference w:type="even" r:id="rId6"/>
          <w:footerReference w:type="default" r:id="rId7"/>
          <w:footerReference w:type="first" r:id="rId8"/>
          <w:pgSz w:w="12240" w:h="15840"/>
          <w:pgMar w:top="1701" w:right="1701" w:bottom="1701" w:left="1701" w:header="720" w:footer="720" w:gutter="0"/>
          <w:lnNumType w:countBy="1" w:restart="continuous"/>
          <w:pgNumType w:start="1"/>
          <w:cols w:space="720"/>
          <w:docGrid w:linePitch="360"/>
        </w:sectPr>
      </w:pPr>
    </w:p>
    <w:p w14:paraId="62B34F92" w14:textId="77777777" w:rsidR="00462E26" w:rsidRPr="00DC4E13" w:rsidRDefault="00462E26" w:rsidP="00462E26">
      <w:pPr>
        <w:pStyle w:val="Heading2"/>
        <w:rPr>
          <w:b w:val="0"/>
          <w:bCs/>
          <w:i w:val="0"/>
          <w:iCs/>
          <w:color w:val="000000"/>
          <w:sz w:val="22"/>
          <w:szCs w:val="22"/>
        </w:rPr>
      </w:pPr>
      <w:r w:rsidRPr="00DC4E13">
        <w:rPr>
          <w:i w:val="0"/>
          <w:iCs/>
          <w:color w:val="000000"/>
          <w:sz w:val="22"/>
          <w:szCs w:val="22"/>
        </w:rPr>
        <w:t>Supplementary Table 7.</w:t>
      </w:r>
      <w:r w:rsidRPr="00DC4E13">
        <w:rPr>
          <w:b w:val="0"/>
          <w:bCs/>
          <w:i w:val="0"/>
          <w:iCs/>
          <w:color w:val="000000"/>
          <w:sz w:val="22"/>
          <w:szCs w:val="22"/>
        </w:rPr>
        <w:t xml:space="preserve"> Reasons for discontinuation of regorafenib among patients in the US subset and among those who had previously received sorafenib treatment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520"/>
      </w:tblGrid>
      <w:tr w:rsidR="00462E26" w:rsidRPr="00DC4E13" w14:paraId="35687072" w14:textId="77777777" w:rsidTr="00A06037">
        <w:tc>
          <w:tcPr>
            <w:tcW w:w="4765" w:type="dxa"/>
            <w:shd w:val="clear" w:color="auto" w:fill="D9D9D9" w:themeFill="background1" w:themeFillShade="D9"/>
          </w:tcPr>
          <w:p w14:paraId="14008841" w14:textId="77777777" w:rsidR="00462E26" w:rsidRPr="00DC4E13" w:rsidRDefault="00462E26" w:rsidP="00A0603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4E13">
              <w:rPr>
                <w:rFonts w:ascii="Arial" w:hAnsi="Arial" w:cs="Arial"/>
                <w:b/>
                <w:bCs/>
                <w:color w:val="000000"/>
              </w:rPr>
              <w:t xml:space="preserve">Primary reason for discontinuation of regorafenib, </w:t>
            </w: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n (%)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377F4E2" w14:textId="77777777" w:rsidR="00462E26" w:rsidRPr="00DC4E13" w:rsidRDefault="00462E26" w:rsidP="00A060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4E13">
              <w:rPr>
                <w:rFonts w:ascii="Arial" w:hAnsi="Arial" w:cs="Arial"/>
                <w:b/>
                <w:bCs/>
                <w:color w:val="000000"/>
              </w:rPr>
              <w:t>Total (n=65)</w:t>
            </w:r>
          </w:p>
          <w:p w14:paraId="5BFA890C" w14:textId="77777777" w:rsidR="00462E26" w:rsidRPr="00DC4E13" w:rsidRDefault="00462E26" w:rsidP="00A060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62E26" w:rsidRPr="00DC4E13" w14:paraId="1ADE19CB" w14:textId="77777777" w:rsidTr="00A06037">
        <w:tc>
          <w:tcPr>
            <w:tcW w:w="4765" w:type="dxa"/>
          </w:tcPr>
          <w:p w14:paraId="02AE8C27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Adverse event</w:t>
            </w:r>
          </w:p>
        </w:tc>
        <w:tc>
          <w:tcPr>
            <w:tcW w:w="2520" w:type="dxa"/>
          </w:tcPr>
          <w:p w14:paraId="7D435343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27 (41.5)</w:t>
            </w:r>
          </w:p>
        </w:tc>
      </w:tr>
      <w:tr w:rsidR="00462E26" w:rsidRPr="00DC4E13" w14:paraId="6401E15C" w14:textId="77777777" w:rsidTr="00A06037">
        <w:tc>
          <w:tcPr>
            <w:tcW w:w="4765" w:type="dxa"/>
          </w:tcPr>
          <w:p w14:paraId="5590533E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Lack of efficacy</w:t>
            </w:r>
          </w:p>
        </w:tc>
        <w:tc>
          <w:tcPr>
            <w:tcW w:w="2520" w:type="dxa"/>
          </w:tcPr>
          <w:p w14:paraId="1CD64AD7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 (3.1)</w:t>
            </w:r>
          </w:p>
        </w:tc>
      </w:tr>
      <w:tr w:rsidR="00462E26" w:rsidRPr="00DC4E13" w14:paraId="07545D0B" w14:textId="77777777" w:rsidTr="00A06037">
        <w:tc>
          <w:tcPr>
            <w:tcW w:w="4765" w:type="dxa"/>
          </w:tcPr>
          <w:p w14:paraId="372F7CA9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Non-compliance with study drug</w:t>
            </w:r>
          </w:p>
        </w:tc>
        <w:tc>
          <w:tcPr>
            <w:tcW w:w="2520" w:type="dxa"/>
          </w:tcPr>
          <w:p w14:paraId="33CE2B00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1 (1.5)</w:t>
            </w:r>
          </w:p>
        </w:tc>
      </w:tr>
      <w:tr w:rsidR="00462E26" w:rsidRPr="00DC4E13" w14:paraId="5ED85492" w14:textId="77777777" w:rsidTr="00A06037">
        <w:tc>
          <w:tcPr>
            <w:tcW w:w="4765" w:type="dxa"/>
          </w:tcPr>
          <w:p w14:paraId="4A8231C2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Patient decision</w:t>
            </w:r>
          </w:p>
        </w:tc>
        <w:tc>
          <w:tcPr>
            <w:tcW w:w="2520" w:type="dxa"/>
          </w:tcPr>
          <w:p w14:paraId="7FBBB33E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 (3.1)</w:t>
            </w:r>
          </w:p>
        </w:tc>
      </w:tr>
      <w:tr w:rsidR="00462E26" w:rsidRPr="00DC4E13" w14:paraId="302875D4" w14:textId="77777777" w:rsidTr="00A06037">
        <w:tc>
          <w:tcPr>
            <w:tcW w:w="4765" w:type="dxa"/>
          </w:tcPr>
          <w:p w14:paraId="2C315967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Physician decision</w:t>
            </w:r>
          </w:p>
        </w:tc>
        <w:tc>
          <w:tcPr>
            <w:tcW w:w="2520" w:type="dxa"/>
          </w:tcPr>
          <w:p w14:paraId="7C3FA1A0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 (3.1)</w:t>
            </w:r>
          </w:p>
        </w:tc>
      </w:tr>
      <w:tr w:rsidR="00462E26" w:rsidRPr="00DC4E13" w14:paraId="5ABD5613" w14:textId="77777777" w:rsidTr="00A06037">
        <w:tc>
          <w:tcPr>
            <w:tcW w:w="4765" w:type="dxa"/>
          </w:tcPr>
          <w:p w14:paraId="1B3D25DA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Progressive disease</w:t>
            </w:r>
          </w:p>
        </w:tc>
        <w:tc>
          <w:tcPr>
            <w:tcW w:w="2520" w:type="dxa"/>
          </w:tcPr>
          <w:p w14:paraId="13E1DBE3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25 (38.5)</w:t>
            </w:r>
          </w:p>
        </w:tc>
      </w:tr>
      <w:tr w:rsidR="00462E26" w:rsidRPr="00DC4E13" w14:paraId="5A262F44" w14:textId="77777777" w:rsidTr="00A06037">
        <w:tc>
          <w:tcPr>
            <w:tcW w:w="4765" w:type="dxa"/>
          </w:tcPr>
          <w:p w14:paraId="2C9C031A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Other: not COVID-19</w:t>
            </w:r>
          </w:p>
        </w:tc>
        <w:tc>
          <w:tcPr>
            <w:tcW w:w="2520" w:type="dxa"/>
          </w:tcPr>
          <w:p w14:paraId="782FBB02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4 (6.2)</w:t>
            </w:r>
          </w:p>
        </w:tc>
      </w:tr>
      <w:tr w:rsidR="00462E26" w:rsidRPr="00DC4E13" w14:paraId="06D2710D" w14:textId="77777777" w:rsidTr="00A06037"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05F02124" w14:textId="77777777" w:rsidR="00462E26" w:rsidRPr="00DC4E13" w:rsidRDefault="00462E26" w:rsidP="00A0603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4E13">
              <w:rPr>
                <w:rFonts w:ascii="Arial" w:hAnsi="Arial" w:cs="Arial"/>
                <w:b/>
                <w:bCs/>
                <w:color w:val="000000"/>
              </w:rPr>
              <w:t>Patients in the US who had previously received sorafenib treatment</w:t>
            </w:r>
            <w:r w:rsidRPr="00DC4E13">
              <w:rPr>
                <w:rFonts w:ascii="Arial" w:eastAsia="Times New Roman" w:hAnsi="Arial" w:cs="Arial"/>
                <w:b/>
                <w:bCs/>
                <w:color w:val="000000"/>
              </w:rPr>
              <w:t>, n (%)</w:t>
            </w:r>
            <w:r w:rsidRPr="00DC4E1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83428F5" w14:textId="77777777" w:rsidR="00462E26" w:rsidRPr="00DC4E13" w:rsidRDefault="00462E26" w:rsidP="00A060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4E13">
              <w:rPr>
                <w:rFonts w:ascii="Arial" w:hAnsi="Arial" w:cs="Arial"/>
                <w:b/>
                <w:bCs/>
                <w:color w:val="000000"/>
              </w:rPr>
              <w:t>Total (n=57)</w:t>
            </w:r>
          </w:p>
          <w:p w14:paraId="341438C3" w14:textId="77777777" w:rsidR="00462E26" w:rsidRPr="00DC4E13" w:rsidRDefault="00462E26" w:rsidP="00A060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62E26" w:rsidRPr="00DC4E13" w14:paraId="0961E23D" w14:textId="77777777" w:rsidTr="00A06037">
        <w:tc>
          <w:tcPr>
            <w:tcW w:w="4765" w:type="dxa"/>
          </w:tcPr>
          <w:p w14:paraId="5247BBE4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Adverse event</w:t>
            </w:r>
          </w:p>
        </w:tc>
        <w:tc>
          <w:tcPr>
            <w:tcW w:w="2520" w:type="dxa"/>
          </w:tcPr>
          <w:p w14:paraId="24FFEE33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23 (40.4)</w:t>
            </w:r>
          </w:p>
        </w:tc>
      </w:tr>
      <w:tr w:rsidR="00462E26" w:rsidRPr="00DC4E13" w14:paraId="3F56A05E" w14:textId="77777777" w:rsidTr="00A06037">
        <w:tc>
          <w:tcPr>
            <w:tcW w:w="4765" w:type="dxa"/>
          </w:tcPr>
          <w:p w14:paraId="0B30EB1F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Lack of efficacy</w:t>
            </w:r>
          </w:p>
        </w:tc>
        <w:tc>
          <w:tcPr>
            <w:tcW w:w="2520" w:type="dxa"/>
          </w:tcPr>
          <w:p w14:paraId="6EB8B723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 (3.5)</w:t>
            </w:r>
          </w:p>
        </w:tc>
      </w:tr>
      <w:tr w:rsidR="00462E26" w:rsidRPr="00DC4E13" w14:paraId="0CB573FB" w14:textId="77777777" w:rsidTr="00A06037">
        <w:tc>
          <w:tcPr>
            <w:tcW w:w="4765" w:type="dxa"/>
          </w:tcPr>
          <w:p w14:paraId="79530A4A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Patient decision</w:t>
            </w:r>
          </w:p>
        </w:tc>
        <w:tc>
          <w:tcPr>
            <w:tcW w:w="2520" w:type="dxa"/>
          </w:tcPr>
          <w:p w14:paraId="01BEB86A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 (3.5)</w:t>
            </w:r>
          </w:p>
        </w:tc>
      </w:tr>
      <w:tr w:rsidR="00462E26" w:rsidRPr="00DC4E13" w14:paraId="55A46E11" w14:textId="77777777" w:rsidTr="00A06037">
        <w:tc>
          <w:tcPr>
            <w:tcW w:w="4765" w:type="dxa"/>
          </w:tcPr>
          <w:p w14:paraId="282F23E0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Physician decision</w:t>
            </w:r>
          </w:p>
        </w:tc>
        <w:tc>
          <w:tcPr>
            <w:tcW w:w="2520" w:type="dxa"/>
          </w:tcPr>
          <w:p w14:paraId="338021FB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 (3.5)</w:t>
            </w:r>
          </w:p>
        </w:tc>
      </w:tr>
      <w:tr w:rsidR="00462E26" w:rsidRPr="00DC4E13" w14:paraId="1FC8B789" w14:textId="77777777" w:rsidTr="00A06037">
        <w:tc>
          <w:tcPr>
            <w:tcW w:w="4765" w:type="dxa"/>
          </w:tcPr>
          <w:p w14:paraId="201F5623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Progressive disease</w:t>
            </w:r>
          </w:p>
        </w:tc>
        <w:tc>
          <w:tcPr>
            <w:tcW w:w="2520" w:type="dxa"/>
          </w:tcPr>
          <w:p w14:paraId="6D383150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23 (40.4)</w:t>
            </w:r>
          </w:p>
        </w:tc>
      </w:tr>
      <w:tr w:rsidR="00462E26" w:rsidRPr="00DC4E13" w14:paraId="6EEA6620" w14:textId="77777777" w:rsidTr="00A06037">
        <w:tc>
          <w:tcPr>
            <w:tcW w:w="4765" w:type="dxa"/>
          </w:tcPr>
          <w:p w14:paraId="7235C4C7" w14:textId="77777777" w:rsidR="00462E26" w:rsidRPr="00DC4E13" w:rsidRDefault="00462E26" w:rsidP="00A06037">
            <w:pPr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Other: not COVID-19</w:t>
            </w:r>
          </w:p>
        </w:tc>
        <w:tc>
          <w:tcPr>
            <w:tcW w:w="2520" w:type="dxa"/>
          </w:tcPr>
          <w:p w14:paraId="13CB0779" w14:textId="77777777" w:rsidR="00462E26" w:rsidRPr="00DC4E13" w:rsidRDefault="00462E26" w:rsidP="00A06037">
            <w:pPr>
              <w:jc w:val="center"/>
              <w:rPr>
                <w:rFonts w:ascii="Arial" w:hAnsi="Arial" w:cs="Arial"/>
                <w:color w:val="000000"/>
              </w:rPr>
            </w:pPr>
            <w:r w:rsidRPr="00DC4E13">
              <w:rPr>
                <w:rFonts w:ascii="Arial" w:hAnsi="Arial" w:cs="Arial"/>
                <w:color w:val="000000"/>
              </w:rPr>
              <w:t>4 (7.0)</w:t>
            </w:r>
          </w:p>
        </w:tc>
      </w:tr>
    </w:tbl>
    <w:p w14:paraId="315CCA2B" w14:textId="77777777" w:rsidR="00462E26" w:rsidRPr="00DC4E13" w:rsidRDefault="00462E26" w:rsidP="00462E2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C4E13">
        <w:rPr>
          <w:rFonts w:ascii="Arial" w:hAnsi="Arial" w:cs="Arial"/>
          <w:b/>
          <w:bCs/>
          <w:color w:val="000000"/>
          <w:sz w:val="18"/>
          <w:szCs w:val="18"/>
        </w:rPr>
        <w:t>Abbreviation:</w:t>
      </w:r>
      <w:r w:rsidRPr="00DC4E13">
        <w:rPr>
          <w:rFonts w:ascii="Arial" w:hAnsi="Arial" w:cs="Arial"/>
          <w:color w:val="000000"/>
          <w:sz w:val="18"/>
          <w:szCs w:val="18"/>
        </w:rPr>
        <w:t xml:space="preserve"> US, United States.</w:t>
      </w:r>
    </w:p>
    <w:p w14:paraId="4FC4A6DE" w14:textId="77777777" w:rsidR="00462E26" w:rsidRPr="00DC4E13" w:rsidRDefault="00462E26" w:rsidP="00462E26">
      <w:pPr>
        <w:rPr>
          <w:rFonts w:ascii="Arial" w:hAnsi="Arial" w:cs="Arial"/>
          <w:color w:val="000000"/>
        </w:rPr>
      </w:pPr>
    </w:p>
    <w:p w14:paraId="6A261CE4" w14:textId="77777777" w:rsidR="00D82259" w:rsidRPr="00DC4E13" w:rsidRDefault="00D82259">
      <w:pPr>
        <w:rPr>
          <w:color w:val="000000"/>
        </w:rPr>
      </w:pPr>
    </w:p>
    <w:sectPr w:rsidR="00D82259" w:rsidRPr="00DC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38C6F" w14:textId="77777777" w:rsidR="00F06E9E" w:rsidRDefault="00EA67F1">
      <w:pPr>
        <w:spacing w:after="0" w:line="240" w:lineRule="auto"/>
      </w:pPr>
      <w:r>
        <w:separator/>
      </w:r>
    </w:p>
  </w:endnote>
  <w:endnote w:type="continuationSeparator" w:id="0">
    <w:p w14:paraId="606E0392" w14:textId="77777777" w:rsidR="00F06E9E" w:rsidRDefault="00EA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DEEF8" w14:textId="62C68BAD" w:rsidR="00DC4E13" w:rsidRDefault="00DC4E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94EFA" wp14:editId="7E05A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3435" cy="461645"/>
              <wp:effectExtent l="0" t="0" r="12065" b="0"/>
              <wp:wrapNone/>
              <wp:docPr id="20598326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343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9B0EC" w14:textId="5F452912" w:rsidR="00DC4E13" w:rsidRPr="00DC4E13" w:rsidRDefault="00DC4E13" w:rsidP="00DC4E1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4E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4E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05pt;height:36.3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39B0EC" w14:textId="5F452912" w:rsidR="00DC4E13" w:rsidRPr="00DC4E13" w:rsidRDefault="00DC4E13" w:rsidP="00DC4E1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4E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264EB" w14:textId="70AFE6CF" w:rsidR="00DC4E13" w:rsidRDefault="00DC4E1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3688FD" wp14:editId="33568B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3435" cy="461645"/>
              <wp:effectExtent l="0" t="0" r="12065" b="0"/>
              <wp:wrapNone/>
              <wp:docPr id="9917036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343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C0894" w14:textId="4841E63D" w:rsidR="00DC4E13" w:rsidRPr="00DC4E13" w:rsidRDefault="00DC4E13" w:rsidP="00DC4E1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4E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688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05pt;height:36.3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4DC0894" w14:textId="4841E63D" w:rsidR="00DC4E13" w:rsidRPr="00DC4E13" w:rsidRDefault="00DC4E13" w:rsidP="00DC4E1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4E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611485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264EB" w14:textId="70AFE6CF" w:rsidR="00DC4E13" w:rsidRDefault="00462E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67624" w14:textId="77777777" w:rsidR="00DC4E13" w:rsidRDefault="00DC4E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BB868" w14:textId="68DDD06D" w:rsidR="00DC4E13" w:rsidRDefault="00DC4E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1E14E" wp14:editId="059796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3435" cy="461645"/>
              <wp:effectExtent l="0" t="0" r="12065" b="0"/>
              <wp:wrapNone/>
              <wp:docPr id="5393932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343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31470" w14:textId="3553EBEC" w:rsidR="00DC4E13" w:rsidRPr="00DC4E13" w:rsidRDefault="00DC4E13" w:rsidP="00DC4E1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4E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1E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05pt;height:36.3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2A31470" w14:textId="3553EBEC" w:rsidR="00DC4E13" w:rsidRPr="00DC4E13" w:rsidRDefault="00DC4E13" w:rsidP="00DC4E1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4E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92583" w14:textId="77777777" w:rsidR="00F06E9E" w:rsidRDefault="00EA67F1">
      <w:pPr>
        <w:spacing w:after="0" w:line="240" w:lineRule="auto"/>
      </w:pPr>
      <w:r>
        <w:separator/>
      </w:r>
    </w:p>
  </w:footnote>
  <w:footnote w:type="continuationSeparator" w:id="0">
    <w:p w14:paraId="28727179" w14:textId="77777777" w:rsidR="00F06E9E" w:rsidRDefault="00EA6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26"/>
    <w:rsid w:val="00462E26"/>
    <w:rsid w:val="008308D4"/>
    <w:rsid w:val="00C731E7"/>
    <w:rsid w:val="00D82259"/>
    <w:rsid w:val="00D83ADD"/>
    <w:rsid w:val="00DC4E13"/>
    <w:rsid w:val="00EA67F1"/>
    <w:rsid w:val="00F0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8AC6"/>
  <w15:chartTrackingRefBased/>
  <w15:docId w15:val="{4107AFC3-6275-4584-9BFF-AAEDFC56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26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E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E26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26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E26"/>
    <w:rPr>
      <w:rFonts w:ascii="Arial" w:eastAsiaTheme="majorEastAsia" w:hAnsi="Arial" w:cstheme="majorBidi"/>
      <w:b/>
      <w:i/>
      <w:sz w:val="28"/>
      <w:szCs w:val="26"/>
    </w:rPr>
  </w:style>
  <w:style w:type="table" w:styleId="TableGrid">
    <w:name w:val="Table Grid"/>
    <w:basedOn w:val="TableNormal"/>
    <w:uiPriority w:val="39"/>
    <w:rsid w:val="004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E26"/>
  </w:style>
  <w:style w:type="paragraph" w:styleId="Title">
    <w:name w:val="Title"/>
    <w:basedOn w:val="Normal"/>
    <w:next w:val="Normal"/>
    <w:link w:val="TitleChar"/>
    <w:uiPriority w:val="10"/>
    <w:qFormat/>
    <w:rsid w:val="00462E26"/>
    <w:pPr>
      <w:contextualSpacing/>
    </w:pPr>
    <w:rPr>
      <w:rFonts w:ascii="Arial" w:eastAsiaTheme="majorEastAsia" w:hAnsi="Arial" w:cstheme="majorBidi"/>
      <w:b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E26"/>
    <w:rPr>
      <w:rFonts w:ascii="Arial" w:eastAsiaTheme="majorEastAsia" w:hAnsi="Arial" w:cstheme="majorBidi"/>
      <w:b/>
      <w:kern w:val="28"/>
      <w:sz w:val="24"/>
      <w:szCs w:val="56"/>
    </w:rPr>
  </w:style>
  <w:style w:type="character" w:styleId="LineNumber">
    <w:name w:val="line number"/>
    <w:basedOn w:val="DefaultParagraphFont"/>
    <w:uiPriority w:val="99"/>
    <w:semiHidden/>
    <w:unhideWhenUsed/>
    <w:rsid w:val="00462E26"/>
  </w:style>
  <w:style w:type="paragraph" w:styleId="Revision">
    <w:name w:val="Revision"/>
    <w:hidden/>
    <w:uiPriority w:val="99"/>
    <w:semiHidden/>
    <w:rsid w:val="00EA6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Lindsay EX1</dc:creator>
  <cp:keywords/>
  <dc:description/>
  <cp:lastModifiedBy>Khanapur, Soumya</cp:lastModifiedBy>
  <cp:revision>2</cp:revision>
  <dcterms:created xsi:type="dcterms:W3CDTF">2024-10-14T18:57:00Z</dcterms:created>
  <dcterms:modified xsi:type="dcterms:W3CDTF">2024-10-14T18:57:00Z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20267d10,7ac68d60,3b1c324e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2024-10-14T18:57:14Z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3b93a101-6214-418f-b080-5c0ed581dfbe</vt:lpwstr>
  </property>
  <property fmtid="{D5CDD505-2E9C-101B-9397-08002B2CF9AE}" pid="11" name="MSIP_Label_2bbab825-a111-45e4-86a1-18cee0005896_ContentBits">
    <vt:lpwstr>2</vt:lpwstr>
  </property>
</Properties>
</file>