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cs="Arial"/>
          <w:b/>
          <w:bCs/>
          <w:sz w:val="28"/>
          <w:szCs w:val="28"/>
        </w:rPr>
      </w:pPr>
      <w:r>
        <w:rPr>
          <w:rFonts w:hint="default" w:ascii="Arial" w:hAnsi="Arial" w:cs="Arial"/>
          <w:b/>
          <w:bCs/>
          <w:sz w:val="28"/>
          <w:szCs w:val="28"/>
        </w:rPr>
        <w:t>Supplementary Material</w:t>
      </w:r>
    </w:p>
    <w:p>
      <w:pPr>
        <w:keepNext/>
        <w:keepLines/>
        <w:widowControl/>
        <w:spacing w:before="200" w:beforeAutospacing="1" w:afterAutospacing="1"/>
        <w:jc w:val="left"/>
        <w:outlineLvl w:val="2"/>
        <w:rPr>
          <w:rFonts w:hint="default" w:ascii="Arial" w:hAnsi="Arial" w:eastAsia="宋体" w:cs="Arial"/>
          <w:b/>
          <w:bCs/>
          <w:kern w:val="0"/>
          <w:sz w:val="21"/>
          <w:szCs w:val="21"/>
          <w:lang w:eastAsia="en-US"/>
        </w:rPr>
      </w:pPr>
      <w:r>
        <w:rPr>
          <w:rFonts w:hint="default" w:ascii="Arial" w:hAnsi="Arial" w:eastAsia="宋体" w:cs="Arial"/>
          <w:b/>
          <w:bCs/>
          <w:kern w:val="0"/>
          <w:sz w:val="21"/>
          <w:szCs w:val="21"/>
          <w:lang w:eastAsia="en-US"/>
        </w:rPr>
        <w:t>Table</w:t>
      </w:r>
      <w:r>
        <w:rPr>
          <w:rFonts w:hint="default" w:ascii="Arial" w:hAnsi="Arial" w:eastAsia="宋体" w:cs="Arial"/>
          <w:b/>
          <w:bCs/>
          <w:kern w:val="0"/>
          <w:sz w:val="21"/>
          <w:szCs w:val="21"/>
          <w:lang w:val="en-US" w:eastAsia="zh-CN"/>
        </w:rPr>
        <w:t xml:space="preserve"> S1</w:t>
      </w:r>
      <w:r>
        <w:rPr>
          <w:rFonts w:hint="default" w:ascii="Arial" w:hAnsi="Arial" w:eastAsia="宋体" w:cs="Arial"/>
          <w:b/>
          <w:bCs/>
          <w:kern w:val="0"/>
          <w:sz w:val="21"/>
          <w:szCs w:val="21"/>
          <w:lang w:eastAsia="en-US"/>
        </w:rPr>
        <w:t>. List of primer sequences.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7"/>
        <w:gridCol w:w="1113"/>
        <w:gridCol w:w="2947"/>
        <w:gridCol w:w="330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1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left"/>
              <w:rPr>
                <w:rFonts w:hint="default" w:ascii="Arial" w:hAnsi="Arial" w:eastAsia="等线" w:cs="Arial"/>
                <w:b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宋体" w:cs="Arial"/>
                <w:b/>
                <w:bCs/>
                <w:kern w:val="0"/>
                <w:sz w:val="21"/>
                <w:szCs w:val="21"/>
              </w:rPr>
              <w:t>S</w:t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21"/>
                <w:szCs w:val="21"/>
                <w:lang w:eastAsia="en-US"/>
              </w:rPr>
              <w:t>pecies</w:t>
            </w:r>
          </w:p>
        </w:tc>
        <w:tc>
          <w:tcPr>
            <w:tcW w:w="294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ind w:firstLine="1051" w:firstLineChars="500"/>
              <w:jc w:val="left"/>
              <w:rPr>
                <w:rFonts w:hint="default" w:ascii="Arial" w:hAnsi="Arial" w:eastAsia="等线" w:cs="Arial"/>
                <w:b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b/>
                <w:bCs/>
                <w:kern w:val="0"/>
                <w:sz w:val="21"/>
                <w:szCs w:val="21"/>
              </w:rPr>
              <w:t>Forward</w:t>
            </w:r>
          </w:p>
        </w:tc>
        <w:tc>
          <w:tcPr>
            <w:tcW w:w="330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left"/>
              <w:rPr>
                <w:rFonts w:hint="default" w:ascii="Arial" w:hAnsi="Arial" w:eastAsia="等线" w:cs="Arial"/>
                <w:b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b/>
                <w:bCs/>
                <w:kern w:val="0"/>
                <w:sz w:val="21"/>
                <w:szCs w:val="21"/>
                <w:lang w:eastAsia="en-US"/>
              </w:rPr>
              <w:t>Reverse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7" w:type="dxa"/>
            <w:tcBorders>
              <w:top w:val="single" w:color="auto" w:sz="4" w:space="0"/>
            </w:tcBorders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PKP2</w:t>
            </w:r>
          </w:p>
        </w:tc>
        <w:tc>
          <w:tcPr>
            <w:tcW w:w="1113" w:type="dxa"/>
            <w:tcBorders>
              <w:top w:val="single" w:color="auto" w:sz="4" w:space="0"/>
            </w:tcBorders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</w:tc>
        <w:tc>
          <w:tcPr>
            <w:tcW w:w="2947" w:type="dxa"/>
            <w:tcBorders>
              <w:top w:val="single" w:color="auto" w:sz="4" w:space="0"/>
            </w:tcBorders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TGCCGCAGCTACCTTCATACAG</w:t>
            </w:r>
          </w:p>
        </w:tc>
        <w:tc>
          <w:tcPr>
            <w:tcW w:w="3305" w:type="dxa"/>
            <w:tcBorders>
              <w:top w:val="single" w:color="auto" w:sz="4" w:space="0"/>
            </w:tcBorders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CACAAGCAGCCCGTTGAACATC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PKP2</w:t>
            </w:r>
          </w:p>
        </w:tc>
        <w:tc>
          <w:tcPr>
            <w:tcW w:w="1113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mice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294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GGAAGATGATGAGA</w:t>
            </w:r>
            <w:bookmarkStart w:id="1" w:name="_GoBack"/>
            <w:bookmarkEnd w:id="1"/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AGGTGTGATGG</w:t>
            </w:r>
          </w:p>
        </w:tc>
        <w:tc>
          <w:tcPr>
            <w:tcW w:w="3305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CTGGCTGGTAGTCTGCAATAGTTC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occludin</w:t>
            </w:r>
          </w:p>
        </w:tc>
        <w:tc>
          <w:tcPr>
            <w:tcW w:w="1113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mice</w:t>
            </w:r>
          </w:p>
        </w:tc>
        <w:tc>
          <w:tcPr>
            <w:tcW w:w="294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TGGCTATGGAGGCGGCTATGG</w:t>
            </w:r>
          </w:p>
        </w:tc>
        <w:tc>
          <w:tcPr>
            <w:tcW w:w="3305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ACTAAGGAAGCGATGAAGCAGAAGG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AQP5</w:t>
            </w:r>
          </w:p>
        </w:tc>
        <w:tc>
          <w:tcPr>
            <w:tcW w:w="1113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mice</w:t>
            </w:r>
          </w:p>
        </w:tc>
        <w:tc>
          <w:tcPr>
            <w:tcW w:w="294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CCGTGGTGGTGGAGTTAATCTTGAC</w:t>
            </w:r>
          </w:p>
        </w:tc>
        <w:tc>
          <w:tcPr>
            <w:tcW w:w="3305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TGTGACCGACAAGCCAATGGATAAG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 xml:space="preserve">JAM3 </w:t>
            </w:r>
          </w:p>
        </w:tc>
        <w:tc>
          <w:tcPr>
            <w:tcW w:w="1113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mice</w:t>
            </w:r>
          </w:p>
        </w:tc>
        <w:tc>
          <w:tcPr>
            <w:tcW w:w="294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CCATCTATCGCTGTGAGGTCGTTG</w:t>
            </w:r>
          </w:p>
        </w:tc>
        <w:tc>
          <w:tcPr>
            <w:tcW w:w="3305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GTTGCCGTCTTGCCTACAGGTAC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claudin5</w:t>
            </w:r>
          </w:p>
        </w:tc>
        <w:tc>
          <w:tcPr>
            <w:tcW w:w="1113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mice</w:t>
            </w:r>
          </w:p>
        </w:tc>
        <w:tc>
          <w:tcPr>
            <w:tcW w:w="294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TGGTGCTGTGTCTGGTAGGATGG</w:t>
            </w:r>
          </w:p>
        </w:tc>
        <w:tc>
          <w:tcPr>
            <w:tcW w:w="3305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GTCACGATGTTGTGGTCCAGGAAG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JAM3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AQP5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occludin</w:t>
            </w:r>
          </w:p>
        </w:tc>
        <w:tc>
          <w:tcPr>
            <w:tcW w:w="1113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 xml:space="preserve">human 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 xml:space="preserve">human  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294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TGTGAGGAGCAGGAGATGGAAGTC</w:t>
            </w:r>
          </w:p>
          <w:p>
            <w:pPr>
              <w:jc w:val="left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TGCCATCCTTTACTTCTACCTG</w:t>
            </w:r>
          </w:p>
          <w:p>
            <w:pPr>
              <w:jc w:val="left"/>
              <w:rPr>
                <w:rFonts w:hint="default" w:ascii="Arial" w:hAnsi="Arial" w:cs="Arial"/>
                <w:sz w:val="21"/>
                <w:szCs w:val="21"/>
                <w:lang w:eastAsia="en-US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AACTTCGCCTGTGGATGACTTCAG</w:t>
            </w:r>
          </w:p>
        </w:tc>
        <w:tc>
          <w:tcPr>
            <w:tcW w:w="3305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GCCAGTACAGCAAGGACAACCAG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CTCATACGTGCCTTTGATGATG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TTTGACCTTCCTGCTCTTCCCTTTG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claudin1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TNFα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 xml:space="preserve">IL-1β 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ZO-1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β-catenin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ptgs2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 xml:space="preserve">ve-cadherin 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AQP3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connexin43</w:t>
            </w:r>
          </w:p>
        </w:tc>
        <w:tc>
          <w:tcPr>
            <w:tcW w:w="1113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human</w:t>
            </w:r>
          </w:p>
        </w:tc>
        <w:tc>
          <w:tcPr>
            <w:tcW w:w="2947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TCTTGCAGGTCTGGCTATTTTA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AATGGCGTGGAGCTGAGAGATAAC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CCGACCACCACTACAGCAAGG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GCGGATGGTGCTACAAGTGATG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TGAGGACAAGCCACAAGATTACAAG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GGTTGCTGGTGGTAGGAATGTTC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GTACCACCTCACTGCTGTCATTG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CATTGCGGGTGTCTTCGTGTAC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CTCTCGCCTATGTCTCCTCCTG</w:t>
            </w:r>
          </w:p>
        </w:tc>
        <w:tc>
          <w:tcPr>
            <w:tcW w:w="3305" w:type="dxa"/>
          </w:tcPr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TTGGGTAAGAGGTTGTTTTTCG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CGGCTGATGGTGTGGGTGAG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GGGCAGGGAACCAGCATCTTC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GCCTTCTGTGTCTGTGTCTTCATAG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AGCAGTCTCATTCCAAGCCATTG CTGGTATTTCATCTGCCTGCTCTG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CATTGAACAACCGATGCGTGAAC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GCTTCACATTCTCTTCCTCGTTGG</w:t>
            </w:r>
          </w:p>
          <w:p>
            <w:pPr>
              <w:jc w:val="left"/>
              <w:rPr>
                <w:rFonts w:hint="default" w:ascii="Arial" w:hAnsi="Arial" w:eastAsia="等线" w:cs="Arial"/>
                <w:kern w:val="0"/>
                <w:sz w:val="21"/>
                <w:szCs w:val="21"/>
              </w:rPr>
            </w:pPr>
            <w:r>
              <w:rPr>
                <w:rFonts w:hint="default" w:ascii="Arial" w:hAnsi="Arial" w:eastAsia="等线" w:cs="Arial"/>
                <w:kern w:val="0"/>
                <w:sz w:val="21"/>
                <w:szCs w:val="21"/>
              </w:rPr>
              <w:t>TCACTTGCTTGCTTGTTGTAATTGC</w:t>
            </w:r>
          </w:p>
        </w:tc>
      </w:tr>
    </w:tbl>
    <w:p>
      <w:pPr>
        <w:jc w:val="left"/>
        <w:rPr>
          <w:rFonts w:hint="default" w:ascii="Arial" w:hAnsi="Arial" w:cs="Arial"/>
          <w:b/>
          <w:bCs/>
          <w:sz w:val="30"/>
          <w:szCs w:val="30"/>
        </w:rPr>
      </w:pPr>
      <w:r>
        <w:rPr>
          <w:rFonts w:hint="default" w:ascii="Arial" w:hAnsi="Arial" w:cs="Arial"/>
          <w:b/>
          <w:bCs/>
          <w:sz w:val="30"/>
          <w:szCs w:val="30"/>
        </w:rPr>
        <w:t>2  Results</w:t>
      </w:r>
    </w:p>
    <w:p>
      <w:pPr>
        <w:jc w:val="center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drawing>
          <wp:inline distT="0" distB="0" distL="114300" distR="114300">
            <wp:extent cx="4497705" cy="2276475"/>
            <wp:effectExtent l="0" t="0" r="13335" b="9525"/>
            <wp:docPr id="3" name="图片 3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Arial" w:hAnsi="Arial" w:cs="Arial"/>
          <w:sz w:val="21"/>
          <w:szCs w:val="21"/>
        </w:rPr>
      </w:pPr>
      <w:bookmarkStart w:id="0" w:name="OLE_LINK10"/>
      <w:r>
        <w:rPr>
          <w:rFonts w:hint="default" w:ascii="Arial" w:hAnsi="Arial" w:cs="Arial"/>
          <w:b/>
          <w:bCs/>
          <w:sz w:val="21"/>
          <w:szCs w:val="21"/>
        </w:rPr>
        <w:t xml:space="preserve">Figure S1 </w:t>
      </w:r>
      <w:r>
        <w:rPr>
          <w:rFonts w:hint="default" w:ascii="Arial" w:hAnsi="Arial" w:cs="Arial"/>
          <w:sz w:val="21"/>
          <w:szCs w:val="21"/>
        </w:rPr>
        <w:t>The pancreas exhibits elevated levels of inflammatory factors. The expression levels of IL-1β</w:t>
      </w:r>
      <w:r>
        <w:rPr>
          <w:rFonts w:hint="default" w:ascii="Arial" w:hAnsi="Arial" w:cs="Arial"/>
          <w:sz w:val="21"/>
          <w:szCs w:val="21"/>
          <w:lang w:val="en-US" w:eastAsia="zh-CN"/>
        </w:rPr>
        <w:t xml:space="preserve"> </w:t>
      </w:r>
      <w:r>
        <w:rPr>
          <w:rFonts w:hint="default" w:ascii="Arial" w:hAnsi="Arial" w:cs="Arial"/>
          <w:sz w:val="21"/>
          <w:szCs w:val="21"/>
        </w:rPr>
        <w:t>and TNF-α</w:t>
      </w:r>
      <w:r>
        <w:rPr>
          <w:rFonts w:hint="default" w:ascii="Arial" w:hAnsi="Arial" w:cs="Arial"/>
          <w:sz w:val="21"/>
          <w:szCs w:val="21"/>
          <w:lang w:val="en-US" w:eastAsia="zh-CN"/>
        </w:rPr>
        <w:t xml:space="preserve"> </w:t>
      </w:r>
      <w:r>
        <w:rPr>
          <w:rFonts w:hint="default" w:ascii="Arial" w:hAnsi="Arial" w:cs="Arial"/>
          <w:sz w:val="21"/>
          <w:szCs w:val="21"/>
        </w:rPr>
        <w:t>mRNA in the pancreas were quantified using qRT-PCR (n = 12/group).There were 6 mice in each group (representative from three independent experiments).*p &lt; 0.05,**p &lt; 0.01,** p &lt; 0.001,**** p &lt;0 .0001.</w:t>
      </w:r>
      <w:bookmarkEnd w:id="0"/>
      <w:r>
        <w:rPr>
          <w:rFonts w:hint="default" w:ascii="Arial" w:hAnsi="Arial" w:cs="Arial"/>
          <w:sz w:val="21"/>
          <w:szCs w:val="21"/>
        </w:rPr>
        <w:drawing>
          <wp:inline distT="0" distB="0" distL="114300" distR="114300">
            <wp:extent cx="5080635" cy="3644900"/>
            <wp:effectExtent l="0" t="0" r="9525" b="12700"/>
            <wp:docPr id="4" name="图片 4" descr="S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2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b/>
          <w:bCs/>
          <w:sz w:val="21"/>
          <w:szCs w:val="21"/>
        </w:rPr>
        <w:t>Figure S2</w:t>
      </w:r>
      <w:r>
        <w:rPr>
          <w:rFonts w:hint="default" w:ascii="Arial" w:hAnsi="Arial" w:cs="Arial"/>
          <w:sz w:val="21"/>
          <w:szCs w:val="21"/>
        </w:rPr>
        <w:t xml:space="preserve"> The levels of inflammatory factors were elevated following stimulation of 266-6 cells with caerulein. The expression levels of IL-1β, TNF-α, IL-6 mRNA, and PKP2 in 266-6 cells from the control group, as well as those treated with concentrations of 50nM, 100nM, 200nM, and 400nM were assessed using qRT-PCR. GAPDH was utilized as an internal control (representative of three independent experiments).*p &lt; 0.05,**p &lt; 0.01,** p &lt; 0.001,**** p &lt;0 .0001.</w:t>
      </w:r>
    </w:p>
    <w:sectPr>
      <w:footerReference r:id="rId5" w:type="first"/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Rockwell">
    <w:panose1 w:val="02060603020205020403"/>
    <w:charset w:val="00"/>
    <w:family w:val="roman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14855311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61312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N1jinTAAAABAEAAA8AAAAAAAAAAQAgAAAAIgAAAGRy&#10;cy9kb3ducmV2LnhtbFBLAQIUABQAAAAIAIdO4kAbn505QwIAAIgEAAAOAAAAAAAAAAEAIAAAACIB&#10;AABkcnMvZTJvRG9jLnhtbFBLBQYAAAAABgAGAFkBAADX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486609731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60288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dY4p0wAAAAQBAAAPAAAAAAAAAAEAIAAAACIAAABk&#10;cnMvZG93bnJldi54bWxQSwECFAAUAAAACACHTuJAohFBh0QCAACIBAAADgAAAAAAAAABACAAAAAi&#10;AQAAZHJzL2Uyb0RvYy54bWxQSwUGAAAAAAYABgBZAQAA2AUAAAAA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14723867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59264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N1jinTAAAABAEAAA8AAAAAAAAAAQAgAAAAIgAAAGRy&#10;cy9kb3ducmV2LnhtbFBLAQIUABQAAAAIAIdO4kDIOXlZQwIAAIkEAAAOAAAAAAAAAAEAIAAAACIB&#10;AABkcnMvZTJvRG9jLnhtbFBLBQYAAAAABgAGAFkBAADX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4MDUxMGJlYzliNWU3Y2YzZGM5NWQ1OGY5ZTNmYTcifQ=="/>
  </w:docVars>
  <w:rsids>
    <w:rsidRoot w:val="0306272F"/>
    <w:rsid w:val="0028524B"/>
    <w:rsid w:val="009B7FDB"/>
    <w:rsid w:val="00BA5613"/>
    <w:rsid w:val="00FA5214"/>
    <w:rsid w:val="0306272F"/>
    <w:rsid w:val="063F594E"/>
    <w:rsid w:val="0C1B6CBC"/>
    <w:rsid w:val="18A23FFA"/>
    <w:rsid w:val="213A5734"/>
    <w:rsid w:val="23BC5F31"/>
    <w:rsid w:val="276B40B8"/>
    <w:rsid w:val="2DA509EF"/>
    <w:rsid w:val="2F2C2DF5"/>
    <w:rsid w:val="44E86C19"/>
    <w:rsid w:val="47B03BA9"/>
    <w:rsid w:val="4D310D32"/>
    <w:rsid w:val="6BD46EF8"/>
    <w:rsid w:val="6C4F2FBF"/>
    <w:rsid w:val="76AB731C"/>
    <w:rsid w:val="7A7673A0"/>
    <w:rsid w:val="7F6E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9"/>
    <w:autoRedefine/>
    <w:qFormat/>
    <w:uiPriority w:val="0"/>
    <w:rPr>
      <w:sz w:val="20"/>
      <w:szCs w:val="20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513"/>
        <w:tab w:val="right" w:pos="9026"/>
      </w:tabs>
    </w:pPr>
  </w:style>
  <w:style w:type="paragraph" w:styleId="4">
    <w:name w:val="annotation subject"/>
    <w:basedOn w:val="2"/>
    <w:next w:val="2"/>
    <w:link w:val="10"/>
    <w:autoRedefine/>
    <w:qFormat/>
    <w:uiPriority w:val="0"/>
    <w:rPr>
      <w:b/>
      <w:bCs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annotation reference"/>
    <w:basedOn w:val="7"/>
    <w:autoRedefine/>
    <w:qFormat/>
    <w:uiPriority w:val="0"/>
    <w:rPr>
      <w:sz w:val="16"/>
      <w:szCs w:val="16"/>
    </w:rPr>
  </w:style>
  <w:style w:type="character" w:customStyle="1" w:styleId="9">
    <w:name w:val="Comment Text Char"/>
    <w:basedOn w:val="7"/>
    <w:link w:val="2"/>
    <w:autoRedefine/>
    <w:qFormat/>
    <w:uiPriority w:val="0"/>
    <w:rPr>
      <w:kern w:val="2"/>
      <w:lang w:val="en-US" w:eastAsia="zh-CN"/>
    </w:rPr>
  </w:style>
  <w:style w:type="character" w:customStyle="1" w:styleId="10">
    <w:name w:val="Comment Subject Char"/>
    <w:basedOn w:val="9"/>
    <w:link w:val="4"/>
    <w:autoRedefine/>
    <w:qFormat/>
    <w:uiPriority w:val="0"/>
    <w:rPr>
      <w:b/>
      <w:bCs/>
      <w:kern w:val="2"/>
      <w:lang w:val="en-US" w:eastAsia="zh-CN"/>
    </w:rPr>
  </w:style>
  <w:style w:type="character" w:customStyle="1" w:styleId="11">
    <w:name w:val="Footer Char"/>
    <w:basedOn w:val="7"/>
    <w:link w:val="3"/>
    <w:autoRedefine/>
    <w:qFormat/>
    <w:uiPriority w:val="0"/>
    <w:rPr>
      <w:kern w:val="2"/>
      <w:sz w:val="21"/>
      <w:szCs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 plc</Company>
  <Pages>2</Pages>
  <Words>300</Words>
  <Characters>1716</Characters>
  <Lines>14</Lines>
  <Paragraphs>4</Paragraphs>
  <TotalTime>14</TotalTime>
  <ScaleCrop>false</ScaleCrop>
  <LinksUpToDate>false</LinksUpToDate>
  <CharactersWithSpaces>2012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2024-01-12T13:38:00Z</dcterms:created>
  <dc:creator>Starry</dc:creator>
  <cp:lastModifiedBy>Starry</cp:lastModifiedBy>
  <dcterms:modified xsi:type="dcterms:W3CDTF">2024-05-25T11:31:57Z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2BF6223D22CF41F296EBC4AF73EF45A3_13</vt:lpwstr>
  </property>
  <property fmtid="{D5CDD505-2E9C-101B-9397-08002B2CF9AE}" pid="4" name="ClassificationContentMarkingFooterShapeIds">
    <vt:lpwstr>4271561b,1d011343,cce6e8f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2024-05-25T03:40:26Z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4048c0f5-4942-4a25-a8dc-04914b472db2</vt:lpwstr>
  </property>
  <property fmtid="{D5CDD505-2E9C-101B-9397-08002B2CF9AE}" pid="13" name="MSIP_Label_2bbab825-a111-45e4-86a1-18cee0005896_ContentBits">
    <vt:lpwstr>2</vt:lpwstr>
  </property>
</Properties>
</file>