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6B77" w14:textId="77777777" w:rsidR="00A4183B" w:rsidRPr="00A4183B" w:rsidRDefault="00A4183B" w:rsidP="00DF139B">
      <w:pPr>
        <w:rPr>
          <w:rFonts w:ascii="Arial" w:hAnsi="Arial" w:cs="Times New Roman"/>
          <w:b/>
          <w:bCs/>
          <w:sz w:val="40"/>
          <w:szCs w:val="40"/>
        </w:rPr>
      </w:pPr>
      <w:r w:rsidRPr="00A4183B">
        <w:rPr>
          <w:rFonts w:ascii="Arial" w:hAnsi="Arial" w:cs="Times New Roman" w:hint="eastAsia"/>
          <w:b/>
          <w:bCs/>
          <w:sz w:val="40"/>
          <w:szCs w:val="40"/>
        </w:rPr>
        <w:t>Supplementary files</w:t>
      </w:r>
    </w:p>
    <w:p w14:paraId="182E5DDD" w14:textId="446DBB0B" w:rsidR="00A4183B" w:rsidRDefault="00A4183B" w:rsidP="00A4183B">
      <w:pPr>
        <w:jc w:val="center"/>
        <w:rPr>
          <w:rFonts w:ascii="Arial" w:hAnsi="Arial" w:cs="Times New Roman"/>
          <w:b/>
          <w:bCs/>
          <w:sz w:val="20"/>
          <w:szCs w:val="24"/>
        </w:rPr>
      </w:pPr>
      <w:r w:rsidRPr="00A4183B">
        <w:rPr>
          <w:rFonts w:ascii="Arial" w:hAnsi="Arial" w:cs="Times New Roman"/>
          <w:b/>
          <w:bCs/>
          <w:szCs w:val="28"/>
        </w:rPr>
        <w:t>Gut microbiota disorder cont</w:t>
      </w:r>
      <w:r w:rsidRPr="00A4183B">
        <w:rPr>
          <w:rFonts w:ascii="Arial" w:hAnsi="Arial" w:cs="Times New Roman"/>
          <w:b/>
          <w:bCs/>
          <w:sz w:val="20"/>
          <w:szCs w:val="24"/>
        </w:rPr>
        <w:t>ributes to the production of IL-17A that exerts chemotaxis via binding to IL-17RA in endometriosis</w:t>
      </w:r>
    </w:p>
    <w:p w14:paraId="384F1AC1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A4183B">
        <w:rPr>
          <w:rFonts w:ascii="Arial" w:eastAsia="等线" w:hAnsi="Arial" w:cs="Times New Roman" w:hint="eastAsia"/>
          <w:kern w:val="0"/>
          <w:sz w:val="20"/>
          <w:szCs w:val="24"/>
          <w:lang w:eastAsia="en-US"/>
        </w:rPr>
        <w:t>Y</w:t>
      </w: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angshuo Li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1, *</w:t>
      </w:r>
    </w:p>
    <w:p w14:paraId="4DC237BA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</w:pP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Zhihao Zhou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1, 2, *</w:t>
      </w:r>
    </w:p>
    <w:p w14:paraId="2EE0BDB4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</w:pP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Xiaolan Liang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1, *</w:t>
      </w:r>
    </w:p>
    <w:p w14:paraId="7EDA61C7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Jie Ding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</w:p>
    <w:p w14:paraId="1AE602C3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</w:pPr>
      <w:proofErr w:type="spellStart"/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Yalun</w:t>
      </w:r>
      <w:proofErr w:type="spellEnd"/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He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</w:p>
    <w:p w14:paraId="0504A2DF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Shuai Sun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</w:p>
    <w:p w14:paraId="1DE9090D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</w:pP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Wen Cheng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</w:p>
    <w:p w14:paraId="100CE881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</w:pPr>
      <w:proofErr w:type="spellStart"/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Zhexin</w:t>
      </w:r>
      <w:proofErr w:type="spellEnd"/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Ni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1, 3, #</w:t>
      </w:r>
    </w:p>
    <w:p w14:paraId="5A4059DB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</w:pPr>
      <w:proofErr w:type="spellStart"/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Chaoqin</w:t>
      </w:r>
      <w:proofErr w:type="spellEnd"/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Yu</w:t>
      </w: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1, #</w:t>
      </w:r>
    </w:p>
    <w:p w14:paraId="71C3FADA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color w:val="000000"/>
          <w:kern w:val="0"/>
          <w:sz w:val="20"/>
          <w:szCs w:val="24"/>
          <w:lang w:eastAsia="en-US"/>
        </w:rPr>
      </w:pPr>
      <w:r w:rsidRPr="00A4183B">
        <w:rPr>
          <w:rFonts w:ascii="Arial" w:eastAsia="等线" w:hAnsi="Arial" w:cs="Times New Roman"/>
          <w:color w:val="000000"/>
          <w:kern w:val="0"/>
          <w:sz w:val="20"/>
          <w:szCs w:val="24"/>
          <w:lang w:eastAsia="en-US"/>
        </w:rPr>
        <w:t>*These authors contributed equally to this work</w:t>
      </w:r>
    </w:p>
    <w:p w14:paraId="067B644D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</w:p>
    <w:p w14:paraId="46C38F0D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A4183B">
        <w:rPr>
          <w:rFonts w:ascii="Arial" w:eastAsia="等线" w:hAnsi="Arial" w:cs="Times New Roman" w:hint="eastAsia"/>
          <w:kern w:val="0"/>
          <w:sz w:val="20"/>
          <w:szCs w:val="24"/>
          <w:vertAlign w:val="superscript"/>
        </w:rPr>
        <w:t>1</w:t>
      </w: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Department of Traditional Chinese Gynecology, The First Affiliated Hospital of Naval Military Medical University (</w:t>
      </w:r>
      <w:proofErr w:type="spellStart"/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Changhai</w:t>
      </w:r>
      <w:proofErr w:type="spellEnd"/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Hospital), Shanghai, China</w:t>
      </w:r>
      <w:r w:rsidRPr="00A4183B">
        <w:rPr>
          <w:rFonts w:ascii="Arial" w:eastAsia="等线" w:hAnsi="Arial" w:cs="Times New Roman" w:hint="eastAsia"/>
          <w:kern w:val="0"/>
          <w:sz w:val="20"/>
          <w:szCs w:val="24"/>
          <w:lang w:eastAsia="en-US"/>
        </w:rPr>
        <w:t>;</w:t>
      </w: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</w:t>
      </w:r>
    </w:p>
    <w:p w14:paraId="5753BE96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A4183B">
        <w:rPr>
          <w:rFonts w:ascii="Arial" w:eastAsia="等线" w:hAnsi="Arial" w:cs="Times New Roman" w:hint="eastAsia"/>
          <w:kern w:val="0"/>
          <w:sz w:val="20"/>
          <w:szCs w:val="24"/>
          <w:vertAlign w:val="superscript"/>
          <w:lang w:eastAsia="en-US"/>
        </w:rPr>
        <w:t>2</w:t>
      </w: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Traditional Chinese Medicine Department, No. 929 Hospital, Naval Medical University,</w:t>
      </w:r>
      <w:r w:rsidRPr="00A4183B">
        <w:rPr>
          <w:rFonts w:ascii="Arial" w:eastAsia="等线" w:hAnsi="Arial" w:cs="Times New Roman" w:hint="eastAsia"/>
          <w:kern w:val="0"/>
          <w:sz w:val="20"/>
          <w:szCs w:val="24"/>
        </w:rPr>
        <w:t xml:space="preserve"> </w:t>
      </w: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Shanghai, China</w:t>
      </w:r>
      <w:r w:rsidRPr="00A4183B">
        <w:rPr>
          <w:rFonts w:ascii="Arial" w:eastAsia="等线" w:hAnsi="Arial" w:cs="Times New Roman" w:hint="eastAsia"/>
          <w:kern w:val="0"/>
          <w:sz w:val="20"/>
          <w:szCs w:val="24"/>
          <w:lang w:eastAsia="en-US"/>
        </w:rPr>
        <w:t>;</w:t>
      </w: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</w:t>
      </w:r>
    </w:p>
    <w:p w14:paraId="42C36AAA" w14:textId="77777777" w:rsidR="00A4183B" w:rsidRPr="00A4183B" w:rsidRDefault="00A4183B" w:rsidP="00A4183B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A4183B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3</w:t>
      </w:r>
      <w:r w:rsidRPr="00A4183B">
        <w:rPr>
          <w:rFonts w:ascii="Arial" w:eastAsia="等线" w:hAnsi="Arial" w:cs="Times New Roman"/>
          <w:kern w:val="0"/>
          <w:sz w:val="20"/>
          <w:szCs w:val="24"/>
          <w:lang w:eastAsia="en-US"/>
        </w:rPr>
        <w:t>Department of Pharmaceutical Sciences, Beijing Institute of Radiation Medicine, Beijing 100850, China</w:t>
      </w:r>
    </w:p>
    <w:p w14:paraId="48BE5572" w14:textId="77777777" w:rsidR="00A4183B" w:rsidRPr="00A4183B" w:rsidRDefault="00A4183B" w:rsidP="00DF139B">
      <w:pPr>
        <w:rPr>
          <w:rFonts w:ascii="Arial" w:hAnsi="Arial" w:cs="Times New Roman" w:hint="eastAsia"/>
          <w:b/>
          <w:bCs/>
          <w:sz w:val="20"/>
          <w:szCs w:val="24"/>
        </w:rPr>
      </w:pPr>
    </w:p>
    <w:p w14:paraId="6294549F" w14:textId="77777777" w:rsidR="00A4183B" w:rsidRDefault="00A4183B" w:rsidP="00DF139B">
      <w:pPr>
        <w:rPr>
          <w:rFonts w:ascii="Arial" w:hAnsi="Arial" w:cs="Times New Roman"/>
          <w:b/>
          <w:bCs/>
          <w:sz w:val="20"/>
          <w:szCs w:val="24"/>
        </w:rPr>
      </w:pPr>
    </w:p>
    <w:p w14:paraId="72D3EA4F" w14:textId="45D39F55" w:rsidR="00DF139B" w:rsidRDefault="00DF139B" w:rsidP="00DF139B">
      <w:pPr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宋体" w:hAnsi="Arial" w:cs="Arial"/>
          <w:noProof/>
          <w:sz w:val="20"/>
          <w:szCs w:val="20"/>
          <w:shd w:val="clear" w:color="auto" w:fill="FFFFFF"/>
        </w:rPr>
        <w:lastRenderedPageBreak/>
        <w:drawing>
          <wp:inline distT="0" distB="0" distL="0" distR="0" wp14:anchorId="46D0D681" wp14:editId="54C1EBCD">
            <wp:extent cx="5274310" cy="2255520"/>
            <wp:effectExtent l="0" t="0" r="2540" b="0"/>
            <wp:docPr id="12214061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94276" name="图片 9451942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Times New Roman" w:hint="eastAsia"/>
          <w:b/>
          <w:bCs/>
          <w:sz w:val="20"/>
          <w:szCs w:val="24"/>
        </w:rPr>
        <w:t>F</w:t>
      </w:r>
      <w:r w:rsidRPr="0093006F">
        <w:rPr>
          <w:rFonts w:ascii="Arial" w:hAnsi="Arial" w:cs="Times New Roman"/>
          <w:b/>
          <w:bCs/>
          <w:sz w:val="20"/>
          <w:szCs w:val="24"/>
        </w:rPr>
        <w:t>ig</w:t>
      </w:r>
      <w:r w:rsidRPr="0093006F">
        <w:rPr>
          <w:b/>
          <w:bCs/>
        </w:rPr>
        <w:t>ure</w:t>
      </w:r>
      <w:r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>
        <w:rPr>
          <w:rFonts w:ascii="Arial" w:eastAsia="宋体" w:hAnsi="Arial" w:cs="Arial" w:hint="eastAsia"/>
          <w:b/>
          <w:bCs/>
          <w:sz w:val="20"/>
          <w:szCs w:val="20"/>
        </w:rPr>
        <w:t>S</w:t>
      </w:r>
      <w:r>
        <w:rPr>
          <w:rFonts w:ascii="Arial" w:eastAsia="宋体" w:hAnsi="Arial" w:cs="Arial" w:hint="eastAsia"/>
          <w:b/>
          <w:bCs/>
          <w:sz w:val="20"/>
          <w:szCs w:val="20"/>
          <w:shd w:val="clear" w:color="auto" w:fill="FFFFFF"/>
        </w:rPr>
        <w:t>1</w:t>
      </w:r>
      <w:r w:rsidRPr="00153DD0"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  <w:t xml:space="preserve"> Flow cytometry gate strategy diagram for Th17 cells and Treg cells.</w:t>
      </w:r>
    </w:p>
    <w:p w14:paraId="2958302F" w14:textId="77777777" w:rsidR="00DF139B" w:rsidRDefault="00DF139B" w:rsidP="00DF139B">
      <w:pPr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</w:pPr>
    </w:p>
    <w:p w14:paraId="46936AD1" w14:textId="77777777" w:rsidR="00DF139B" w:rsidRDefault="00DF139B" w:rsidP="00DF139B">
      <w:pPr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</w:pPr>
    </w:p>
    <w:p w14:paraId="600AADAE" w14:textId="77777777" w:rsidR="00DF139B" w:rsidRDefault="00DF139B" w:rsidP="00DF139B">
      <w:pPr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</w:pPr>
    </w:p>
    <w:p w14:paraId="1FC30CA2" w14:textId="77777777" w:rsidR="00DF139B" w:rsidRDefault="00DF139B" w:rsidP="00DF139B">
      <w:pPr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</w:pPr>
    </w:p>
    <w:p w14:paraId="5C36BD0F" w14:textId="77777777" w:rsidR="00DF139B" w:rsidRPr="00DF139B" w:rsidRDefault="00DF139B" w:rsidP="00DF139B">
      <w:pPr>
        <w:rPr>
          <w:rFonts w:ascii="Arial" w:eastAsia="宋体" w:hAnsi="Arial" w:cs="Arial"/>
          <w:sz w:val="20"/>
          <w:szCs w:val="20"/>
          <w:shd w:val="clear" w:color="auto" w:fill="FFFFFF"/>
        </w:rPr>
      </w:pPr>
    </w:p>
    <w:p w14:paraId="45D3D871" w14:textId="59D8E139" w:rsidR="00153DD0" w:rsidRPr="0093006F" w:rsidRDefault="003461F4" w:rsidP="00153DD0">
      <w:pPr>
        <w:rPr>
          <w:rFonts w:ascii="Arial" w:eastAsia="宋体" w:hAnsi="Arial" w:cs="Arial"/>
          <w:b/>
          <w:bCs/>
          <w:sz w:val="20"/>
          <w:szCs w:val="20"/>
        </w:rPr>
      </w:pPr>
      <w:r>
        <w:rPr>
          <w:rFonts w:ascii="Arial" w:eastAsia="宋体" w:hAnsi="Arial" w:cs="Arial"/>
          <w:b/>
          <w:bCs/>
          <w:noProof/>
          <w:sz w:val="20"/>
          <w:szCs w:val="20"/>
        </w:rPr>
        <w:drawing>
          <wp:inline distT="0" distB="0" distL="0" distR="0" wp14:anchorId="04904C60" wp14:editId="42B75390">
            <wp:extent cx="5274310" cy="3880485"/>
            <wp:effectExtent l="0" t="0" r="2540" b="5715"/>
            <wp:docPr id="12317660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6608" name="图片 1231766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39B">
        <w:rPr>
          <w:rFonts w:ascii="Arial" w:hAnsi="Arial" w:cs="Times New Roman" w:hint="eastAsia"/>
          <w:b/>
          <w:bCs/>
          <w:sz w:val="20"/>
          <w:szCs w:val="24"/>
        </w:rPr>
        <w:t>F</w:t>
      </w:r>
      <w:r w:rsidR="0093006F" w:rsidRPr="0093006F">
        <w:rPr>
          <w:rFonts w:ascii="Arial" w:hAnsi="Arial" w:cs="Times New Roman"/>
          <w:b/>
          <w:bCs/>
          <w:sz w:val="20"/>
          <w:szCs w:val="24"/>
        </w:rPr>
        <w:t>ig</w:t>
      </w:r>
      <w:r w:rsidR="0093006F" w:rsidRPr="0093006F">
        <w:rPr>
          <w:b/>
          <w:bCs/>
        </w:rPr>
        <w:t>ure</w:t>
      </w:r>
      <w:r w:rsidR="0093006F"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 w:rsidR="00DF139B">
        <w:rPr>
          <w:rFonts w:ascii="Arial" w:eastAsia="宋体" w:hAnsi="Arial" w:cs="Arial" w:hint="eastAsia"/>
          <w:b/>
          <w:bCs/>
          <w:sz w:val="20"/>
          <w:szCs w:val="20"/>
        </w:rPr>
        <w:t>S2</w:t>
      </w:r>
      <w:r w:rsidR="0093006F" w:rsidRPr="00153DD0"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 w:rsidR="00153DD0" w:rsidRPr="00153DD0">
        <w:rPr>
          <w:rFonts w:ascii="Arial" w:eastAsia="宋体" w:hAnsi="Arial" w:cs="Arial"/>
          <w:b/>
          <w:bCs/>
          <w:sz w:val="20"/>
          <w:szCs w:val="20"/>
        </w:rPr>
        <w:t xml:space="preserve">Single-cell sequencing analysis from EM patients and controls. </w:t>
      </w:r>
      <w:r w:rsidR="00153DD0" w:rsidRPr="00153DD0">
        <w:rPr>
          <w:rFonts w:ascii="Arial" w:eastAsia="宋体" w:hAnsi="Arial" w:cs="Arial"/>
          <w:sz w:val="20"/>
          <w:szCs w:val="20"/>
        </w:rPr>
        <w:t xml:space="preserve">(A) UMAP down-plot of samples after Harmony integration. There were three samples of control in </w:t>
      </w:r>
      <w:proofErr w:type="spellStart"/>
      <w:r w:rsidR="00153DD0" w:rsidRPr="00153DD0">
        <w:rPr>
          <w:rFonts w:ascii="Arial" w:eastAsia="宋体" w:hAnsi="Arial" w:cs="Arial"/>
          <w:sz w:val="20"/>
          <w:szCs w:val="20"/>
        </w:rPr>
        <w:t>eutopic</w:t>
      </w:r>
      <w:proofErr w:type="spellEnd"/>
      <w:r w:rsidR="00153DD0" w:rsidRPr="00153DD0">
        <w:rPr>
          <w:rFonts w:ascii="Arial" w:eastAsia="宋体" w:hAnsi="Arial" w:cs="Arial"/>
          <w:sz w:val="20"/>
          <w:szCs w:val="20"/>
        </w:rPr>
        <w:t xml:space="preserve"> endometrium (C01-C03), and 11 samples of </w:t>
      </w:r>
      <w:proofErr w:type="spellStart"/>
      <w:r w:rsidR="00153DD0" w:rsidRPr="00153DD0">
        <w:rPr>
          <w:rFonts w:ascii="Arial" w:eastAsia="宋体" w:hAnsi="Arial" w:cs="Arial"/>
          <w:sz w:val="20"/>
          <w:szCs w:val="20"/>
        </w:rPr>
        <w:t>eutopic</w:t>
      </w:r>
      <w:proofErr w:type="spellEnd"/>
      <w:r w:rsidR="00153DD0" w:rsidRPr="00153DD0">
        <w:rPr>
          <w:rFonts w:ascii="Arial" w:eastAsia="宋体" w:hAnsi="Arial" w:cs="Arial"/>
          <w:sz w:val="20"/>
          <w:szCs w:val="20"/>
        </w:rPr>
        <w:t xml:space="preserve"> and ectopic endometrium from EM patients. (B) Distribution of cells based on tissue type was shown in UMAP after Harmony batch-corrected. (C) Violin plots of the expression levels of IL17/IL17R-related genes in different cell subpopulations.</w:t>
      </w:r>
    </w:p>
    <w:p w14:paraId="6B2352CC" w14:textId="7132733C" w:rsidR="00153DD0" w:rsidRPr="00DF139B" w:rsidRDefault="003461F4" w:rsidP="00153DD0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noProof/>
          <w:sz w:val="20"/>
          <w:szCs w:val="20"/>
        </w:rPr>
        <w:lastRenderedPageBreak/>
        <w:drawing>
          <wp:inline distT="0" distB="0" distL="0" distR="0" wp14:anchorId="02E0766F" wp14:editId="3C48198A">
            <wp:extent cx="5274310" cy="7610475"/>
            <wp:effectExtent l="0" t="0" r="2540" b="9525"/>
            <wp:docPr id="79558770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87702" name="图片 7955877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39B">
        <w:rPr>
          <w:rFonts w:ascii="Arial" w:hAnsi="Arial" w:cs="Times New Roman" w:hint="eastAsia"/>
          <w:b/>
          <w:bCs/>
          <w:sz w:val="20"/>
          <w:szCs w:val="24"/>
        </w:rPr>
        <w:t>F</w:t>
      </w:r>
      <w:r w:rsidR="0093006F" w:rsidRPr="0093006F">
        <w:rPr>
          <w:rFonts w:ascii="Arial" w:hAnsi="Arial" w:cs="Times New Roman"/>
          <w:b/>
          <w:bCs/>
          <w:sz w:val="20"/>
          <w:szCs w:val="24"/>
        </w:rPr>
        <w:t>ig</w:t>
      </w:r>
      <w:r w:rsidR="0093006F" w:rsidRPr="0093006F">
        <w:rPr>
          <w:b/>
          <w:bCs/>
        </w:rPr>
        <w:t>ure</w:t>
      </w:r>
      <w:r w:rsidR="0093006F"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 w:rsidR="00DF139B">
        <w:rPr>
          <w:rFonts w:ascii="Arial" w:eastAsia="宋体" w:hAnsi="Arial" w:cs="Arial" w:hint="eastAsia"/>
          <w:b/>
          <w:bCs/>
          <w:sz w:val="20"/>
          <w:szCs w:val="20"/>
        </w:rPr>
        <w:t>S3</w:t>
      </w:r>
      <w:r w:rsidR="00153DD0" w:rsidRPr="00153DD0">
        <w:rPr>
          <w:rFonts w:ascii="Arial" w:eastAsia="宋体" w:hAnsi="Arial" w:cs="Arial"/>
          <w:b/>
          <w:bCs/>
          <w:sz w:val="20"/>
          <w:szCs w:val="20"/>
        </w:rPr>
        <w:t xml:space="preserve"> Expression levels of IL17 and IL17R-related genes. </w:t>
      </w:r>
      <w:r w:rsidR="00153DD0" w:rsidRPr="00153DD0">
        <w:rPr>
          <w:rFonts w:ascii="Arial" w:eastAsia="宋体" w:hAnsi="Arial" w:cs="Arial"/>
          <w:sz w:val="20"/>
          <w:szCs w:val="20"/>
        </w:rPr>
        <w:t>(A)</w:t>
      </w:r>
      <w:r w:rsidR="00153DD0" w:rsidRPr="00153DD0"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 xml:space="preserve">UMAP representation of IL17/IL17R-related gene expression in the global graph clustering. (B) UMAP downscaling plots of myeloid cell subpopulations in </w:t>
      </w:r>
      <w:proofErr w:type="spellStart"/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>EcP</w:t>
      </w:r>
      <w:proofErr w:type="spellEnd"/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 xml:space="preserve"> and </w:t>
      </w:r>
      <w:proofErr w:type="spellStart"/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>EcPA</w:t>
      </w:r>
      <w:proofErr w:type="spellEnd"/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 xml:space="preserve"> tissues. (C) Violin plots of the expression levels of IL17RA in myeloid cell subpopulations (monocytes, macrophages, dendritic cells, and mural cells). (D) UMAP representation of IL17RA+ (high) and IL17RA- (low) cell clusters in myeloid </w:t>
      </w:r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lastRenderedPageBreak/>
        <w:t xml:space="preserve">cell clusters in </w:t>
      </w:r>
      <w:proofErr w:type="spellStart"/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>EcP</w:t>
      </w:r>
      <w:proofErr w:type="spellEnd"/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 xml:space="preserve"> and </w:t>
      </w:r>
      <w:proofErr w:type="spellStart"/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>EcPA</w:t>
      </w:r>
      <w:proofErr w:type="spellEnd"/>
      <w:r w:rsidR="00153DD0" w:rsidRPr="00153DD0">
        <w:rPr>
          <w:rFonts w:ascii="Arial" w:eastAsia="宋体" w:hAnsi="Arial" w:cs="Arial"/>
          <w:sz w:val="20"/>
          <w:szCs w:val="20"/>
          <w:shd w:val="clear" w:color="auto" w:fill="FFFFFF"/>
        </w:rPr>
        <w:t xml:space="preserve"> tissues.</w:t>
      </w:r>
    </w:p>
    <w:p w14:paraId="6D9B0D5F" w14:textId="77777777" w:rsidR="0081663B" w:rsidRDefault="0081663B">
      <w:pPr>
        <w:rPr>
          <w:rFonts w:ascii="Arial" w:hAnsi="Arial" w:cs="Arial"/>
        </w:rPr>
      </w:pPr>
    </w:p>
    <w:p w14:paraId="06EA1C9F" w14:textId="77777777" w:rsidR="00DF139B" w:rsidRPr="00153DD0" w:rsidRDefault="00DF139B">
      <w:pPr>
        <w:rPr>
          <w:rFonts w:ascii="Arial" w:hAnsi="Arial" w:cs="Arial"/>
        </w:rPr>
      </w:pPr>
    </w:p>
    <w:sectPr w:rsidR="00DF139B" w:rsidRPr="00153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DD2C3" w14:textId="77777777" w:rsidR="00C07D41" w:rsidRDefault="00C07D41" w:rsidP="003461F4">
      <w:r>
        <w:separator/>
      </w:r>
    </w:p>
  </w:endnote>
  <w:endnote w:type="continuationSeparator" w:id="0">
    <w:p w14:paraId="654A1E12" w14:textId="77777777" w:rsidR="00C07D41" w:rsidRDefault="00C07D41" w:rsidP="0034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560BA" w14:textId="77777777" w:rsidR="00C07D41" w:rsidRDefault="00C07D41" w:rsidP="003461F4">
      <w:r>
        <w:separator/>
      </w:r>
    </w:p>
  </w:footnote>
  <w:footnote w:type="continuationSeparator" w:id="0">
    <w:p w14:paraId="529995C5" w14:textId="77777777" w:rsidR="00C07D41" w:rsidRDefault="00C07D41" w:rsidP="00346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D0"/>
    <w:rsid w:val="000566C5"/>
    <w:rsid w:val="00153DD0"/>
    <w:rsid w:val="00325757"/>
    <w:rsid w:val="003461F4"/>
    <w:rsid w:val="0081663B"/>
    <w:rsid w:val="008742DE"/>
    <w:rsid w:val="0093006F"/>
    <w:rsid w:val="00A4183B"/>
    <w:rsid w:val="00BF121B"/>
    <w:rsid w:val="00C07D41"/>
    <w:rsid w:val="00D53068"/>
    <w:rsid w:val="00DF139B"/>
    <w:rsid w:val="00E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CF87B"/>
  <w15:chartTrackingRefBased/>
  <w15:docId w15:val="{50B2C7AA-3AD6-4A37-9A5B-3B67C2BE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1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249</Words>
  <Characters>1482</Characters>
  <Application>Microsoft Office Word</Application>
  <DocSecurity>0</DocSecurity>
  <Lines>44</Lines>
  <Paragraphs>18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Yangshuo Li</dc:creator>
  <cp:keywords/>
  <dc:description/>
  <cp:lastModifiedBy>Yangshuo Li</cp:lastModifiedBy>
  <cp:revision>3</cp:revision>
  <dcterms:created xsi:type="dcterms:W3CDTF">2024-05-13T08:51:00Z</dcterms:created>
  <dcterms:modified xsi:type="dcterms:W3CDTF">2024-05-22T03:20:00Z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d158df65-a7bd-4e94-9ca2-455db148b0d4</vt:lpwstr>
  </property>
</Properties>
</file>