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D64C3" w14:textId="77777777" w:rsidR="00A05816" w:rsidRPr="00A05816" w:rsidRDefault="00A05816">
      <w:pPr>
        <w:rPr>
          <w:rFonts w:ascii="Times New Roman" w:hAnsi="Times New Roman" w:cs="Times New Roman"/>
          <w:b/>
          <w:bCs/>
          <w:color w:val="000000" w:themeColor="text1"/>
          <w:kern w:val="2"/>
          <w:sz w:val="32"/>
          <w:szCs w:val="32"/>
        </w:rPr>
      </w:pPr>
      <w:r w:rsidRPr="00A05816">
        <w:rPr>
          <w:rFonts w:ascii="Times New Roman" w:hAnsi="Times New Roman" w:cs="Times New Roman"/>
          <w:b/>
          <w:bCs/>
          <w:color w:val="000000" w:themeColor="text1"/>
          <w:kern w:val="2"/>
          <w:sz w:val="32"/>
          <w:szCs w:val="32"/>
        </w:rPr>
        <w:t xml:space="preserve">NK cell mitochondrial membrane potential-associated model predicts outcomes in critically ill patients with COVID-19 </w:t>
      </w:r>
    </w:p>
    <w:p w14:paraId="4ACE6C37" w14:textId="77777777" w:rsidR="00A05816" w:rsidRDefault="00A05816">
      <w:pPr>
        <w:rPr>
          <w:rFonts w:ascii="Times New Roman" w:hAnsi="Times New Roman" w:cs="Times New Roman"/>
          <w:color w:val="000000" w:themeColor="text1"/>
          <w:kern w:val="2"/>
          <w:sz w:val="32"/>
          <w:szCs w:val="32"/>
        </w:rPr>
      </w:pPr>
    </w:p>
    <w:p w14:paraId="553CD0D5" w14:textId="5ADF7D15" w:rsidR="00A05816" w:rsidRPr="00A05816" w:rsidRDefault="00A05816">
      <w:pPr>
        <w:rPr>
          <w:rFonts w:ascii="Times New Roman" w:hAnsi="Times New Roman" w:cs="Times New Roman"/>
          <w:color w:val="000000" w:themeColor="text1"/>
          <w:kern w:val="2"/>
          <w:sz w:val="32"/>
          <w:szCs w:val="32"/>
        </w:rPr>
      </w:pPr>
      <w:r w:rsidRPr="00A05816">
        <w:rPr>
          <w:rFonts w:ascii="Times New Roman" w:hAnsi="Times New Roman" w:cs="Times New Roman"/>
          <w:color w:val="000000" w:themeColor="text1"/>
          <w:kern w:val="2"/>
          <w:sz w:val="32"/>
          <w:szCs w:val="32"/>
        </w:rPr>
        <w:t>Supplementary Materials</w:t>
      </w:r>
    </w:p>
    <w:p w14:paraId="153C7914" w14:textId="77777777" w:rsidR="00A05816" w:rsidRDefault="00A05816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</w:p>
    <w:p w14:paraId="4256223B" w14:textId="77777777" w:rsidR="00A05816" w:rsidRDefault="00A05816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</w:p>
    <w:p w14:paraId="759FA01E" w14:textId="77777777" w:rsidR="00DB5110" w:rsidRDefault="00DB5110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</w:p>
    <w:p w14:paraId="1CA09B6F" w14:textId="77777777" w:rsidR="00DB5110" w:rsidRDefault="00DB5110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</w:p>
    <w:p w14:paraId="370D8565" w14:textId="77777777" w:rsidR="00A05816" w:rsidRPr="00B31473" w:rsidRDefault="00A05816" w:rsidP="00A05816">
      <w:pPr>
        <w:pStyle w:val="2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</w:pPr>
      <w:r w:rsidRPr="00B31473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Table S1. Correlation analysis between clinical parameters and MMP MFI of NK </w:t>
      </w:r>
      <w:r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c</w:t>
      </w:r>
      <w:r w:rsidRPr="00B31473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ells among critical patients.</w:t>
      </w:r>
    </w:p>
    <w:tbl>
      <w:tblPr>
        <w:tblW w:w="7655" w:type="dxa"/>
        <w:tblLayout w:type="fixed"/>
        <w:tblLook w:val="04A0" w:firstRow="1" w:lastRow="0" w:firstColumn="1" w:lastColumn="0" w:noHBand="0" w:noVBand="1"/>
      </w:tblPr>
      <w:tblGrid>
        <w:gridCol w:w="1701"/>
        <w:gridCol w:w="1000"/>
        <w:gridCol w:w="2261"/>
        <w:gridCol w:w="1275"/>
        <w:gridCol w:w="1418"/>
      </w:tblGrid>
      <w:tr w:rsidR="00A05816" w:rsidRPr="00B31473" w14:paraId="1E6A8AE6" w14:textId="77777777" w:rsidTr="00EB4E43">
        <w:trPr>
          <w:trHeight w:hRule="exact" w:val="284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C34331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F57DEE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  r</w:t>
            </w:r>
          </w:p>
        </w:tc>
        <w:tc>
          <w:tcPr>
            <w:tcW w:w="22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9ECBFBF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95% CI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84C345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p-</w:t>
            </w:r>
            <w:r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value</w:t>
            </w: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 xml:space="preserve"> value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4439CF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Summary</w:t>
            </w:r>
          </w:p>
        </w:tc>
      </w:tr>
      <w:tr w:rsidR="00A05816" w:rsidRPr="00B31473" w14:paraId="6764C478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F6514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PT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5B410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-0.14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C9B723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-0.4252 to 0.1643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836DCB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0.3600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7C170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70C3F69F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2272E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APTT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35E5A7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-0.19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81E9F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-0.4641 to 0.1168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7B8345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0.2217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7A8D0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68FC8716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D92168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TT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35F22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0.09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C578B7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-0.2154 to 0.3807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B4C466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0.5627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DF2E36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3D533019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73D0C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INR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DB7F8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-0.13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97914B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-0.4113 to 0.1806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ADA8CF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0.4184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3200BC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37E4AB11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8F60A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Fbg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B3B7FF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0.28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A68DB9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-0.01723 to 0.5389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97D51D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0.0644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78A63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26334DCF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3805E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D-Dimer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E08426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0.39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3A4BCC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0.1013 to 0.6178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7A881C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0.0098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47116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**</w:t>
            </w:r>
          </w:p>
        </w:tc>
      </w:tr>
      <w:tr w:rsidR="00A05816" w:rsidRPr="00B31473" w14:paraId="39F746CD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3CB87F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NT-</w:t>
            </w:r>
            <w:proofErr w:type="spellStart"/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proBNP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E9FC0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-0.33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C36AC2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-0.5674 to -0.01592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E35E6D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0.0399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A8684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*</w:t>
            </w:r>
          </w:p>
        </w:tc>
      </w:tr>
      <w:tr w:rsidR="00A05816" w:rsidRPr="00B31473" w14:paraId="4C8E9068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63FFEF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hscTnI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E6F62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-0.22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E3CA3B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-0.4922 to 0.08855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D22C26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0.1589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48B3D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615E94F4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46B954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CK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0934B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-0.09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5FA4E5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-0.3911 to 0.2273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45E0BF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0.5781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CBED62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782A997A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853201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Myo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C1048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-0.14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694B50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-0.4437 to 0.1837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7AF589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0.3869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A4876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1679AA0B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4EC985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CRP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5B1E3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-0.10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D5F847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-0.3890 to 0.2062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A29914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0.5218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77393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108EDA03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D2117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PCT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B58EE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0.01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3F79AE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-0.2997 to 0.3155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2BCC2D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0.9569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448428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08027E36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E69A6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IL-6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7E6DE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-0.03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A072CB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-0.3466 to 0.2923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60ACAA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0.8570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CCDB37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299CAC53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09E0E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IL-8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AC7803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-0.19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84DC16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-0.4871 to 0.1391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FC1F64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0.2507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D32A5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09592CDE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BB175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IL-10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23D661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-0.13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E43143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-0.4394 to 0.1981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42B200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0.4273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3A1F5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B31473" w14:paraId="4D8E8228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1AF39A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TNF α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002234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 xml:space="preserve">-0.03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62CF4C3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-0.3597 to 0.3063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5B6CECF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0.8641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289951" w14:textId="77777777" w:rsidR="00A05816" w:rsidRPr="00B31473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31473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</w:tbl>
    <w:p w14:paraId="6F24082D" w14:textId="77777777" w:rsidR="00A05816" w:rsidRPr="00B31473" w:rsidRDefault="00A05816" w:rsidP="00A05816">
      <w:pPr>
        <w:pStyle w:val="2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</w:pPr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Pearson’s correlation analysis was used for analyses.</w:t>
      </w:r>
    </w:p>
    <w:p w14:paraId="545AA9C5" w14:textId="77777777" w:rsidR="00A05816" w:rsidRPr="00B31473" w:rsidRDefault="00A05816" w:rsidP="00A05816">
      <w:pPr>
        <w:pStyle w:val="2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</w:pPr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 xml:space="preserve">APTT: activated partial thromboplastin time, AUC: area under the curve, CK: creatine kinase, CRP: C-reactive protein, </w:t>
      </w:r>
      <w:proofErr w:type="spellStart"/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Fbg</w:t>
      </w:r>
      <w:proofErr w:type="spellEnd"/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 xml:space="preserve">: fibrinogen, </w:t>
      </w:r>
      <w:proofErr w:type="spellStart"/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hscTnI</w:t>
      </w:r>
      <w:proofErr w:type="spellEnd"/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 xml:space="preserve">: high-sensitivity cardiac troponin I, IL-10: interleukin 10, IL-6: interleukin 6, IL-8: interleukin 8, MFI: mean fluorescence intensity, MMP: mitochondrial membrane potential, </w:t>
      </w:r>
      <w:proofErr w:type="spellStart"/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myo</w:t>
      </w:r>
      <w:proofErr w:type="spellEnd"/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: myoglobin, NK: natural killer, NT-</w:t>
      </w:r>
      <w:proofErr w:type="spellStart"/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proBNP</w:t>
      </w:r>
      <w:proofErr w:type="spellEnd"/>
      <w:r w:rsidRPr="00B31473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: N-terminal pro-brain natriuretic peptide, PCT: procalcitonin, PT: prothrombin time, TNF: tumor necrosis factor.</w:t>
      </w:r>
    </w:p>
    <w:p w14:paraId="352FDB7C" w14:textId="77777777" w:rsidR="00A05816" w:rsidRDefault="00A05816" w:rsidP="00A058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803F3A0" w14:textId="77777777" w:rsidR="00A05816" w:rsidRPr="0091670F" w:rsidRDefault="00A05816" w:rsidP="00A05816">
      <w:pPr>
        <w:pStyle w:val="2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</w:pPr>
      <w:r w:rsidRPr="0091670F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lastRenderedPageBreak/>
        <w:t xml:space="preserve">Table S2. Correlation analysis between clinical parameters and MMP MFI of NK </w:t>
      </w:r>
      <w:r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c</w:t>
      </w:r>
      <w:r w:rsidRPr="0091670F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ells in dead patients</w:t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1701"/>
        <w:gridCol w:w="1000"/>
        <w:gridCol w:w="2402"/>
        <w:gridCol w:w="1560"/>
        <w:gridCol w:w="1559"/>
      </w:tblGrid>
      <w:tr w:rsidR="00A05816" w:rsidRPr="0091670F" w14:paraId="0D99D826" w14:textId="77777777" w:rsidTr="00EB4E43">
        <w:trPr>
          <w:trHeight w:hRule="exact" w:val="284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A5F0DB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15D015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  r</w:t>
            </w:r>
          </w:p>
        </w:tc>
        <w:tc>
          <w:tcPr>
            <w:tcW w:w="2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DC9D41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95% CI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089A88C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p-value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13C5D9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Summary</w:t>
            </w:r>
          </w:p>
        </w:tc>
      </w:tr>
      <w:tr w:rsidR="00A05816" w:rsidRPr="0091670F" w14:paraId="2F825F7D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5D3C3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PT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99D541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0.00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96EA4A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-0.3823 to 0.3777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A70441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0.9895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5B16B1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7C34FC8A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961A6C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APTT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07D2D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-0.01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4ED5F5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-0.3872 to 0.3728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72CABC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0.9667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840A6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39531969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C92AFA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TT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28194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0.10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B1CC8D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-0.2872 to 0.4657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01297E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0.6051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A1B2BF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5B1444C0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2AAAF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INR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AD7BD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0.02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13312B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-0.3622 to 0.3975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5231B5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0.9186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9ECF5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2EB4F8A9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9E5A1C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Fbg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3AE46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-0.02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71A5EC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-0.3968 to 0.3629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F71731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0.9218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417F15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1A34CA06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B42F6D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D-Dimer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C661A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0.56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35D6E1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0.2310 to 0.7760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12AB6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0.0023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07211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**</w:t>
            </w:r>
          </w:p>
        </w:tc>
      </w:tr>
      <w:tr w:rsidR="00A05816" w:rsidRPr="0091670F" w14:paraId="72E2DC7B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370578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NT-</w:t>
            </w:r>
            <w:proofErr w:type="spellStart"/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proBNP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D9BCC3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-0.19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2B5B88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-0.5297 to 0.2074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635051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0.3492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0CFA16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55110AE9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14742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hscTnI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76A18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-0.08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FE009E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-0.4445 to 0.3116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6AAECD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0.7003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0BCA0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3A03EBF7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C5CBF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CK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EC587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0.03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4CCA73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-0.3699 to 0.4198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FF61A9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0.8883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527FF7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033D4C08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803647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Myo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F0993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-0.02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0F26B0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-0.4217 to 0.3848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4C296C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0.9185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DDD4E6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09219221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A8587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CRP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175D9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0.08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12BC3B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-0.3071 to 0.4485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CBF855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0.6824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28E7F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08053F76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EFB65B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PCT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3AE00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0.07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A73A40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-0.3277 to 0.4440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7273A8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0.7400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CBB5AC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61DFF9C6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044C8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IL-6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3B839D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-0.17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34DCD4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-0.5400 to 0.2461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86CBB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0.4144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03938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4AD7E54C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7E185D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IL-8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99628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-0.16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2455C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-0.5372 to 0.2695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ABC98A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0.4644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F9B5D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03894612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47C62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IL-10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4AB66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-0.20 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501BD5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-0.5691 to 0.2264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48818F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0.3483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F3A37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  <w:tr w:rsidR="00A05816" w:rsidRPr="0091670F" w14:paraId="49DBB7FC" w14:textId="77777777" w:rsidTr="00EB4E43">
        <w:trPr>
          <w:trHeight w:hRule="exact" w:val="284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51DE35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b/>
                <w:bCs/>
                <w:color w:val="000000" w:themeColor="text1"/>
              </w:rPr>
              <w:t>TNF α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C65D8A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 xml:space="preserve">0.24 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BFF3925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-0.2172 to 0.6064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9401B41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0.3016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626C26" w14:textId="77777777" w:rsidR="00A05816" w:rsidRPr="0091670F" w:rsidRDefault="00A05816" w:rsidP="0056090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91670F">
              <w:rPr>
                <w:rFonts w:ascii="Times New Roman" w:eastAsia="DengXian" w:hAnsi="Times New Roman" w:cs="Times New Roman"/>
                <w:color w:val="000000" w:themeColor="text1"/>
              </w:rPr>
              <w:t>ns</w:t>
            </w:r>
          </w:p>
        </w:tc>
      </w:tr>
    </w:tbl>
    <w:p w14:paraId="0D2E11A5" w14:textId="77777777" w:rsidR="00A05816" w:rsidRDefault="00A05816" w:rsidP="00A05816">
      <w:pPr>
        <w:pStyle w:val="2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</w:pPr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 xml:space="preserve">Pearson’s correlation analysis was used for analyses. </w:t>
      </w:r>
    </w:p>
    <w:p w14:paraId="6135065C" w14:textId="7BAC7AE8" w:rsidR="00A05816" w:rsidRPr="00056487" w:rsidRDefault="00A05816" w:rsidP="00056487">
      <w:pPr>
        <w:pStyle w:val="2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 xml:space="preserve">APTT: activated partial thromboplastin time, AUC: area under the curve, CK: creatine kinase, CRP: C-reactive protein, </w:t>
      </w:r>
      <w:proofErr w:type="spellStart"/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Fbg</w:t>
      </w:r>
      <w:proofErr w:type="spellEnd"/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 xml:space="preserve">: fibrinogen, </w:t>
      </w:r>
      <w:proofErr w:type="spellStart"/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hscTnI</w:t>
      </w:r>
      <w:proofErr w:type="spellEnd"/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 xml:space="preserve">: high-sensitivity cardiac troponin I, IL-10: interleukin 10, IL-6: interleukin 6, IL-8: interleukin 8, MFI: mean fluorescence intensity, MMP: mitochondrial membrane potential, </w:t>
      </w:r>
      <w:proofErr w:type="spellStart"/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myo</w:t>
      </w:r>
      <w:proofErr w:type="spellEnd"/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: myoglobin, NK: natural killer, NT-</w:t>
      </w:r>
      <w:proofErr w:type="spellStart"/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proBNP</w:t>
      </w:r>
      <w:proofErr w:type="spellEnd"/>
      <w:r w:rsidRPr="0091670F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4"/>
          <w:szCs w:val="24"/>
        </w:rPr>
        <w:t>: N-terminal pro-brain natriuretic peptide, PCT: procalcitonin, PT: prothrombin time, TNF: tumor necrosis factor.</w:t>
      </w:r>
    </w:p>
    <w:p w14:paraId="7186EFDC" w14:textId="06EDFF3F" w:rsidR="00EB4E43" w:rsidRDefault="00EB4E43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</w:p>
    <w:p w14:paraId="7365C483" w14:textId="77777777" w:rsidR="00EB4E43" w:rsidRDefault="00EB4E43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br w:type="page"/>
      </w:r>
    </w:p>
    <w:p w14:paraId="7DC197EB" w14:textId="28FB8FF5" w:rsidR="00EB4E43" w:rsidRDefault="00EB4E43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  <w:r>
        <w:rPr>
          <w:rFonts w:ascii="Times New Roman" w:hAnsi="Times New Roman" w:cs="Times New Roman"/>
          <w:noProof/>
          <w:color w:val="000000" w:themeColor="text1"/>
          <w:kern w:val="2"/>
          <w:sz w:val="22"/>
          <w:szCs w:val="22"/>
          <w14:ligatures w14:val="standardContextual"/>
        </w:rPr>
        <w:lastRenderedPageBreak/>
        <w:drawing>
          <wp:inline distT="0" distB="0" distL="0" distR="0" wp14:anchorId="55CE8198" wp14:editId="424D28D0">
            <wp:extent cx="5731510" cy="4225290"/>
            <wp:effectExtent l="0" t="0" r="0" b="0"/>
            <wp:docPr id="8528714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71423" name="图片 8528714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2765" w14:textId="62887643" w:rsidR="00EB4E43" w:rsidRPr="00EB4E43" w:rsidRDefault="00EB4E43" w:rsidP="00EB4E4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B4E43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Figure S1. Comparison of T, NK, and B cell subset detection results between two flow cytometry antibody panels. </w:t>
      </w:r>
      <w:r w:rsidRPr="00EB4E43">
        <w:rPr>
          <w:rFonts w:ascii="Times New Roman" w:hAnsi="Times New Roman" w:cs="Times New Roman"/>
          <w:color w:val="000000" w:themeColor="text1"/>
          <w:sz w:val="22"/>
          <w:szCs w:val="22"/>
        </w:rPr>
        <w:t>(a) Gating strategy for the dual-antibody detection panel used in this study; (b) Gating strategy for the traditional single-antibody detection panel; (c) Comparison of T cell proportions between the two detection panels; (d) Correlation analysis of T cell proportions between the two detection panels; (e) Comparison of NK cell proportions between the two detection panels; (f) Correlation analysis of NK cell proportions between the two detection panels; (g) Comparison of B cell proportions between the two detection panels; (h) Correlation analysis of B cell proportions between the two detection panels. An unpaired t-test was used for comparison between the two groups, and Pearson correlation analysis was used to analyze correlations. Significant differences were defined as p &lt; 0.05. ns indicates no significant statistical difference.</w:t>
      </w:r>
    </w:p>
    <w:p w14:paraId="7BEA5552" w14:textId="77777777" w:rsidR="00EB4E43" w:rsidRPr="00EB4E43" w:rsidRDefault="00EB4E43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</w:p>
    <w:p w14:paraId="1FE2849B" w14:textId="77777777" w:rsidR="00EB4E43" w:rsidRDefault="00EB4E43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br w:type="page"/>
      </w:r>
    </w:p>
    <w:p w14:paraId="45DD060C" w14:textId="77777777" w:rsidR="001F1EA7" w:rsidRDefault="001F1EA7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</w:p>
    <w:p w14:paraId="0F954FCD" w14:textId="682BF126" w:rsidR="001F1EA7" w:rsidRPr="00571770" w:rsidRDefault="001E5B25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  <w:r>
        <w:rPr>
          <w:rFonts w:ascii="Times New Roman" w:hAnsi="Times New Roman" w:cs="Times New Roman"/>
          <w:noProof/>
          <w:color w:val="000000" w:themeColor="text1"/>
          <w:kern w:val="2"/>
          <w:sz w:val="22"/>
          <w:szCs w:val="22"/>
          <w14:ligatures w14:val="standardContextual"/>
        </w:rPr>
        <w:drawing>
          <wp:inline distT="0" distB="0" distL="0" distR="0" wp14:anchorId="78CF21A2" wp14:editId="6B639877">
            <wp:extent cx="5731510" cy="5572125"/>
            <wp:effectExtent l="0" t="0" r="0" b="3175"/>
            <wp:docPr id="17943424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42478" name="图片 17943424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0A45" w14:textId="77777777" w:rsidR="00056487" w:rsidRDefault="00056487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</w:p>
    <w:p w14:paraId="518731BE" w14:textId="77777777" w:rsidR="00056487" w:rsidRDefault="00056487">
      <w:pPr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</w:p>
    <w:p w14:paraId="76C7BD48" w14:textId="78EDA4EA" w:rsidR="00056487" w:rsidRDefault="00056487" w:rsidP="00056487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kern w:val="2"/>
          <w:sz w:val="21"/>
          <w:szCs w:val="21"/>
          <w14:ligatures w14:val="standardContextual"/>
        </w:rPr>
      </w:pPr>
      <w:r w:rsidRPr="00056487">
        <w:rPr>
          <w:rFonts w:ascii="Times New Roman" w:hAnsi="Times New Roman" w:cs="Times New Roman"/>
          <w:b/>
          <w:bCs/>
          <w:color w:val="000000" w:themeColor="text1"/>
          <w:kern w:val="2"/>
          <w:sz w:val="22"/>
          <w:szCs w:val="22"/>
        </w:rPr>
        <w:t>Figure S</w:t>
      </w:r>
      <w:r w:rsidR="00E906CC">
        <w:rPr>
          <w:rFonts w:ascii="Times New Roman" w:hAnsi="Times New Roman" w:cs="Times New Roman"/>
          <w:b/>
          <w:bCs/>
          <w:color w:val="000000" w:themeColor="text1"/>
          <w:kern w:val="2"/>
          <w:sz w:val="22"/>
          <w:szCs w:val="22"/>
        </w:rPr>
        <w:t>2</w:t>
      </w:r>
      <w:r w:rsidRPr="00056487">
        <w:rPr>
          <w:rFonts w:ascii="Times New Roman" w:hAnsi="Times New Roman" w:cs="Times New Roman"/>
          <w:b/>
          <w:bCs/>
          <w:color w:val="000000" w:themeColor="text1"/>
          <w:kern w:val="2"/>
          <w:sz w:val="22"/>
          <w:szCs w:val="22"/>
        </w:rPr>
        <w:t xml:space="preserve">. Flow cytometry gating strategy for detecting MMP in </w:t>
      </w:r>
      <w:r w:rsidRPr="00056487">
        <w:rPr>
          <w:rFonts w:ascii="Times New Roman" w:hAnsi="Times New Roman" w:cs="Times New Roman" w:hint="eastAsia"/>
          <w:b/>
          <w:bCs/>
          <w:color w:val="000000" w:themeColor="text1"/>
          <w:kern w:val="2"/>
          <w:sz w:val="22"/>
          <w:szCs w:val="22"/>
        </w:rPr>
        <w:t>lymphocyte</w:t>
      </w:r>
      <w:r w:rsidRPr="00056487">
        <w:rPr>
          <w:rFonts w:ascii="Times New Roman" w:hAnsi="Times New Roman" w:cs="Times New Roman"/>
          <w:b/>
          <w:bCs/>
          <w:color w:val="000000" w:themeColor="text1"/>
          <w:kern w:val="2"/>
          <w:sz w:val="22"/>
          <w:szCs w:val="22"/>
        </w:rPr>
        <w:t xml:space="preserve"> </w:t>
      </w:r>
      <w:r w:rsidRPr="00056487">
        <w:rPr>
          <w:rFonts w:ascii="Times New Roman" w:hAnsi="Times New Roman" w:cs="Times New Roman" w:hint="eastAsia"/>
          <w:b/>
          <w:bCs/>
          <w:color w:val="000000" w:themeColor="text1"/>
          <w:kern w:val="2"/>
          <w:sz w:val="22"/>
          <w:szCs w:val="22"/>
        </w:rPr>
        <w:t>subsets</w:t>
      </w:r>
      <w:r w:rsidRPr="00056487">
        <w:rPr>
          <w:rFonts w:ascii="Times New Roman" w:hAnsi="Times New Roman" w:cs="Times New Roman"/>
          <w:b/>
          <w:bCs/>
          <w:color w:val="000000" w:themeColor="text1"/>
          <w:kern w:val="2"/>
          <w:sz w:val="22"/>
          <w:szCs w:val="22"/>
        </w:rPr>
        <w:t xml:space="preserve"> using MMP-MITO probes.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 xml:space="preserve">The gating strategy is as follows: (a) Monocytes are gated based on CD4 expression </w:t>
      </w:r>
      <w:r w:rsidRPr="00056487">
        <w:rPr>
          <w:rFonts w:ascii="Times New Roman" w:hAnsi="Times New Roman" w:cs="Times New Roman" w:hint="eastAsia"/>
          <w:color w:val="000000" w:themeColor="text1"/>
          <w:kern w:val="2"/>
          <w:sz w:val="22"/>
          <w:szCs w:val="22"/>
        </w:rPr>
        <w:t>and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 xml:space="preserve"> SSC; (b) CD45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lymphocytes are gated within non-monocytes PBMCs; (c) CD3/CD56/CD19 markers are used to identify CD3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T cells, CD3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>-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CD56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NK cells, and CD3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>-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CD19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 xml:space="preserve">B cells; (d) </w:t>
      </w:r>
      <w:proofErr w:type="spellStart"/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MMPlow</w:t>
      </w:r>
      <w:proofErr w:type="spellEnd"/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 xml:space="preserve"> cell proportions are determined within CD3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T cells, CD3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>-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CD56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NK cells, and CD3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>-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CD19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B cells based on FSC/MMP-MITO-probe characteristics; (e) Count/MMP-MITO-probe histograms are set up to determine the MMP MFI within CD3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T cells, CD3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>-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CD56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NK cells, and CD3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>-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CD19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  <w:vertAlign w:val="superscript"/>
        </w:rPr>
        <w:t xml:space="preserve">+ </w:t>
      </w:r>
      <w:r w:rsidRPr="00056487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B cells</w:t>
      </w:r>
      <w:r w:rsidR="00E906CC">
        <w:rPr>
          <w:rFonts w:ascii="Times New Roman" w:hAnsi="Times New Roman" w:cs="Times New Roman"/>
          <w:b/>
          <w:bCs/>
          <w:noProof/>
          <w:color w:val="000000" w:themeColor="text1"/>
          <w:kern w:val="2"/>
          <w:sz w:val="21"/>
          <w:szCs w:val="21"/>
          <w14:ligatures w14:val="standardContextual"/>
        </w:rPr>
        <w:t>.</w:t>
      </w:r>
    </w:p>
    <w:p w14:paraId="384254B8" w14:textId="77777777" w:rsidR="00056487" w:rsidRDefault="00056487">
      <w:pPr>
        <w:rPr>
          <w:rFonts w:ascii="Times New Roman" w:hAnsi="Times New Roman" w:cs="Times New Roman"/>
          <w:b/>
          <w:bCs/>
          <w:noProof/>
          <w:color w:val="000000" w:themeColor="text1"/>
          <w:kern w:val="2"/>
          <w:sz w:val="21"/>
          <w:szCs w:val="21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2"/>
          <w:sz w:val="21"/>
          <w:szCs w:val="21"/>
          <w14:ligatures w14:val="standardContextual"/>
        </w:rPr>
        <w:br w:type="page"/>
      </w:r>
    </w:p>
    <w:p w14:paraId="6FC079B0" w14:textId="67B57B26" w:rsidR="009C02C5" w:rsidRPr="001F2C57" w:rsidRDefault="001F1EA7" w:rsidP="00056487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kern w:val="2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2"/>
          <w:sz w:val="22"/>
          <w:szCs w:val="22"/>
          <w14:ligatures w14:val="standardContextual"/>
        </w:rPr>
        <w:lastRenderedPageBreak/>
        <w:drawing>
          <wp:inline distT="0" distB="0" distL="0" distR="0" wp14:anchorId="136CBFA9" wp14:editId="3B93E046">
            <wp:extent cx="5731510" cy="5488305"/>
            <wp:effectExtent l="0" t="0" r="0" b="0"/>
            <wp:docPr id="479527074" name="图片 1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27074" name="图片 1" descr="图表, 条形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DBF8" w14:textId="5862985D" w:rsidR="000125A1" w:rsidRPr="002201E9" w:rsidRDefault="000125A1" w:rsidP="000125A1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kern w:val="2"/>
          <w:sz w:val="22"/>
          <w:szCs w:val="22"/>
        </w:rPr>
      </w:pPr>
      <w:r w:rsidRPr="0013754D">
        <w:rPr>
          <w:rFonts w:ascii="Times New Roman" w:hAnsi="Times New Roman" w:cs="Times New Roman"/>
          <w:color w:val="000000"/>
          <w:kern w:val="2"/>
          <w:sz w:val="22"/>
          <w:szCs w:val="22"/>
        </w:rPr>
        <w:t>Figure S</w:t>
      </w:r>
      <w:r w:rsidR="0013754D" w:rsidRPr="0013754D">
        <w:rPr>
          <w:rFonts w:ascii="Times New Roman" w:hAnsi="Times New Roman" w:cs="Times New Roman"/>
          <w:color w:val="000000"/>
          <w:kern w:val="2"/>
          <w:sz w:val="22"/>
          <w:szCs w:val="22"/>
        </w:rPr>
        <w:t>3</w:t>
      </w:r>
      <w:r w:rsidRPr="0013754D">
        <w:rPr>
          <w:rFonts w:ascii="Times New Roman" w:hAnsi="Times New Roman" w:cs="Times New Roman"/>
          <w:color w:val="000000"/>
          <w:kern w:val="2"/>
          <w:sz w:val="22"/>
          <w:szCs w:val="22"/>
        </w:rPr>
        <w:t xml:space="preserve">. Changes in lymphocyte subset proportions and MMP MFI in patients with mild, severe, and critical COVID-19. </w:t>
      </w:r>
      <w:r w:rsidRPr="002201E9">
        <w:rPr>
          <w:rFonts w:ascii="Times New Roman" w:hAnsi="Times New Roman" w:cs="Times New Roman"/>
          <w:b w:val="0"/>
          <w:bCs w:val="0"/>
          <w:color w:val="000000"/>
          <w:kern w:val="2"/>
          <w:sz w:val="22"/>
          <w:szCs w:val="22"/>
        </w:rPr>
        <w:t xml:space="preserve">(a-b) Proportional (a) and absolute count (b) changes of peripheral blood lymphocytes, (c-e) Changes in the MMP MFI of T (c), B (d), and NK (e) lymphocyte subsets. Unpaired t-tests or Mann-Whitney U test were used for statistical analysis; **p &lt; 0.01, ****p &lt; 0.0001. </w:t>
      </w:r>
    </w:p>
    <w:p w14:paraId="73A0A9F3" w14:textId="77777777" w:rsidR="009C02C5" w:rsidRPr="000125A1" w:rsidRDefault="009C02C5" w:rsidP="009C02C5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</w:pPr>
    </w:p>
    <w:p w14:paraId="3E0158AE" w14:textId="3F3237F0" w:rsidR="00357118" w:rsidRDefault="001F1EA7">
      <w:r>
        <w:br w:type="page"/>
      </w:r>
    </w:p>
    <w:p w14:paraId="2C7C2F26" w14:textId="54EF4833" w:rsidR="001F1EA7" w:rsidRDefault="001F1EA7"/>
    <w:p w14:paraId="542BED60" w14:textId="5711D7A6" w:rsidR="001F1EA7" w:rsidRDefault="001F1EA7">
      <w:r>
        <w:rPr>
          <w:rFonts w:hint="eastAsia"/>
          <w:noProof/>
          <w14:ligatures w14:val="standardContextual"/>
        </w:rPr>
        <w:drawing>
          <wp:inline distT="0" distB="0" distL="0" distR="0" wp14:anchorId="628AF237" wp14:editId="2290DC00">
            <wp:extent cx="5731510" cy="4563745"/>
            <wp:effectExtent l="0" t="0" r="0" b="0"/>
            <wp:docPr id="1493406516" name="图片 3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06516" name="图片 3" descr="图示, 示意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C10E" w14:textId="77777777" w:rsidR="001F1EA7" w:rsidRDefault="001F1EA7"/>
    <w:p w14:paraId="4A53AFD0" w14:textId="27B23184" w:rsidR="001F1EA7" w:rsidRPr="00DB5110" w:rsidRDefault="00DB5110" w:rsidP="00DB5110">
      <w:pPr>
        <w:spacing w:line="480" w:lineRule="auto"/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</w:pPr>
      <w:r w:rsidRPr="00E906CC">
        <w:rPr>
          <w:rFonts w:ascii="Times New Roman" w:hAnsi="Times New Roman" w:cs="Times New Roman"/>
          <w:b/>
          <w:bCs/>
          <w:color w:val="000000" w:themeColor="text1"/>
          <w:kern w:val="2"/>
          <w:sz w:val="22"/>
          <w:szCs w:val="22"/>
        </w:rPr>
        <w:t>Figure S</w:t>
      </w:r>
      <w:r w:rsidR="00E906CC" w:rsidRPr="00E906CC">
        <w:rPr>
          <w:rFonts w:ascii="Times New Roman" w:hAnsi="Times New Roman" w:cs="Times New Roman"/>
          <w:b/>
          <w:bCs/>
          <w:color w:val="000000" w:themeColor="text1"/>
          <w:kern w:val="2"/>
          <w:sz w:val="22"/>
          <w:szCs w:val="22"/>
        </w:rPr>
        <w:t>4</w:t>
      </w:r>
      <w:r w:rsidRPr="00E906CC">
        <w:rPr>
          <w:rFonts w:ascii="Times New Roman" w:hAnsi="Times New Roman" w:cs="Times New Roman"/>
          <w:b/>
          <w:bCs/>
          <w:color w:val="000000" w:themeColor="text1"/>
          <w:kern w:val="2"/>
          <w:sz w:val="22"/>
          <w:szCs w:val="22"/>
        </w:rPr>
        <w:t xml:space="preserve">. Correlation between NK cell MMP MFI and age and sex in patients with different states. </w:t>
      </w:r>
      <w:r w:rsidRPr="00DB5110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 xml:space="preserve">(a) Comparison of male and female NK cell MMP MFI in mild, </w:t>
      </w:r>
      <w:proofErr w:type="gramStart"/>
      <w:r w:rsidRPr="00DB5110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severe</w:t>
      </w:r>
      <w:proofErr w:type="gramEnd"/>
      <w:r w:rsidRPr="00DB5110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 xml:space="preserve"> and critically ill patients; (b) Comparison of male and female NK cell MMP MFI in critically ill patients who survived and died; (c) Analysis of correlation between NK cell MMP MFI and age in mild, severe and critically ill patients; (d) Analysis of correlation between NK cell MMP MFI and age in critically ill patients who survived and died. Unpaired t-tests or Mann-Whitney U test was used in comparison between the two groups. Pearson correlation analysis is used to analyze correlations. Significant differences were defined as P</w:t>
      </w:r>
      <w:r w:rsidRPr="00DB5110">
        <w:rPr>
          <w:rFonts w:ascii="PingFang SC" w:eastAsia="PingFang SC" w:hAnsi="PingFang SC" w:hint="eastAsia"/>
          <w:color w:val="101214"/>
          <w:sz w:val="21"/>
          <w:szCs w:val="21"/>
          <w:shd w:val="clear" w:color="auto" w:fill="FFFFFF"/>
        </w:rPr>
        <w:t xml:space="preserve"> </w:t>
      </w:r>
      <w:r>
        <w:rPr>
          <w:rFonts w:ascii="PingFang SC" w:eastAsia="PingFang SC" w:hAnsi="PingFang SC" w:hint="eastAsia"/>
          <w:color w:val="101214"/>
          <w:sz w:val="21"/>
          <w:szCs w:val="21"/>
          <w:shd w:val="clear" w:color="auto" w:fill="FFFFFF"/>
        </w:rPr>
        <w:t xml:space="preserve">&lt; </w:t>
      </w:r>
      <w:r w:rsidRPr="00DB5110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0.05.</w:t>
      </w:r>
      <w:r w:rsidR="001F1EA7" w:rsidRPr="00DB5110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br w:type="page"/>
      </w:r>
    </w:p>
    <w:p w14:paraId="078C9149" w14:textId="77777777" w:rsidR="001F1EA7" w:rsidRPr="001F2C57" w:rsidRDefault="001F1EA7" w:rsidP="001F1EA7">
      <w:r>
        <w:rPr>
          <w:rFonts w:ascii="Times New Roman" w:hAnsi="Times New Roman" w:cs="Times New Roman"/>
          <w:b/>
          <w:bCs/>
          <w:noProof/>
          <w:color w:val="000000" w:themeColor="text1"/>
          <w:kern w:val="2"/>
          <w:sz w:val="22"/>
          <w:szCs w:val="22"/>
        </w:rPr>
        <w:lastRenderedPageBreak/>
        <w:drawing>
          <wp:inline distT="0" distB="0" distL="0" distR="0" wp14:anchorId="5B73F521" wp14:editId="0A8FEA5A">
            <wp:extent cx="5274310" cy="5663837"/>
            <wp:effectExtent l="0" t="0" r="0" b="635"/>
            <wp:docPr id="1531268524" name="图片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68524" name="图片 2" descr="A screenshot of a graph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6"/>
                    <a:stretch/>
                  </pic:blipFill>
                  <pic:spPr bwMode="auto">
                    <a:xfrm>
                      <a:off x="0" y="0"/>
                      <a:ext cx="5274310" cy="566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E6560" w14:textId="14ED3FD6" w:rsidR="001F1EA7" w:rsidRPr="001F2C57" w:rsidRDefault="001F1EA7" w:rsidP="001F1EA7">
      <w:pPr>
        <w:pStyle w:val="2"/>
        <w:shd w:val="clear" w:color="auto" w:fill="FFFFFF"/>
        <w:spacing w:line="360" w:lineRule="auto"/>
        <w:jc w:val="both"/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</w:pPr>
      <w:r w:rsidRPr="00E906CC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Figure S</w:t>
      </w:r>
      <w:r w:rsidR="00E906CC" w:rsidRPr="00E906CC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>5</w:t>
      </w:r>
      <w:r w:rsidRPr="00E906CC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 xml:space="preserve">. Correlation analysis between NK cells </w:t>
      </w:r>
      <w:r w:rsidR="00056487" w:rsidRPr="00E906CC">
        <w:rPr>
          <w:rFonts w:ascii="Times New Roman" w:hAnsi="Times New Roman" w:cs="Times New Roman"/>
          <w:color w:val="000000" w:themeColor="text1"/>
          <w:kern w:val="2"/>
          <w:sz w:val="22"/>
          <w:szCs w:val="22"/>
          <w:lang w:bidi="en-US"/>
        </w:rPr>
        <w:t>MMP MFI</w:t>
      </w:r>
      <w:r w:rsidRPr="00E906CC">
        <w:rPr>
          <w:rFonts w:ascii="Times New Roman" w:hAnsi="Times New Roman" w:cs="Times New Roman"/>
          <w:color w:val="000000" w:themeColor="text1"/>
          <w:kern w:val="2"/>
          <w:sz w:val="22"/>
          <w:szCs w:val="22"/>
        </w:rPr>
        <w:t xml:space="preserve"> and clinical parameters among critically ill and dead patients.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>(a-c) Pairwise correlation analysis between NK Cells MMP MFI and coagulation markers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>(a), myocardial injury markers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>(b), infection markers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>,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and cytokines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(c) 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>among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the overall critically ill patients. (d-e) Pairwise correlation analysis between NK Cells MMP MFI and myocardial injury markers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>(d), infection markers, and cytokines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>(e) in critical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>ly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ill patients</w:t>
      </w:r>
      <w:r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 xml:space="preserve"> who died</w:t>
      </w:r>
      <w:r w:rsidRPr="001F2C57"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  <w:t>.</w:t>
      </w:r>
    </w:p>
    <w:p w14:paraId="74D7FA36" w14:textId="77777777" w:rsidR="001F1EA7" w:rsidRPr="001F1EA7" w:rsidRDefault="001F1EA7" w:rsidP="001F1EA7">
      <w:pPr>
        <w:pStyle w:val="2"/>
        <w:shd w:val="clear" w:color="auto" w:fill="FFFFFF"/>
        <w:spacing w:line="360" w:lineRule="auto"/>
        <w:jc w:val="both"/>
        <w:rPr>
          <w:rFonts w:ascii="Times New Roman" w:hAnsi="Times New Roman" w:cs="Times New Roman"/>
          <w:b w:val="0"/>
          <w:bCs w:val="0"/>
          <w:color w:val="000000" w:themeColor="text1"/>
          <w:kern w:val="2"/>
          <w:sz w:val="22"/>
          <w:szCs w:val="22"/>
        </w:rPr>
      </w:pPr>
    </w:p>
    <w:p w14:paraId="3F506988" w14:textId="3169CBF8" w:rsidR="001F1EA7" w:rsidRDefault="001F1EA7"/>
    <w:sectPr w:rsidR="001F1EA7" w:rsidSect="00A05816">
      <w:footerReference w:type="even" r:id="rId11"/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DD8AD" w14:textId="77777777" w:rsidR="00800524" w:rsidRDefault="00800524" w:rsidP="00A05816">
      <w:r>
        <w:separator/>
      </w:r>
    </w:p>
  </w:endnote>
  <w:endnote w:type="continuationSeparator" w:id="0">
    <w:p w14:paraId="726F796B" w14:textId="77777777" w:rsidR="00800524" w:rsidRDefault="00800524" w:rsidP="00A05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2108994078"/>
      <w:docPartObj>
        <w:docPartGallery w:val="Page Numbers (Bottom of Page)"/>
        <w:docPartUnique/>
      </w:docPartObj>
    </w:sdtPr>
    <w:sdtContent>
      <w:p w14:paraId="0A94F558" w14:textId="5F93A97F" w:rsidR="00A05816" w:rsidRDefault="00A05816" w:rsidP="0042125E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6C797546" w14:textId="77777777" w:rsidR="00A05816" w:rsidRDefault="00A0581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1925245682"/>
      <w:docPartObj>
        <w:docPartGallery w:val="Page Numbers (Bottom of Page)"/>
        <w:docPartUnique/>
      </w:docPartObj>
    </w:sdtPr>
    <w:sdtContent>
      <w:p w14:paraId="153A0C63" w14:textId="682F78C5" w:rsidR="00A05816" w:rsidRDefault="00A05816" w:rsidP="0042125E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2</w:t>
        </w:r>
        <w:r>
          <w:rPr>
            <w:rStyle w:val="ab"/>
          </w:rPr>
          <w:fldChar w:fldCharType="end"/>
        </w:r>
      </w:p>
    </w:sdtContent>
  </w:sdt>
  <w:p w14:paraId="4FC6B5D2" w14:textId="77777777" w:rsidR="00A05816" w:rsidRDefault="00A0581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5ABDF" w14:textId="77777777" w:rsidR="00800524" w:rsidRDefault="00800524" w:rsidP="00A05816">
      <w:r>
        <w:separator/>
      </w:r>
    </w:p>
  </w:footnote>
  <w:footnote w:type="continuationSeparator" w:id="0">
    <w:p w14:paraId="26D92C8E" w14:textId="77777777" w:rsidR="00800524" w:rsidRDefault="00800524" w:rsidP="00A058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2C5"/>
    <w:rsid w:val="000125A1"/>
    <w:rsid w:val="00056487"/>
    <w:rsid w:val="00076E80"/>
    <w:rsid w:val="000A445F"/>
    <w:rsid w:val="000F6B47"/>
    <w:rsid w:val="000F71CC"/>
    <w:rsid w:val="00110AB7"/>
    <w:rsid w:val="001337F5"/>
    <w:rsid w:val="0013754D"/>
    <w:rsid w:val="0015413E"/>
    <w:rsid w:val="0019560A"/>
    <w:rsid w:val="001B3D96"/>
    <w:rsid w:val="001B5455"/>
    <w:rsid w:val="001C673B"/>
    <w:rsid w:val="001E5B25"/>
    <w:rsid w:val="001F1EA7"/>
    <w:rsid w:val="001F2C57"/>
    <w:rsid w:val="001F370F"/>
    <w:rsid w:val="0020561F"/>
    <w:rsid w:val="002D7BB8"/>
    <w:rsid w:val="00352751"/>
    <w:rsid w:val="00356B3C"/>
    <w:rsid w:val="00357118"/>
    <w:rsid w:val="0036080E"/>
    <w:rsid w:val="00370AB3"/>
    <w:rsid w:val="00396870"/>
    <w:rsid w:val="003D077F"/>
    <w:rsid w:val="00425717"/>
    <w:rsid w:val="00456475"/>
    <w:rsid w:val="00466618"/>
    <w:rsid w:val="004C5D64"/>
    <w:rsid w:val="004E333B"/>
    <w:rsid w:val="004F6679"/>
    <w:rsid w:val="00571770"/>
    <w:rsid w:val="005907C5"/>
    <w:rsid w:val="005C5FA2"/>
    <w:rsid w:val="005D7BAA"/>
    <w:rsid w:val="00602ED5"/>
    <w:rsid w:val="00630A48"/>
    <w:rsid w:val="00631EDD"/>
    <w:rsid w:val="00632324"/>
    <w:rsid w:val="0066153A"/>
    <w:rsid w:val="00667F2D"/>
    <w:rsid w:val="006B0A60"/>
    <w:rsid w:val="006C36FF"/>
    <w:rsid w:val="007B025D"/>
    <w:rsid w:val="007C2119"/>
    <w:rsid w:val="007D33DE"/>
    <w:rsid w:val="00800524"/>
    <w:rsid w:val="008138DF"/>
    <w:rsid w:val="0083296E"/>
    <w:rsid w:val="008430FF"/>
    <w:rsid w:val="008474DE"/>
    <w:rsid w:val="008A4E70"/>
    <w:rsid w:val="008C0936"/>
    <w:rsid w:val="008C64B3"/>
    <w:rsid w:val="009354E2"/>
    <w:rsid w:val="00944B5D"/>
    <w:rsid w:val="00945627"/>
    <w:rsid w:val="009C02C5"/>
    <w:rsid w:val="00A05816"/>
    <w:rsid w:val="00A32ACA"/>
    <w:rsid w:val="00A45387"/>
    <w:rsid w:val="00A843D8"/>
    <w:rsid w:val="00AB3C86"/>
    <w:rsid w:val="00B125B7"/>
    <w:rsid w:val="00B4419C"/>
    <w:rsid w:val="00B70E69"/>
    <w:rsid w:val="00B72336"/>
    <w:rsid w:val="00B9749D"/>
    <w:rsid w:val="00BF2A5C"/>
    <w:rsid w:val="00C16A31"/>
    <w:rsid w:val="00C266D3"/>
    <w:rsid w:val="00C376F3"/>
    <w:rsid w:val="00C91F8F"/>
    <w:rsid w:val="00CB5481"/>
    <w:rsid w:val="00D22693"/>
    <w:rsid w:val="00D953D2"/>
    <w:rsid w:val="00DB5110"/>
    <w:rsid w:val="00E22131"/>
    <w:rsid w:val="00E30406"/>
    <w:rsid w:val="00E75E0F"/>
    <w:rsid w:val="00E86D2A"/>
    <w:rsid w:val="00E906CC"/>
    <w:rsid w:val="00EB23D2"/>
    <w:rsid w:val="00EB4E43"/>
    <w:rsid w:val="00EC0C9B"/>
    <w:rsid w:val="00EC2BF9"/>
    <w:rsid w:val="00EC360D"/>
    <w:rsid w:val="00ED3536"/>
    <w:rsid w:val="00ED768F"/>
    <w:rsid w:val="00EF0C26"/>
    <w:rsid w:val="00F3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E4F8AC"/>
  <w15:chartTrackingRefBased/>
  <w15:docId w15:val="{01DF9845-8A3D-0142-ACB5-EEE64A660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2C5"/>
    <w:rPr>
      <w:rFonts w:ascii="宋体" w:eastAsia="宋体" w:hAnsi="宋体" w:cs="宋体"/>
      <w:kern w:val="0"/>
      <w:lang w:val="en-US" w:eastAsia="zh-C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058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9C02C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C02C5"/>
    <w:rPr>
      <w:rFonts w:ascii="宋体" w:eastAsia="宋体" w:hAnsi="宋体" w:cs="宋体"/>
      <w:b/>
      <w:bCs/>
      <w:kern w:val="0"/>
      <w:sz w:val="36"/>
      <w:szCs w:val="36"/>
      <w:lang w:val="en-US" w:eastAsia="zh-CN"/>
      <w14:ligatures w14:val="none"/>
    </w:rPr>
  </w:style>
  <w:style w:type="character" w:styleId="a3">
    <w:name w:val="annotation reference"/>
    <w:basedOn w:val="a0"/>
    <w:uiPriority w:val="99"/>
    <w:semiHidden/>
    <w:unhideWhenUsed/>
    <w:rsid w:val="009C02C5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Pr>
      <w:sz w:val="20"/>
      <w:szCs w:val="20"/>
    </w:rPr>
  </w:style>
  <w:style w:type="character" w:customStyle="1" w:styleId="a5">
    <w:name w:val="批注文字 字符"/>
    <w:basedOn w:val="a0"/>
    <w:link w:val="a4"/>
    <w:uiPriority w:val="99"/>
    <w:semiHidden/>
    <w:rPr>
      <w:rFonts w:ascii="宋体" w:eastAsia="宋体" w:hAnsi="宋体" w:cs="宋体"/>
      <w:kern w:val="0"/>
      <w:sz w:val="20"/>
      <w:szCs w:val="20"/>
      <w:lang w:val="en-US" w:eastAsia="zh-CN"/>
      <w14:ligatures w14:val="none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E333B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4E333B"/>
    <w:rPr>
      <w:rFonts w:ascii="宋体" w:eastAsia="宋体" w:hAnsi="宋体" w:cs="宋体"/>
      <w:b/>
      <w:bCs/>
      <w:kern w:val="0"/>
      <w:sz w:val="20"/>
      <w:szCs w:val="20"/>
      <w:lang w:val="en-US" w:eastAsia="zh-CN"/>
      <w14:ligatures w14:val="none"/>
    </w:rPr>
  </w:style>
  <w:style w:type="paragraph" w:styleId="a8">
    <w:name w:val="Revision"/>
    <w:hidden/>
    <w:uiPriority w:val="99"/>
    <w:semiHidden/>
    <w:rsid w:val="001F1EA7"/>
    <w:rPr>
      <w:rFonts w:ascii="宋体" w:eastAsia="宋体" w:hAnsi="宋体" w:cs="宋体"/>
      <w:kern w:val="0"/>
      <w:lang w:val="en-US" w:eastAsia="zh-CN"/>
      <w14:ligatures w14:val="none"/>
    </w:rPr>
  </w:style>
  <w:style w:type="paragraph" w:styleId="a9">
    <w:name w:val="footer"/>
    <w:basedOn w:val="a"/>
    <w:link w:val="aa"/>
    <w:uiPriority w:val="99"/>
    <w:unhideWhenUsed/>
    <w:rsid w:val="00A058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05816"/>
    <w:rPr>
      <w:rFonts w:ascii="宋体" w:eastAsia="宋体" w:hAnsi="宋体" w:cs="宋体"/>
      <w:kern w:val="0"/>
      <w:sz w:val="18"/>
      <w:szCs w:val="18"/>
      <w:lang w:val="en-US" w:eastAsia="zh-CN"/>
      <w14:ligatures w14:val="none"/>
    </w:rPr>
  </w:style>
  <w:style w:type="character" w:styleId="ab">
    <w:name w:val="page number"/>
    <w:basedOn w:val="a0"/>
    <w:uiPriority w:val="99"/>
    <w:semiHidden/>
    <w:unhideWhenUsed/>
    <w:rsid w:val="00A05816"/>
  </w:style>
  <w:style w:type="character" w:customStyle="1" w:styleId="10">
    <w:name w:val="标题 1 字符"/>
    <w:basedOn w:val="a0"/>
    <w:link w:val="1"/>
    <w:uiPriority w:val="9"/>
    <w:rsid w:val="00A05816"/>
    <w:rPr>
      <w:rFonts w:ascii="宋体" w:eastAsia="宋体" w:hAnsi="宋体" w:cs="宋体"/>
      <w:b/>
      <w:bCs/>
      <w:kern w:val="44"/>
      <w:sz w:val="44"/>
      <w:szCs w:val="44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896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office user</cp:lastModifiedBy>
  <cp:revision>10</cp:revision>
  <dcterms:created xsi:type="dcterms:W3CDTF">2024-05-03T05:56:00Z</dcterms:created>
  <dcterms:modified xsi:type="dcterms:W3CDTF">2024-06-21T01:32:00Z</dcterms:modified>
</cp:coreProperties>
</file>