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horzAnchor="margin" w:tblpY="767"/>
        <w:tblW w:w="0" w:type="auto"/>
        <w:tblLook w:val="04A0" w:firstRow="1" w:lastRow="0" w:firstColumn="1" w:lastColumn="0" w:noHBand="0" w:noVBand="1"/>
      </w:tblPr>
      <w:tblGrid>
        <w:gridCol w:w="2797"/>
        <w:gridCol w:w="2268"/>
        <w:gridCol w:w="3123"/>
      </w:tblGrid>
      <w:tr w:rsidR="006C1E4F" w:rsidRPr="006C1E4F" w14:paraId="640AA84F" w14:textId="77777777" w:rsidTr="006C1E4F">
        <w:trPr>
          <w:trHeight w:val="217"/>
        </w:trPr>
        <w:tc>
          <w:tcPr>
            <w:tcW w:w="2797" w:type="dxa"/>
          </w:tcPr>
          <w:p w14:paraId="333A9B0F" w14:textId="61442044" w:rsidR="00413C4B" w:rsidRPr="006C1E4F" w:rsidRDefault="00413C4B" w:rsidP="006C1E4F">
            <w:pPr>
              <w:tabs>
                <w:tab w:val="left" w:pos="600"/>
              </w:tabs>
              <w:autoSpaceDE w:val="0"/>
              <w:autoSpaceDN w:val="0"/>
              <w:spacing w:line="360" w:lineRule="auto"/>
              <w:ind w:rightChars="742" w:right="1558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C1E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1E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KSThR</w:t>
            </w:r>
            <w:proofErr w:type="spellEnd"/>
          </w:p>
        </w:tc>
        <w:tc>
          <w:tcPr>
            <w:tcW w:w="2268" w:type="dxa"/>
          </w:tcPr>
          <w:p w14:paraId="6A5B558E" w14:textId="77777777" w:rsidR="00413C4B" w:rsidRPr="006C1E4F" w:rsidRDefault="00413C4B" w:rsidP="006C1E4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C1E4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3123" w:type="dxa"/>
          </w:tcPr>
          <w:p w14:paraId="4CEE10E3" w14:textId="18B5B4E8" w:rsidR="00413C4B" w:rsidRPr="006C1E4F" w:rsidRDefault="00E24214" w:rsidP="006C1E4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2421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C-TIRADS</w:t>
            </w:r>
          </w:p>
        </w:tc>
      </w:tr>
      <w:tr w:rsidR="006C1E4F" w:rsidRPr="006C1E4F" w14:paraId="47AAB0DC" w14:textId="77777777" w:rsidTr="006C1E4F">
        <w:tc>
          <w:tcPr>
            <w:tcW w:w="2797" w:type="dxa"/>
          </w:tcPr>
          <w:p w14:paraId="07E7C25C" w14:textId="001B99D0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Type 1:</w:t>
            </w:r>
            <w:r w:rsidRPr="006C1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(No blood supply) There is no blood flow signal in or around the nodule;</w:t>
            </w:r>
          </w:p>
        </w:tc>
        <w:tc>
          <w:tcPr>
            <w:tcW w:w="2268" w:type="dxa"/>
          </w:tcPr>
          <w:p w14:paraId="6117E6DC" w14:textId="029D5383" w:rsidR="00413C4B" w:rsidRPr="006C1E4F" w:rsidRDefault="00430A06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Type</w:t>
            </w:r>
            <w:r w:rsidR="00413C4B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Ⅰ</w:t>
            </w:r>
            <w:proofErr w:type="spellEnd"/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  <w:r w:rsidRPr="006C1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There is no blood flow in or around the nodule;</w:t>
            </w:r>
          </w:p>
        </w:tc>
        <w:tc>
          <w:tcPr>
            <w:tcW w:w="3123" w:type="dxa"/>
          </w:tcPr>
          <w:p w14:paraId="6D0082E6" w14:textId="31E1D8B5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宋体" w:eastAsia="宋体" w:hAnsi="宋体" w:cs="宋体" w:hint="eastAsia"/>
                <w:b/>
                <w:sz w:val="24"/>
                <w:szCs w:val="24"/>
              </w:rPr>
              <w:t>①</w:t>
            </w:r>
            <w:r w:rsidR="000E74D0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 blood supply type</w:t>
            </w: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="000E74D0"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No blood flow signal was seen within the nodule;</w:t>
            </w:r>
          </w:p>
        </w:tc>
      </w:tr>
      <w:tr w:rsidR="006C1E4F" w:rsidRPr="006C1E4F" w14:paraId="4D3C7399" w14:textId="77777777" w:rsidTr="006C1E4F">
        <w:tc>
          <w:tcPr>
            <w:tcW w:w="2797" w:type="dxa"/>
          </w:tcPr>
          <w:p w14:paraId="7A4FB2C6" w14:textId="7290E3CA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Type 2: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(Peripheral blood supply) Blood supply is present only around the periphery of the nodule;</w:t>
            </w:r>
          </w:p>
        </w:tc>
        <w:tc>
          <w:tcPr>
            <w:tcW w:w="2268" w:type="dxa"/>
          </w:tcPr>
          <w:p w14:paraId="5E8A4160" w14:textId="4F0CF936" w:rsidR="00413C4B" w:rsidRPr="006C1E4F" w:rsidRDefault="00430A06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Type</w:t>
            </w:r>
            <w:r w:rsidR="00413C4B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Ⅱ</w:t>
            </w:r>
            <w:proofErr w:type="spellEnd"/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  <w:r w:rsidR="00413C4B"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Peripheral blood flow and/or small amounts of intranodal blood flow</w:t>
            </w:r>
          </w:p>
        </w:tc>
        <w:tc>
          <w:tcPr>
            <w:tcW w:w="3123" w:type="dxa"/>
          </w:tcPr>
          <w:p w14:paraId="78FAEBFE" w14:textId="43F26D2A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宋体" w:eastAsia="宋体" w:hAnsi="宋体" w:cs="宋体" w:hint="eastAsia"/>
                <w:b/>
                <w:sz w:val="24"/>
                <w:szCs w:val="24"/>
              </w:rPr>
              <w:t>②</w:t>
            </w:r>
            <w:r w:rsidR="000E74D0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borderline vascular type</w:t>
            </w: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="000E74D0"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Only marginal vessels are shown, central vessels are not.</w:t>
            </w:r>
          </w:p>
        </w:tc>
      </w:tr>
      <w:tr w:rsidR="006C1E4F" w:rsidRPr="006C1E4F" w14:paraId="0EEC4D01" w14:textId="77777777" w:rsidTr="006C1E4F">
        <w:trPr>
          <w:trHeight w:val="850"/>
        </w:trPr>
        <w:tc>
          <w:tcPr>
            <w:tcW w:w="2797" w:type="dxa"/>
          </w:tcPr>
          <w:p w14:paraId="232B8608" w14:textId="73BFD7DA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Type 3: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（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Mild intra-nodal blood supply) Less than 50% intra-nodal blood supply with or without peripheral blood supply;</w:t>
            </w:r>
          </w:p>
        </w:tc>
        <w:tc>
          <w:tcPr>
            <w:tcW w:w="2268" w:type="dxa"/>
            <w:vMerge w:val="restart"/>
          </w:tcPr>
          <w:p w14:paraId="57C1A564" w14:textId="51C3DCDD" w:rsidR="00413C4B" w:rsidRPr="006C1E4F" w:rsidRDefault="00430A06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Type </w:t>
            </w:r>
            <w:r w:rsidR="00413C4B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Ⅲ</w:t>
            </w: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</w:t>
            </w:r>
            <w:r w:rsidR="00413C4B"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Marked </w:t>
            </w:r>
            <w:proofErr w:type="spellStart"/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intranodular</w:t>
            </w:r>
            <w:proofErr w:type="spellEnd"/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blood flow and a small amount of peripheral blood flow</w:t>
            </w:r>
          </w:p>
        </w:tc>
        <w:tc>
          <w:tcPr>
            <w:tcW w:w="3123" w:type="dxa"/>
          </w:tcPr>
          <w:p w14:paraId="3AF2C7EB" w14:textId="61410F06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宋体" w:eastAsia="宋体" w:hAnsi="宋体" w:cs="宋体" w:hint="eastAsia"/>
                <w:b/>
                <w:sz w:val="24"/>
                <w:szCs w:val="24"/>
              </w:rPr>
              <w:t>③</w:t>
            </w:r>
            <w:r w:rsidR="000E74D0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Marginal vascular predominant type</w:t>
            </w: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="000E74D0" w:rsidRPr="006C1E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It shows predominantly marginal ves</w:t>
            </w:r>
            <w:r w:rsidR="000E74D0"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sels, with a paucity of central vessels.</w:t>
            </w:r>
          </w:p>
        </w:tc>
      </w:tr>
      <w:tr w:rsidR="006C1E4F" w:rsidRPr="006C1E4F" w14:paraId="589A88F4" w14:textId="77777777" w:rsidTr="006C1E4F">
        <w:trPr>
          <w:trHeight w:val="590"/>
        </w:trPr>
        <w:tc>
          <w:tcPr>
            <w:tcW w:w="2797" w:type="dxa"/>
            <w:vMerge w:val="restart"/>
          </w:tcPr>
          <w:p w14:paraId="1A52CF8B" w14:textId="070B633B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Type 4: 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(Apparent intranodal blood supply) Intranodal blood supply &gt;50% with or without peripheral blood supply</w:t>
            </w:r>
          </w:p>
        </w:tc>
        <w:tc>
          <w:tcPr>
            <w:tcW w:w="2268" w:type="dxa"/>
            <w:vMerge/>
          </w:tcPr>
          <w:p w14:paraId="75F0D977" w14:textId="77777777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3D39F7F" w14:textId="41B3B5EE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宋体" w:eastAsia="宋体" w:hAnsi="宋体" w:cs="宋体" w:hint="eastAsia"/>
                <w:b/>
                <w:sz w:val="24"/>
                <w:szCs w:val="24"/>
              </w:rPr>
              <w:t>④</w:t>
            </w:r>
            <w:r w:rsidR="000E74D0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Central vascular predominant type</w:t>
            </w:r>
            <w:r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：</w:t>
            </w:r>
            <w:r w:rsidR="000E74D0"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It shows mainly central vessels with sparse marginal vessels.</w:t>
            </w:r>
          </w:p>
        </w:tc>
      </w:tr>
      <w:tr w:rsidR="006C1E4F" w:rsidRPr="006C1E4F" w14:paraId="0C3AF0F3" w14:textId="77777777" w:rsidTr="006C1E4F">
        <w:trPr>
          <w:trHeight w:val="645"/>
        </w:trPr>
        <w:tc>
          <w:tcPr>
            <w:tcW w:w="2797" w:type="dxa"/>
            <w:vMerge/>
          </w:tcPr>
          <w:p w14:paraId="3B84CCDC" w14:textId="77777777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B3F40D" w14:textId="77777777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2A698A6" w14:textId="2EAE91FB" w:rsidR="00413C4B" w:rsidRPr="006C1E4F" w:rsidRDefault="00413C4B" w:rsidP="006C1E4F">
            <w:pPr>
              <w:autoSpaceDE w:val="0"/>
              <w:autoSpaceDN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C1E4F">
              <w:rPr>
                <w:rFonts w:ascii="宋体" w:eastAsia="宋体" w:hAnsi="宋体" w:cs="宋体" w:hint="eastAsia"/>
                <w:b/>
                <w:sz w:val="24"/>
                <w:szCs w:val="24"/>
              </w:rPr>
              <w:t>⑤</w:t>
            </w:r>
            <w:r w:rsidR="000E74D0"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Mixed vessel type</w:t>
            </w:r>
            <w:r w:rsidRPr="006C1E4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：</w:t>
            </w:r>
            <w:r w:rsidR="000E74D0" w:rsidRPr="006C1E4F">
              <w:rPr>
                <w:rFonts w:ascii="Times New Roman" w:eastAsiaTheme="minorEastAsia" w:hAnsi="Times New Roman" w:cs="Times New Roman"/>
                <w:sz w:val="24"/>
                <w:szCs w:val="24"/>
              </w:rPr>
              <w:t>Marginal and central vessels are similar in richness.</w:t>
            </w:r>
          </w:p>
        </w:tc>
      </w:tr>
    </w:tbl>
    <w:p w14:paraId="2194112E" w14:textId="234C2C12" w:rsidR="008D5E2E" w:rsidRDefault="006C1E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A8D">
        <w:rPr>
          <w:rFonts w:ascii="Times New Roman" w:hAnsi="Times New Roman" w:cs="Times New Roman" w:hint="eastAsia"/>
          <w:b/>
          <w:bCs/>
          <w:sz w:val="24"/>
          <w:szCs w:val="24"/>
        </w:rPr>
        <w:t>Supplemental table 1.</w:t>
      </w:r>
      <w:r w:rsidR="00621A8D" w:rsidRPr="00621A8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Blood flow typing</w:t>
      </w:r>
    </w:p>
    <w:p w14:paraId="2DE3008F" w14:textId="77777777" w:rsidR="00E24214" w:rsidRDefault="00E242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E2B363" w14:textId="77777777" w:rsidR="00E24214" w:rsidRDefault="00E242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CD7760" w14:textId="17697552" w:rsidR="00E24214" w:rsidRPr="00621A8D" w:rsidRDefault="00E24214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proofErr w:type="spellStart"/>
      <w:r w:rsidRPr="002B46C3">
        <w:rPr>
          <w:rFonts w:ascii="Times New Roman" w:eastAsia="宋体" w:hAnsi="Times New Roman" w:cs="Times New Roman"/>
          <w:color w:val="000000"/>
          <w:kern w:val="0"/>
          <w:szCs w:val="21"/>
        </w:rPr>
        <w:t>KSThR</w:t>
      </w:r>
      <w:proofErr w:type="spellEnd"/>
      <w:r w:rsidRPr="002B46C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: </w:t>
      </w:r>
      <w:r w:rsidRPr="002B46C3">
        <w:rPr>
          <w:rFonts w:ascii="Times New Roman" w:eastAsia="宋体" w:hAnsi="Times New Roman" w:cs="Times New Roman"/>
          <w:color w:val="000000"/>
          <w:kern w:val="0"/>
          <w:szCs w:val="21"/>
        </w:rPr>
        <w:t>Korean Society of Thyroid Radiology</w:t>
      </w:r>
      <w:r w:rsidRPr="002B46C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; ETA: </w:t>
      </w:r>
      <w:r w:rsidRPr="002B46C3">
        <w:rPr>
          <w:rFonts w:ascii="Times New Roman" w:eastAsia="宋体" w:hAnsi="Times New Roman" w:cs="Times New Roman"/>
          <w:color w:val="000000"/>
          <w:kern w:val="0"/>
          <w:szCs w:val="21"/>
        </w:rPr>
        <w:t>European Thyroid Association</w:t>
      </w:r>
      <w:r w:rsidRPr="002B46C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; </w:t>
      </w:r>
      <w:r w:rsidRPr="002B46C3">
        <w:rPr>
          <w:rFonts w:ascii="Times New Roman" w:eastAsia="宋体" w:hAnsi="Times New Roman" w:cs="Times New Roman"/>
          <w:color w:val="000000"/>
          <w:kern w:val="0"/>
          <w:szCs w:val="21"/>
        </w:rPr>
        <w:t>C-TIRADS</w:t>
      </w:r>
      <w:r w:rsidRPr="002B46C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: </w:t>
      </w:r>
      <w:r w:rsidRPr="002B46C3">
        <w:rPr>
          <w:rFonts w:ascii="Times New Roman" w:eastAsia="宋体" w:hAnsi="Times New Roman" w:cs="Times New Roman"/>
          <w:color w:val="000000"/>
          <w:kern w:val="0"/>
          <w:szCs w:val="21"/>
        </w:rPr>
        <w:t>Chinese Thyroid Imaging Reporting and Data System</w:t>
      </w:r>
      <w:r w:rsidRPr="002B46C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</w:p>
    <w:sectPr w:rsidR="00E24214" w:rsidRPr="0062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16AD3" w14:textId="77777777" w:rsidR="00D56ADF" w:rsidRDefault="00D56ADF" w:rsidP="00413C4B">
      <w:r>
        <w:separator/>
      </w:r>
    </w:p>
  </w:endnote>
  <w:endnote w:type="continuationSeparator" w:id="0">
    <w:p w14:paraId="636C8A8F" w14:textId="77777777" w:rsidR="00D56ADF" w:rsidRDefault="00D56ADF" w:rsidP="0041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6B811" w14:textId="77777777" w:rsidR="00D56ADF" w:rsidRDefault="00D56ADF" w:rsidP="00413C4B">
      <w:r>
        <w:separator/>
      </w:r>
    </w:p>
  </w:footnote>
  <w:footnote w:type="continuationSeparator" w:id="0">
    <w:p w14:paraId="6E3009F4" w14:textId="77777777" w:rsidR="00D56ADF" w:rsidRDefault="00D56ADF" w:rsidP="0041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E3"/>
    <w:rsid w:val="000A6F53"/>
    <w:rsid w:val="000E74D0"/>
    <w:rsid w:val="001D2A20"/>
    <w:rsid w:val="00413C4B"/>
    <w:rsid w:val="00430A06"/>
    <w:rsid w:val="00621A8D"/>
    <w:rsid w:val="006337E3"/>
    <w:rsid w:val="006C1E4F"/>
    <w:rsid w:val="008D5E2E"/>
    <w:rsid w:val="00B06F30"/>
    <w:rsid w:val="00BB222E"/>
    <w:rsid w:val="00D56ADF"/>
    <w:rsid w:val="00E16BE2"/>
    <w:rsid w:val="00E24214"/>
    <w:rsid w:val="00F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ADB14"/>
  <w15:chartTrackingRefBased/>
  <w15:docId w15:val="{FDC30C5E-CEE4-4CD4-856A-A1ECF7FC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4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C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13C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C4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13C4B"/>
    <w:rPr>
      <w:sz w:val="18"/>
      <w:szCs w:val="18"/>
    </w:rPr>
  </w:style>
  <w:style w:type="table" w:styleId="a7">
    <w:name w:val="Table Grid"/>
    <w:basedOn w:val="a1"/>
    <w:uiPriority w:val="59"/>
    <w:qFormat/>
    <w:rsid w:val="00413C4B"/>
    <w:rPr>
      <w:rFonts w:eastAsia="微软雅黑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Admin</dc:creator>
  <cp:keywords/>
  <dc:description/>
  <cp:lastModifiedBy>Author Admin</cp:lastModifiedBy>
  <cp:revision>8</cp:revision>
  <dcterms:created xsi:type="dcterms:W3CDTF">2024-04-30T08:10:00Z</dcterms:created>
  <dcterms:modified xsi:type="dcterms:W3CDTF">2024-07-05T07:32:00Z</dcterms:modified>
</cp:coreProperties>
</file>