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9FAD6" w14:textId="3C0E16A6" w:rsidR="003874AA" w:rsidRDefault="004146B6" w:rsidP="004146B6">
      <w:pPr>
        <w:ind w:firstLine="480"/>
        <w:jc w:val="center"/>
      </w:pPr>
      <w:bookmarkStart w:id="0" w:name="OLE_LINK19"/>
      <w:r>
        <w:rPr>
          <w:rFonts w:hint="eastAsia"/>
        </w:rPr>
        <w:t>Supplementary figures and figure legends</w:t>
      </w:r>
    </w:p>
    <w:bookmarkEnd w:id="0"/>
    <w:p w14:paraId="05437C90" w14:textId="4751C160" w:rsidR="004146B6" w:rsidRDefault="004146B6" w:rsidP="004146B6">
      <w:pPr>
        <w:ind w:firstLine="480"/>
        <w:jc w:val="center"/>
      </w:pPr>
      <w:r w:rsidRPr="004146B6">
        <w:rPr>
          <w:rFonts w:hint="eastAsia"/>
          <w:noProof/>
        </w:rPr>
        <w:drawing>
          <wp:inline distT="0" distB="0" distL="0" distR="0" wp14:anchorId="6ABEE1EF" wp14:editId="183DB3CB">
            <wp:extent cx="3362639" cy="3391038"/>
            <wp:effectExtent l="0" t="0" r="0" b="0"/>
            <wp:docPr id="20186742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472" cy="33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2B8C4" w14:textId="421D0E95" w:rsidR="004146B6" w:rsidRDefault="004146B6" w:rsidP="004146B6">
      <w:pPr>
        <w:ind w:firstLineChars="0" w:firstLine="0"/>
      </w:pPr>
      <w:r>
        <w:rPr>
          <w:rFonts w:hint="eastAsia"/>
        </w:rPr>
        <w:t xml:space="preserve">Supplementary figure 1. </w:t>
      </w:r>
      <w:r w:rsidRPr="004146B6">
        <w:t>Receiver operating characteristics (ROC) curve analysis. The performances of the neutrophil-to-albumin ratio (NAR)</w:t>
      </w:r>
      <w:r>
        <w:rPr>
          <w:rFonts w:hint="eastAsia"/>
        </w:rPr>
        <w:t xml:space="preserve"> </w:t>
      </w:r>
      <w:r w:rsidRPr="004146B6">
        <w:t>to discriminate diarrhea-predominant irritable bowel syndrome (IBS-D)</w:t>
      </w:r>
      <w:r>
        <w:rPr>
          <w:rFonts w:hint="eastAsia"/>
        </w:rPr>
        <w:t xml:space="preserve"> </w:t>
      </w:r>
      <w:r w:rsidRPr="004146B6">
        <w:t xml:space="preserve">from controls were determined by ROC curve analysis. </w:t>
      </w:r>
      <w:r w:rsidR="009D7CBE">
        <w:rPr>
          <w:rFonts w:cs="Times New Roman" w:hint="eastAsia"/>
          <w:color w:val="000000" w:themeColor="text1"/>
          <w:kern w:val="0"/>
          <w:szCs w:val="24"/>
        </w:rPr>
        <w:t xml:space="preserve">A </w:t>
      </w:r>
      <w:r w:rsidR="009D7CBE" w:rsidRPr="007D5D49">
        <w:rPr>
          <w:rFonts w:cs="Times New Roman"/>
          <w:color w:val="000000" w:themeColor="text1"/>
          <w:kern w:val="0"/>
          <w:szCs w:val="24"/>
        </w:rPr>
        <w:t xml:space="preserve">cut-off value of </w:t>
      </w:r>
      <w:r w:rsidR="009D7CBE" w:rsidRPr="007D5D49">
        <w:rPr>
          <w:rFonts w:cs="Times New Roman" w:hint="eastAsia"/>
          <w:color w:val="000000" w:themeColor="text1"/>
          <w:kern w:val="0"/>
          <w:szCs w:val="24"/>
        </w:rPr>
        <w:t>1.43</w:t>
      </w:r>
      <w:r w:rsidR="009D7CBE" w:rsidRPr="007D5D49">
        <w:rPr>
          <w:rFonts w:cs="Times New Roman"/>
          <w:color w:val="000000" w:themeColor="text1"/>
          <w:kern w:val="0"/>
          <w:szCs w:val="24"/>
        </w:rPr>
        <w:t xml:space="preserve"> with sensitivity of </w:t>
      </w:r>
      <w:r w:rsidR="009D7CBE" w:rsidRPr="007D5D49">
        <w:rPr>
          <w:rFonts w:cs="Times New Roman" w:hint="eastAsia"/>
          <w:color w:val="000000" w:themeColor="text1"/>
          <w:kern w:val="0"/>
          <w:szCs w:val="24"/>
        </w:rPr>
        <w:t>71</w:t>
      </w:r>
      <w:r w:rsidR="009D7CBE" w:rsidRPr="007D5D49">
        <w:rPr>
          <w:rFonts w:cs="Times New Roman"/>
          <w:color w:val="000000" w:themeColor="text1"/>
          <w:kern w:val="0"/>
          <w:szCs w:val="24"/>
        </w:rPr>
        <w:t>.</w:t>
      </w:r>
      <w:r w:rsidR="009D7CBE" w:rsidRPr="007D5D49">
        <w:rPr>
          <w:rFonts w:cs="Times New Roman" w:hint="eastAsia"/>
          <w:color w:val="000000" w:themeColor="text1"/>
          <w:kern w:val="0"/>
          <w:szCs w:val="24"/>
        </w:rPr>
        <w:t>1</w:t>
      </w:r>
      <w:r w:rsidR="009D7CBE" w:rsidRPr="007D5D49">
        <w:rPr>
          <w:rFonts w:cs="Times New Roman"/>
          <w:color w:val="000000" w:themeColor="text1"/>
          <w:kern w:val="0"/>
          <w:szCs w:val="24"/>
        </w:rPr>
        <w:t xml:space="preserve">%, specificity of </w:t>
      </w:r>
      <w:r w:rsidR="009D7CBE" w:rsidRPr="007D5D49">
        <w:rPr>
          <w:rFonts w:cs="Times New Roman" w:hint="eastAsia"/>
          <w:color w:val="000000" w:themeColor="text1"/>
          <w:kern w:val="0"/>
          <w:szCs w:val="24"/>
        </w:rPr>
        <w:t>61</w:t>
      </w:r>
      <w:r w:rsidR="009D7CBE" w:rsidRPr="007D5D49">
        <w:rPr>
          <w:rFonts w:cs="Times New Roman"/>
          <w:color w:val="000000" w:themeColor="text1"/>
          <w:kern w:val="0"/>
          <w:szCs w:val="24"/>
        </w:rPr>
        <w:t>.6%</w:t>
      </w:r>
      <w:r w:rsidR="009D7CBE">
        <w:rPr>
          <w:rFonts w:cs="Times New Roman" w:hint="eastAsia"/>
          <w:color w:val="000000" w:themeColor="text1"/>
          <w:kern w:val="0"/>
          <w:szCs w:val="24"/>
        </w:rPr>
        <w:t xml:space="preserve">. </w:t>
      </w:r>
      <w:r w:rsidRPr="004146B6">
        <w:t xml:space="preserve">AUC, area under the ROC curve. p &lt; 0.05 was considered significant. </w:t>
      </w:r>
    </w:p>
    <w:p w14:paraId="38146DBD" w14:textId="77777777" w:rsidR="004146B6" w:rsidRDefault="004146B6" w:rsidP="004146B6">
      <w:pPr>
        <w:ind w:firstLine="480"/>
        <w:jc w:val="center"/>
      </w:pPr>
    </w:p>
    <w:sectPr w:rsidR="00414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ED163" w14:textId="77777777" w:rsidR="005C06CA" w:rsidRDefault="005C06CA" w:rsidP="004146B6">
      <w:pPr>
        <w:spacing w:line="240" w:lineRule="auto"/>
        <w:ind w:firstLine="480"/>
      </w:pPr>
      <w:r>
        <w:separator/>
      </w:r>
    </w:p>
  </w:endnote>
  <w:endnote w:type="continuationSeparator" w:id="0">
    <w:p w14:paraId="1ADE3881" w14:textId="77777777" w:rsidR="005C06CA" w:rsidRDefault="005C06CA" w:rsidP="004146B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B9650" w14:textId="77777777" w:rsidR="004146B6" w:rsidRDefault="004146B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5C822" w14:textId="77777777" w:rsidR="004146B6" w:rsidRDefault="004146B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E6D51" w14:textId="77777777" w:rsidR="004146B6" w:rsidRDefault="004146B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5098" w14:textId="77777777" w:rsidR="005C06CA" w:rsidRDefault="005C06CA" w:rsidP="004146B6">
      <w:pPr>
        <w:spacing w:line="240" w:lineRule="auto"/>
        <w:ind w:firstLine="480"/>
      </w:pPr>
      <w:r>
        <w:separator/>
      </w:r>
    </w:p>
  </w:footnote>
  <w:footnote w:type="continuationSeparator" w:id="0">
    <w:p w14:paraId="310802E8" w14:textId="77777777" w:rsidR="005C06CA" w:rsidRDefault="005C06CA" w:rsidP="004146B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D40C" w14:textId="77777777" w:rsidR="004146B6" w:rsidRDefault="004146B6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462EC" w14:textId="77777777" w:rsidR="004146B6" w:rsidRDefault="004146B6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BA051" w14:textId="77777777" w:rsidR="004146B6" w:rsidRDefault="004146B6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9B5"/>
    <w:rsid w:val="000866D0"/>
    <w:rsid w:val="003874AA"/>
    <w:rsid w:val="004146B6"/>
    <w:rsid w:val="005C06CA"/>
    <w:rsid w:val="0082625F"/>
    <w:rsid w:val="009D7CBE"/>
    <w:rsid w:val="00B729B5"/>
    <w:rsid w:val="00DA1815"/>
    <w:rsid w:val="00FD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F240E"/>
  <w15:chartTrackingRefBased/>
  <w15:docId w15:val="{2FE6D1A9-5B19-418C-AA15-3245C722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6B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46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46B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4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He</dc:creator>
  <cp:keywords/>
  <dc:description/>
  <cp:lastModifiedBy>Olliver, Tania</cp:lastModifiedBy>
  <cp:revision>2</cp:revision>
  <dcterms:created xsi:type="dcterms:W3CDTF">2024-06-06T23:00:00Z</dcterms:created>
  <dcterms:modified xsi:type="dcterms:W3CDTF">2024-06-06T23:00:00Z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2024-06-06T23:00:24Z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efa5862f-b984-41aa-a8f7-8ab0f22c5cd2</vt:lpwstr>
  </property>
  <property fmtid="{D5CDD505-2E9C-101B-9397-08002B2CF9AE}" pid="8" name="MSIP_Label_2bbab825-a111-45e4-86a1-18cee0005896_ContentBits">
    <vt:lpwstr>2</vt:lpwstr>
  </property>
</Properties>
</file>