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E00F7" w14:textId="18AD03DD" w:rsidR="004770DA" w:rsidRPr="004770DA" w:rsidRDefault="00171187" w:rsidP="004770DA">
      <w:pPr>
        <w:widowControl w:val="0"/>
        <w:wordWrap w:val="0"/>
        <w:autoSpaceDE w:val="0"/>
        <w:autoSpaceDN w:val="0"/>
        <w:spacing w:after="160" w:line="254" w:lineRule="auto"/>
        <w:ind w:firstLine="0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 w:cs="Times New Roman"/>
          <w:b/>
          <w:bCs/>
          <w:kern w:val="0"/>
          <w:sz w:val="22"/>
          <w:lang w:eastAsia="en-US"/>
        </w:rPr>
        <w:t xml:space="preserve">Supplementary </w:t>
      </w:r>
      <w:r w:rsidR="00065FA7" w:rsidRPr="004770DA">
        <w:rPr>
          <w:rFonts w:ascii="Times New Roman" w:eastAsia="맑은 고딕" w:hAnsi="Times New Roman" w:cs="Times New Roman"/>
          <w:b/>
          <w:bCs/>
          <w:kern w:val="0"/>
          <w:sz w:val="22"/>
          <w:lang w:eastAsia="en-US"/>
        </w:rPr>
        <w:t xml:space="preserve">Table 1. </w:t>
      </w:r>
      <w:r w:rsidR="00065FA7">
        <w:rPr>
          <w:rFonts w:ascii="Times New Roman" w:eastAsia="맑은 고딕" w:hAnsi="Times New Roman" w:cs="Times New Roman"/>
          <w:kern w:val="0"/>
          <w:sz w:val="22"/>
        </w:rPr>
        <w:t>Excluded</w:t>
      </w:r>
      <w:r w:rsidR="00065FA7" w:rsidRPr="004770DA">
        <w:rPr>
          <w:rFonts w:ascii="Times New Roman" w:eastAsia="맑은 고딕" w:hAnsi="Times New Roman" w:cs="Times New Roman"/>
          <w:b/>
          <w:bCs/>
          <w:sz w:val="22"/>
        </w:rPr>
        <w:t xml:space="preserve"> </w:t>
      </w:r>
      <w:r w:rsidR="00065FA7" w:rsidRPr="004770DA">
        <w:rPr>
          <w:rFonts w:ascii="Times New Roman" w:eastAsia="맑은 고딕" w:hAnsi="Times New Roman" w:cs="Times New Roman"/>
          <w:sz w:val="22"/>
        </w:rPr>
        <w:t xml:space="preserve">underlying hemorrhagic and thrombotic </w:t>
      </w:r>
      <w:r w:rsidR="00065FA7">
        <w:rPr>
          <w:rFonts w:ascii="Times New Roman" w:eastAsia="맑은 고딕" w:hAnsi="Times New Roman" w:cs="Times New Roman"/>
          <w:sz w:val="22"/>
        </w:rPr>
        <w:t>conditions for this study.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E104EB" w14:paraId="2ABD8544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C9DE" w14:textId="77777777" w:rsidR="004770DA" w:rsidRPr="004770DA" w:rsidRDefault="00065FA7" w:rsidP="00856B12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ICD-10 code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FDB9" w14:textId="77777777" w:rsidR="004770DA" w:rsidRPr="004770DA" w:rsidRDefault="00065FA7" w:rsidP="00856B12">
            <w:pPr>
              <w:widowControl w:val="0"/>
              <w:wordWrap w:val="0"/>
              <w:autoSpaceDE w:val="0"/>
              <w:autoSpaceDN w:val="0"/>
              <w:spacing w:line="254" w:lineRule="auto"/>
              <w:ind w:firstLine="799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Description</w:t>
            </w:r>
          </w:p>
        </w:tc>
      </w:tr>
      <w:tr w:rsidR="00E104EB" w14:paraId="185890C7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3A20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D45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AEDA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Polycythemia vera</w:t>
            </w:r>
          </w:p>
        </w:tc>
      </w:tr>
      <w:tr w:rsidR="00E104EB" w14:paraId="7252386A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E2E2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D47.3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C19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Essential (hemorrhagic) thrombocythemia</w:t>
            </w:r>
          </w:p>
        </w:tc>
      </w:tr>
      <w:tr w:rsidR="00E104EB" w14:paraId="526D24E1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23E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D68.4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512D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Acquired coagulation factor deficiency</w:t>
            </w:r>
          </w:p>
        </w:tc>
      </w:tr>
      <w:tr w:rsidR="00E104EB" w14:paraId="74912F16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BD8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G45.9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C70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Transient cerebral ischemic attack, unspecified</w:t>
            </w:r>
          </w:p>
        </w:tc>
      </w:tr>
      <w:tr w:rsidR="00E104EB" w14:paraId="2EB59115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5861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H34.0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3E9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Transient retinal artery occlusion</w:t>
            </w:r>
          </w:p>
        </w:tc>
      </w:tr>
      <w:tr w:rsidR="00E104EB" w14:paraId="059F8407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B0A1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H34.2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D217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Other retinal artery occlusions</w:t>
            </w:r>
          </w:p>
        </w:tc>
      </w:tr>
      <w:tr w:rsidR="00E104EB" w14:paraId="1A31765B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BD3C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H34.9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8595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Unspecified retinal vascular occlusion</w:t>
            </w:r>
          </w:p>
        </w:tc>
      </w:tr>
      <w:tr w:rsidR="00E104EB" w14:paraId="4F766F46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30A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I09.9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C42A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Rheumatic heart disease, unspecified</w:t>
            </w:r>
          </w:p>
        </w:tc>
      </w:tr>
      <w:tr w:rsidR="00E104EB" w14:paraId="3336A700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BF8D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I20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460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Angina pectoris</w:t>
            </w:r>
          </w:p>
        </w:tc>
      </w:tr>
      <w:tr w:rsidR="00E104EB" w14:paraId="65277C50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7088" w14:textId="77777777" w:rsidR="004770DA" w:rsidRPr="00856B12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I2</w:t>
            </w:r>
            <w:r w:rsidRPr="00856B12">
              <w:rPr>
                <w:rFonts w:ascii="Times New Roman" w:hAnsi="Times New Roman"/>
                <w:kern w:val="0"/>
                <w:sz w:val="22"/>
              </w:rPr>
              <w:t>1</w:t>
            </w:r>
            <w:r w:rsidR="00856B12" w:rsidRPr="00856B12">
              <w:rPr>
                <w:rFonts w:ascii="Times New Roman" w:hAnsi="Times New Roman"/>
                <w:kern w:val="0"/>
                <w:sz w:val="22"/>
              </w:rPr>
              <w:t>–</w:t>
            </w:r>
            <w:r w:rsidRPr="00856B12">
              <w:rPr>
                <w:rFonts w:ascii="Times New Roman" w:hAnsi="Times New Roman"/>
                <w:kern w:val="0"/>
                <w:sz w:val="22"/>
              </w:rPr>
              <w:t>23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00D2" w14:textId="77777777" w:rsidR="004770DA" w:rsidRPr="00856B12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  <w:lang w:eastAsia="ko-KR"/>
              </w:rPr>
            </w:pPr>
            <w:r w:rsidRPr="00856B12">
              <w:rPr>
                <w:rFonts w:ascii="Times New Roman" w:hAnsi="Times New Roman"/>
                <w:kern w:val="0"/>
                <w:sz w:val="22"/>
                <w:lang w:eastAsia="ko-KR"/>
              </w:rPr>
              <w:t>Acute myocardial infarction</w:t>
            </w:r>
          </w:p>
        </w:tc>
      </w:tr>
      <w:tr w:rsidR="00E104EB" w14:paraId="62AFD42F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E500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I23.6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05F8" w14:textId="037EC4EE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Thrombosis of </w:t>
            </w:r>
            <w:r w:rsidR="002A2AA1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atrium, auricular appendage, and ventricle as current complications following acute myocardial infarction</w:t>
            </w:r>
          </w:p>
        </w:tc>
      </w:tr>
      <w:tr w:rsidR="00E104EB" w14:paraId="35F8FA3E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E7C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I24.0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0C9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Acute coronary thrombosis not resulting in myocardial infarction</w:t>
            </w:r>
          </w:p>
        </w:tc>
      </w:tr>
      <w:tr w:rsidR="00E104EB" w14:paraId="715C820A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E521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I25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FD3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Chronic ischemic heart disease</w:t>
            </w:r>
          </w:p>
        </w:tc>
      </w:tr>
      <w:tr w:rsidR="00E104EB" w14:paraId="5C9F8261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A4DC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I26.9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3CB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Pulmonary embolism without acute cor pulmonale</w:t>
            </w:r>
          </w:p>
        </w:tc>
      </w:tr>
      <w:tr w:rsidR="00E104EB" w14:paraId="658DD1AF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BDE5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I48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E14C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Atrial fibrillation and flutter</w:t>
            </w:r>
          </w:p>
        </w:tc>
      </w:tr>
      <w:tr w:rsidR="00E104EB" w14:paraId="0C3B898B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25C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I49.0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13A6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Ventricular fibrillation and flutter</w:t>
            </w:r>
          </w:p>
        </w:tc>
      </w:tr>
      <w:tr w:rsidR="00E104EB" w14:paraId="27D49974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62D9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I50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185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Heart failure</w:t>
            </w:r>
          </w:p>
        </w:tc>
      </w:tr>
      <w:tr w:rsidR="00E104EB" w14:paraId="12446435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BFAC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I50.1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FCB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Left ventricular failure, unspecified</w:t>
            </w:r>
          </w:p>
        </w:tc>
      </w:tr>
      <w:tr w:rsidR="00E104EB" w14:paraId="74CC61FC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09A9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I50.9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9260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Heart failure, unspecified</w:t>
            </w:r>
          </w:p>
        </w:tc>
      </w:tr>
      <w:tr w:rsidR="00E104EB" w14:paraId="3109E8BE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FD27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I51.3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9DB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Intracardiac thrombosis, not elsewhere classified</w:t>
            </w:r>
          </w:p>
        </w:tc>
      </w:tr>
      <w:tr w:rsidR="00E104EB" w14:paraId="4B62C665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9FA8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I65.9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D9AF" w14:textId="315584E6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Occlusion and stenosis of </w:t>
            </w:r>
            <w:r w:rsidR="002A2AA1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unspecified precerebral artery</w:t>
            </w:r>
          </w:p>
        </w:tc>
      </w:tr>
      <w:tr w:rsidR="00E104EB" w14:paraId="42B6599D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F6E5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I66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7FBD" w14:textId="3F5D7B2C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Occlusion and stenosis of cerebral arteries, not resulting in cerebral </w:t>
            </w:r>
            <w:r w:rsidR="00FA2A79">
              <w:rPr>
                <w:rFonts w:ascii="Times New Roman" w:hAnsi="Times New Roman"/>
                <w:kern w:val="0"/>
                <w:sz w:val="22"/>
              </w:rPr>
              <w:t>infarction</w:t>
            </w:r>
          </w:p>
        </w:tc>
      </w:tr>
      <w:tr w:rsidR="00E104EB" w14:paraId="3223E842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C1DC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I67.2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0F5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Cerebral atherosclerosis</w:t>
            </w:r>
          </w:p>
        </w:tc>
      </w:tr>
      <w:tr w:rsidR="00E104EB" w14:paraId="1676A66A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E96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I67.7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859D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Cerebral arteritis, not elsewhere classified</w:t>
            </w:r>
          </w:p>
        </w:tc>
      </w:tr>
      <w:tr w:rsidR="00E104EB" w14:paraId="2479C5F4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E3D5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I70.0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4C7A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Atherosclerosis of aorta</w:t>
            </w:r>
          </w:p>
        </w:tc>
      </w:tr>
      <w:tr w:rsidR="00E104EB" w14:paraId="27E98F91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F1D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I70.1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24B1" w14:textId="38D84C5D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Atherosclerosis of </w:t>
            </w:r>
            <w:r w:rsidR="002A2AA1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renal artery</w:t>
            </w:r>
          </w:p>
        </w:tc>
      </w:tr>
      <w:tr w:rsidR="00E104EB" w14:paraId="213F4A85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6B6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B520" w14:textId="5CF65956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Embolism and thrombosis of </w:t>
            </w:r>
            <w:r w:rsidR="002A2AA1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abdominal aorta</w:t>
            </w:r>
          </w:p>
        </w:tc>
      </w:tr>
      <w:tr w:rsidR="00E104EB" w14:paraId="3E5B584B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8525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I74.1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9217" w14:textId="71CE1201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Embolism and thrombosis of other and unspecified parts of </w:t>
            </w:r>
            <w:r w:rsidR="002A2AA1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aorta</w:t>
            </w:r>
          </w:p>
        </w:tc>
      </w:tr>
      <w:tr w:rsidR="00E104EB" w14:paraId="28DBC042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0A37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I74.2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B91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Embolism and thrombosis of arteries of the upper extremities</w:t>
            </w:r>
          </w:p>
        </w:tc>
      </w:tr>
      <w:tr w:rsidR="00E104EB" w14:paraId="0F061775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59DA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I74.3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CAAC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Embolism and thrombosis of arteries of the lower extremities</w:t>
            </w:r>
          </w:p>
        </w:tc>
      </w:tr>
      <w:tr w:rsidR="00E104EB" w14:paraId="4395787A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975A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I74.4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4C35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Embolism and thrombosis of arteries of extremities, unspecified</w:t>
            </w:r>
          </w:p>
        </w:tc>
      </w:tr>
      <w:tr w:rsidR="00E104EB" w14:paraId="7693AE1C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B76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I74.5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2D5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Embolism and thrombosis of iliac artery</w:t>
            </w:r>
          </w:p>
        </w:tc>
      </w:tr>
      <w:tr w:rsidR="00E104EB" w14:paraId="63769D4B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4EE7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I74.8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A897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Embolism and thrombosis of other arteries</w:t>
            </w:r>
          </w:p>
        </w:tc>
      </w:tr>
      <w:tr w:rsidR="00E104EB" w14:paraId="5DAEE4D7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2A9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I74.9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2B8F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Embolism and thrombosis of unspecified artery</w:t>
            </w:r>
          </w:p>
        </w:tc>
      </w:tr>
      <w:tr w:rsidR="00E104EB" w14:paraId="29A36846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E86B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I97.1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2251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Other postprocedural cardiac functional disturbances</w:t>
            </w:r>
          </w:p>
        </w:tc>
      </w:tr>
      <w:tr w:rsidR="00E104EB" w14:paraId="28CF01E4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202A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K55.0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EA2F" w14:textId="641BD361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Acute vascular disorders of </w:t>
            </w:r>
            <w:r w:rsidR="009C6895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intestine</w:t>
            </w:r>
          </w:p>
        </w:tc>
      </w:tr>
      <w:tr w:rsidR="00E104EB" w14:paraId="34CD572B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4220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K55.1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853E" w14:textId="1A892401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Chronic vascular disorders of </w:t>
            </w:r>
            <w:r w:rsidR="009C6895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intestine</w:t>
            </w:r>
          </w:p>
        </w:tc>
      </w:tr>
      <w:tr w:rsidR="00E104EB" w14:paraId="4865ECB4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D69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lastRenderedPageBreak/>
              <w:t>K70.2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A9F5" w14:textId="1A370631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Alcoholic fibrosis and sclerosis of </w:t>
            </w:r>
            <w:r w:rsidR="009C6895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liver</w:t>
            </w:r>
          </w:p>
        </w:tc>
      </w:tr>
      <w:tr w:rsidR="00E104EB" w14:paraId="16E59016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80EC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K70.3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94CF" w14:textId="4BF558BF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Alcoholic cirrhosis of </w:t>
            </w:r>
            <w:r w:rsidR="009C6895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liver</w:t>
            </w:r>
          </w:p>
        </w:tc>
      </w:tr>
      <w:tr w:rsidR="00E104EB" w14:paraId="46DBF77F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4905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K74.6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B63" w14:textId="1E5A7426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Other and unspecified cirrhosis of </w:t>
            </w:r>
            <w:r w:rsidR="009C6895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liver</w:t>
            </w:r>
          </w:p>
        </w:tc>
      </w:tr>
      <w:tr w:rsidR="00E104EB" w14:paraId="05682D39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9781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N28.0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1DF0" w14:textId="0F26AAB4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Ischemia and infarction of </w:t>
            </w:r>
            <w:r w:rsidR="009C6895">
              <w:rPr>
                <w:rFonts w:ascii="Times New Roman" w:hAnsi="Times New Roman"/>
                <w:kern w:val="0"/>
                <w:sz w:val="22"/>
              </w:rPr>
              <w:t xml:space="preserve">the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kidney</w:t>
            </w:r>
          </w:p>
        </w:tc>
      </w:tr>
      <w:tr w:rsidR="00E104EB" w14:paraId="4CC72AA5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9D8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T86.2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1840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Complications of heart transplant</w:t>
            </w:r>
          </w:p>
        </w:tc>
      </w:tr>
      <w:tr w:rsidR="00E104EB" w14:paraId="20211BBB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CE5E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T86.4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9822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Complications of liver transplant</w:t>
            </w:r>
          </w:p>
        </w:tc>
      </w:tr>
      <w:tr w:rsidR="00E104EB" w14:paraId="75A3DF6C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A46F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Z94.4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0573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Liver transplant status</w:t>
            </w:r>
          </w:p>
        </w:tc>
      </w:tr>
      <w:tr w:rsidR="00E104EB" w14:paraId="6E2DD8F6" w14:textId="77777777" w:rsidTr="004770DA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197D" w14:textId="77777777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>Z95.2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8F94" w14:textId="596F6726" w:rsidR="004770DA" w:rsidRPr="004770DA" w:rsidRDefault="00065FA7" w:rsidP="004770DA">
            <w:pPr>
              <w:widowControl w:val="0"/>
              <w:wordWrap w:val="0"/>
              <w:autoSpaceDE w:val="0"/>
              <w:autoSpaceDN w:val="0"/>
              <w:spacing w:line="254" w:lineRule="auto"/>
              <w:ind w:firstLine="0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4770DA">
              <w:rPr>
                <w:rFonts w:ascii="Times New Roman" w:hAnsi="Times New Roman"/>
                <w:kern w:val="0"/>
                <w:sz w:val="22"/>
              </w:rPr>
              <w:t xml:space="preserve">Presence of </w:t>
            </w:r>
            <w:r w:rsidR="009C6895">
              <w:rPr>
                <w:rFonts w:ascii="Times New Roman" w:hAnsi="Times New Roman"/>
                <w:kern w:val="0"/>
                <w:sz w:val="22"/>
              </w:rPr>
              <w:t xml:space="preserve">a </w:t>
            </w:r>
            <w:r w:rsidRPr="004770DA">
              <w:rPr>
                <w:rFonts w:ascii="Times New Roman" w:hAnsi="Times New Roman"/>
                <w:kern w:val="0"/>
                <w:sz w:val="22"/>
              </w:rPr>
              <w:t>prosthetic heart valve</w:t>
            </w:r>
          </w:p>
        </w:tc>
      </w:tr>
    </w:tbl>
    <w:p w14:paraId="6FE9380C" w14:textId="77777777" w:rsidR="004770DA" w:rsidRPr="004770DA" w:rsidRDefault="004770DA" w:rsidP="004F73C9">
      <w:pPr>
        <w:ind w:firstLine="0"/>
        <w:rPr>
          <w:rFonts w:ascii="Times New Roman" w:hAnsi="Times New Roman" w:cs="Times New Roman"/>
          <w:b/>
          <w:bCs/>
          <w:sz w:val="22"/>
        </w:rPr>
        <w:sectPr w:rsidR="004770DA" w:rsidRPr="004770DA" w:rsidSect="000B7886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61181520" w14:textId="406B7558" w:rsidR="004F73C9" w:rsidRDefault="00171187" w:rsidP="004F73C9">
      <w:pP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eastAsia="맑은 고딕" w:hAnsi="Times New Roman" w:cs="Times New Roman"/>
          <w:b/>
          <w:bCs/>
          <w:kern w:val="0"/>
          <w:sz w:val="22"/>
          <w:lang w:eastAsia="en-US"/>
        </w:rPr>
        <w:lastRenderedPageBreak/>
        <w:t>Supplementary</w:t>
      </w:r>
      <w:r w:rsidRPr="00851279">
        <w:rPr>
          <w:rFonts w:ascii="Times New Roman" w:hAnsi="Times New Roman" w:cs="Times New Roman"/>
          <w:b/>
          <w:bCs/>
          <w:sz w:val="22"/>
        </w:rPr>
        <w:t xml:space="preserve"> </w:t>
      </w:r>
      <w:r w:rsidR="00065FA7" w:rsidRPr="00851279">
        <w:rPr>
          <w:rFonts w:ascii="Times New Roman" w:hAnsi="Times New Roman" w:cs="Times New Roman"/>
          <w:b/>
          <w:bCs/>
          <w:sz w:val="22"/>
        </w:rPr>
        <w:t>Table</w:t>
      </w:r>
      <w:r w:rsidR="00065FA7">
        <w:rPr>
          <w:rFonts w:ascii="Times New Roman" w:hAnsi="Times New Roman" w:cs="Times New Roman"/>
          <w:b/>
          <w:bCs/>
          <w:sz w:val="22"/>
        </w:rPr>
        <w:t xml:space="preserve"> </w:t>
      </w:r>
      <w:bookmarkStart w:id="0" w:name="_GoBack"/>
      <w:bookmarkEnd w:id="0"/>
      <w:r w:rsidR="004770DA">
        <w:rPr>
          <w:rFonts w:ascii="Times New Roman" w:hAnsi="Times New Roman" w:cs="Times New Roman"/>
          <w:b/>
          <w:bCs/>
          <w:sz w:val="22"/>
        </w:rPr>
        <w:t>2</w:t>
      </w:r>
      <w:r w:rsidR="00065FA7" w:rsidRPr="00851279">
        <w:rPr>
          <w:rFonts w:ascii="Times New Roman" w:hAnsi="Times New Roman" w:cs="Times New Roman"/>
          <w:b/>
          <w:bCs/>
          <w:sz w:val="22"/>
        </w:rPr>
        <w:t xml:space="preserve">. </w:t>
      </w:r>
      <w:r w:rsidR="00065FA7">
        <w:rPr>
          <w:rFonts w:ascii="Times New Roman" w:hAnsi="Times New Roman" w:cs="Times New Roman"/>
          <w:sz w:val="22"/>
        </w:rPr>
        <w:t>Operational definition</w:t>
      </w:r>
      <w:r w:rsidR="00065FA7">
        <w:rPr>
          <w:rFonts w:ascii="Times New Roman" w:eastAsia="맑은 고딕" w:hAnsi="Times New Roman" w:cs="Times New Roman"/>
          <w:sz w:val="22"/>
        </w:rPr>
        <w:t xml:space="preserve">s of comorbidities </w:t>
      </w:r>
      <w:r w:rsidR="00065FA7">
        <w:rPr>
          <w:rFonts w:ascii="Times New Roman" w:hAnsi="Times New Roman" w:cs="Times New Roman"/>
          <w:sz w:val="22"/>
        </w:rPr>
        <w:t xml:space="preserve">in this study.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E104EB" w14:paraId="41C45289" w14:textId="77777777" w:rsidTr="004F73C9">
        <w:tc>
          <w:tcPr>
            <w:tcW w:w="1555" w:type="dxa"/>
            <w:vAlign w:val="center"/>
          </w:tcPr>
          <w:p w14:paraId="73EF54B3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>
              <w:rPr>
                <w:rFonts w:ascii="Times New Roman" w:hAnsi="Times New Roman" w:cs="Times New Roman"/>
                <w:sz w:val="22"/>
              </w:rPr>
              <w:t>isease</w:t>
            </w:r>
          </w:p>
        </w:tc>
        <w:tc>
          <w:tcPr>
            <w:tcW w:w="7461" w:type="dxa"/>
            <w:vAlign w:val="center"/>
          </w:tcPr>
          <w:p w14:paraId="3F913C55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>
              <w:rPr>
                <w:rFonts w:ascii="Times New Roman" w:hAnsi="Times New Roman" w:cs="Times New Roman"/>
                <w:sz w:val="22"/>
              </w:rPr>
              <w:t>efinition</w:t>
            </w:r>
          </w:p>
        </w:tc>
      </w:tr>
      <w:tr w:rsidR="00E104EB" w14:paraId="3372058F" w14:textId="77777777" w:rsidTr="004F73C9">
        <w:tc>
          <w:tcPr>
            <w:tcW w:w="1555" w:type="dxa"/>
            <w:vAlign w:val="center"/>
          </w:tcPr>
          <w:p w14:paraId="239F1A74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ypertension</w:t>
            </w:r>
          </w:p>
        </w:tc>
        <w:tc>
          <w:tcPr>
            <w:tcW w:w="7461" w:type="dxa"/>
            <w:vAlign w:val="center"/>
          </w:tcPr>
          <w:p w14:paraId="29C68EF6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</w:t>
            </w:r>
            <w:r w:rsidRPr="004F73C9">
              <w:rPr>
                <w:rFonts w:ascii="Times New Roman" w:hAnsi="Times New Roman" w:cs="Times New Roman"/>
                <w:sz w:val="22"/>
              </w:rPr>
              <w:t>se of anti-hypertensive medication</w:t>
            </w:r>
            <w:r>
              <w:rPr>
                <w:rFonts w:ascii="Times New Roman" w:hAnsi="Times New Roman" w:cs="Times New Roman"/>
                <w:sz w:val="22"/>
              </w:rPr>
              <w:t xml:space="preserve"> or</w:t>
            </w:r>
          </w:p>
          <w:p w14:paraId="41673D66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F73C9">
              <w:rPr>
                <w:rFonts w:ascii="Times New Roman" w:hAnsi="Times New Roman" w:cs="Times New Roman"/>
                <w:sz w:val="22"/>
              </w:rPr>
              <w:t>systolic blood pressure ≥140 mmHg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4F73C9">
              <w:rPr>
                <w:rFonts w:ascii="Times New Roman" w:hAnsi="Times New Roman" w:cs="Times New Roman"/>
                <w:sz w:val="22"/>
              </w:rPr>
              <w:t xml:space="preserve"> or</w:t>
            </w:r>
          </w:p>
          <w:p w14:paraId="30AB3737" w14:textId="77777777" w:rsidR="004F73C9" w:rsidRP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F73C9">
              <w:rPr>
                <w:rFonts w:ascii="Times New Roman" w:hAnsi="Times New Roman" w:cs="Times New Roman"/>
                <w:sz w:val="22"/>
              </w:rPr>
              <w:t>diastolic blood pressure ≥90 mmHg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E104EB" w14:paraId="641341D4" w14:textId="77777777" w:rsidTr="004F73C9">
        <w:tc>
          <w:tcPr>
            <w:tcW w:w="1555" w:type="dxa"/>
            <w:vAlign w:val="center"/>
          </w:tcPr>
          <w:p w14:paraId="384C0ADA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>
              <w:rPr>
                <w:rFonts w:ascii="Times New Roman" w:hAnsi="Times New Roman" w:cs="Times New Roman"/>
                <w:sz w:val="22"/>
              </w:rPr>
              <w:t>iabetes</w:t>
            </w:r>
          </w:p>
        </w:tc>
        <w:tc>
          <w:tcPr>
            <w:tcW w:w="7461" w:type="dxa"/>
            <w:vAlign w:val="center"/>
          </w:tcPr>
          <w:p w14:paraId="5849271C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Use of</w:t>
            </w:r>
            <w:r w:rsidRPr="004F73C9">
              <w:rPr>
                <w:rFonts w:ascii="Times New Roman" w:hAnsi="Times New Roman" w:cs="Times New Roman"/>
                <w:sz w:val="22"/>
              </w:rPr>
              <w:t xml:space="preserve"> oral hypoglycemic agents or</w:t>
            </w:r>
          </w:p>
          <w:p w14:paraId="096E35D1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F73C9">
              <w:rPr>
                <w:rFonts w:ascii="Times New Roman" w:hAnsi="Times New Roman" w:cs="Times New Roman"/>
                <w:sz w:val="22"/>
              </w:rPr>
              <w:t>fasting blood glucose level of ≥7.0 mmol/L</w:t>
            </w:r>
          </w:p>
        </w:tc>
      </w:tr>
      <w:tr w:rsidR="00E104EB" w14:paraId="2970E848" w14:textId="77777777" w:rsidTr="004F73C9">
        <w:tc>
          <w:tcPr>
            <w:tcW w:w="1555" w:type="dxa"/>
            <w:vAlign w:val="center"/>
          </w:tcPr>
          <w:p w14:paraId="51D156FA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>
              <w:rPr>
                <w:rFonts w:ascii="Times New Roman" w:hAnsi="Times New Roman" w:cs="Times New Roman"/>
                <w:sz w:val="22"/>
              </w:rPr>
              <w:t>yslipidemia</w:t>
            </w:r>
          </w:p>
        </w:tc>
        <w:tc>
          <w:tcPr>
            <w:tcW w:w="7461" w:type="dxa"/>
            <w:vAlign w:val="center"/>
          </w:tcPr>
          <w:p w14:paraId="6702A36A" w14:textId="77777777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Use of </w:t>
            </w:r>
            <w:r w:rsidRPr="004F73C9">
              <w:rPr>
                <w:rFonts w:ascii="Times New Roman" w:hAnsi="Times New Roman" w:cs="Times New Roman"/>
                <w:sz w:val="22"/>
              </w:rPr>
              <w:t xml:space="preserve">lipid-lowering agents or </w:t>
            </w:r>
          </w:p>
          <w:p w14:paraId="6B43F73E" w14:textId="7138644F" w:rsidR="004F73C9" w:rsidRDefault="00065FA7" w:rsidP="004F73C9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a </w:t>
            </w:r>
            <w:r w:rsidR="001B494B" w:rsidRPr="004F73C9">
              <w:rPr>
                <w:rFonts w:ascii="Times New Roman" w:hAnsi="Times New Roman" w:cs="Times New Roman"/>
                <w:sz w:val="22"/>
              </w:rPr>
              <w:t>total cholesterol level of &gt;200 mg/dL</w:t>
            </w:r>
          </w:p>
        </w:tc>
      </w:tr>
    </w:tbl>
    <w:p w14:paraId="1E73865C" w14:textId="6D03C879" w:rsidR="00725F0E" w:rsidRPr="000B7886" w:rsidRDefault="00CC320B" w:rsidP="00DC164F">
      <w:pP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</w:p>
    <w:sectPr w:rsidR="00725F0E" w:rsidRPr="000B7886" w:rsidSect="00065FA7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79DB"/>
    <w:multiLevelType w:val="hybridMultilevel"/>
    <w:tmpl w:val="E2A2FD6A"/>
    <w:lvl w:ilvl="0" w:tplc="CC60FBB2">
      <w:start w:val="16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A3B612B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122324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439AE80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9EA45F8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26E1D8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506884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95447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308E05B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1NTAysjAxN7A0MbBQ0lEKTi0uzszPAykwrAUANd1d7SwAAAA="/>
  </w:docVars>
  <w:rsids>
    <w:rsidRoot w:val="00725F0E"/>
    <w:rsid w:val="00065FA7"/>
    <w:rsid w:val="00072F05"/>
    <w:rsid w:val="000B7886"/>
    <w:rsid w:val="000E3210"/>
    <w:rsid w:val="000F20B5"/>
    <w:rsid w:val="00171187"/>
    <w:rsid w:val="00194001"/>
    <w:rsid w:val="001B494B"/>
    <w:rsid w:val="001F59B7"/>
    <w:rsid w:val="002A2AA1"/>
    <w:rsid w:val="002B2630"/>
    <w:rsid w:val="00376268"/>
    <w:rsid w:val="003C68B1"/>
    <w:rsid w:val="00402079"/>
    <w:rsid w:val="004770DA"/>
    <w:rsid w:val="004F73C9"/>
    <w:rsid w:val="005B286B"/>
    <w:rsid w:val="005D01FB"/>
    <w:rsid w:val="00725F0E"/>
    <w:rsid w:val="00851279"/>
    <w:rsid w:val="00856B12"/>
    <w:rsid w:val="009C6895"/>
    <w:rsid w:val="009E5A43"/>
    <w:rsid w:val="00A11881"/>
    <w:rsid w:val="00A76534"/>
    <w:rsid w:val="00B23348"/>
    <w:rsid w:val="00B342DF"/>
    <w:rsid w:val="00B57EC3"/>
    <w:rsid w:val="00BA3512"/>
    <w:rsid w:val="00C76E07"/>
    <w:rsid w:val="00CC320B"/>
    <w:rsid w:val="00DC164F"/>
    <w:rsid w:val="00DE419B"/>
    <w:rsid w:val="00E104EB"/>
    <w:rsid w:val="00FA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1A724"/>
  <w15:chartTrackingRefBased/>
  <w15:docId w15:val="{99D70FEA-4D4B-40A1-A5FF-90843774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F0E"/>
    <w:pPr>
      <w:spacing w:after="0" w:line="480" w:lineRule="auto"/>
      <w:ind w:firstLine="22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F0E"/>
    <w:pPr>
      <w:spacing w:after="0" w:line="240" w:lineRule="auto"/>
      <w:ind w:firstLine="79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E41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E419B"/>
  </w:style>
  <w:style w:type="paragraph" w:styleId="a5">
    <w:name w:val="footer"/>
    <w:basedOn w:val="a"/>
    <w:link w:val="Char0"/>
    <w:uiPriority w:val="99"/>
    <w:unhideWhenUsed/>
    <w:rsid w:val="00DE41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E419B"/>
  </w:style>
  <w:style w:type="paragraph" w:styleId="a6">
    <w:name w:val="List Paragraph"/>
    <w:basedOn w:val="a"/>
    <w:uiPriority w:val="34"/>
    <w:qFormat/>
    <w:rsid w:val="004F73C9"/>
    <w:pPr>
      <w:ind w:leftChars="400" w:left="800"/>
    </w:pPr>
  </w:style>
  <w:style w:type="table" w:customStyle="1" w:styleId="1">
    <w:name w:val="표 구분선1"/>
    <w:basedOn w:val="a1"/>
    <w:uiPriority w:val="39"/>
    <w:rsid w:val="004770DA"/>
    <w:pPr>
      <w:spacing w:after="0" w:line="240" w:lineRule="auto"/>
      <w:ind w:firstLine="799"/>
    </w:pPr>
    <w:rPr>
      <w:rFonts w:ascii="맑은 고딕" w:eastAsia="맑은 고딕" w:hAnsi="맑은 고딕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C76E07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C76E07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C76E07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76E07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C76E07"/>
    <w:rPr>
      <w:b/>
      <w:bCs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C76E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C76E07"/>
    <w:rPr>
      <w:rFonts w:ascii="Segoe UI" w:hAnsi="Segoe UI" w:cs="Segoe UI"/>
      <w:sz w:val="18"/>
      <w:szCs w:val="18"/>
    </w:rPr>
  </w:style>
  <w:style w:type="paragraph" w:customStyle="1" w:styleId="MDPI13authornames">
    <w:name w:val="MDPI_1.3_authornames"/>
    <w:next w:val="a"/>
    <w:qFormat/>
    <w:rsid w:val="009E5A43"/>
    <w:pPr>
      <w:adjustRightInd w:val="0"/>
      <w:snapToGrid w:val="0"/>
      <w:spacing w:after="36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lang w:eastAsia="de-DE" w:bidi="en-US"/>
    </w:rPr>
  </w:style>
  <w:style w:type="paragraph" w:customStyle="1" w:styleId="MDPI16affiliation">
    <w:name w:val="MDPI_1.6_affiliation"/>
    <w:qFormat/>
    <w:rsid w:val="009E5A43"/>
    <w:pPr>
      <w:adjustRightInd w:val="0"/>
      <w:snapToGrid w:val="0"/>
      <w:spacing w:after="0" w:line="200" w:lineRule="atLeast"/>
      <w:ind w:left="2806" w:hanging="198"/>
      <w:jc w:val="left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2023-05-19T01:36:00Z</dcterms:created>
  <dcterms:modified xsi:type="dcterms:W3CDTF">2023-12-27T05:11:00Z</dcterms:modified>
</cp:coreProperties>
</file>