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D2DD3" w14:textId="5D6FA876" w:rsidR="00CC4A20" w:rsidRPr="005E3785" w:rsidRDefault="005E3785">
      <w:pPr>
        <w:spacing w:line="48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5E3785">
        <w:rPr>
          <w:rFonts w:ascii="Arial" w:hAnsi="Arial" w:cs="Arial"/>
          <w:color w:val="000000"/>
          <w:sz w:val="20"/>
          <w:szCs w:val="20"/>
        </w:rPr>
        <w:t>Supplemental Material</w:t>
      </w:r>
      <w:r w:rsidR="00A23BEB" w:rsidRPr="005E3785">
        <w:rPr>
          <w:rFonts w:ascii="Arial" w:hAnsi="Arial" w:cs="Arial" w:hint="eastAsia"/>
          <w:color w:val="000000"/>
          <w:sz w:val="20"/>
          <w:szCs w:val="20"/>
        </w:rPr>
        <w:t>s</w:t>
      </w:r>
    </w:p>
    <w:p w14:paraId="4F2404AB" w14:textId="275F61D6" w:rsidR="00CC4A20" w:rsidRPr="005E3785" w:rsidRDefault="005E3785">
      <w:pPr>
        <w:pStyle w:val="Title"/>
        <w:spacing w:line="480" w:lineRule="auto"/>
        <w:jc w:val="left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5E3785">
        <w:rPr>
          <w:rFonts w:ascii="Arial" w:eastAsiaTheme="minorEastAsia" w:hAnsi="Arial" w:cs="Arial"/>
          <w:color w:val="000000"/>
          <w:sz w:val="20"/>
          <w:szCs w:val="20"/>
        </w:rPr>
        <w:t>Title:</w:t>
      </w:r>
      <w:r w:rsidRPr="005E3785">
        <w:rPr>
          <w:rFonts w:ascii="Arial" w:eastAsiaTheme="minorEastAsia" w:hAnsi="Arial" w:cs="Arial"/>
          <w:b w:val="0"/>
          <w:bCs w:val="0"/>
          <w:color w:val="000000"/>
          <w:sz w:val="20"/>
          <w:szCs w:val="20"/>
        </w:rPr>
        <w:t xml:space="preserve"> E</w:t>
      </w:r>
      <w:r w:rsidRPr="005E3785">
        <w:rPr>
          <w:rFonts w:ascii="Arial" w:hAnsi="Arial" w:cs="Arial"/>
          <w:b w:val="0"/>
          <w:bCs w:val="0"/>
          <w:color w:val="000000"/>
          <w:sz w:val="20"/>
          <w:szCs w:val="20"/>
        </w:rPr>
        <w:t>xternal Validation of the International IgA Nephropathy prediction Too</w:t>
      </w:r>
      <w:r w:rsidRPr="005E3785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l in </w:t>
      </w:r>
      <w:r w:rsidR="00A23BEB" w:rsidRPr="005E3785">
        <w:rPr>
          <w:rFonts w:ascii="Arial" w:hAnsi="Arial" w:cs="Arial" w:hint="eastAsia"/>
          <w:b w:val="0"/>
          <w:bCs w:val="0"/>
          <w:color w:val="000000"/>
          <w:sz w:val="20"/>
          <w:szCs w:val="20"/>
        </w:rPr>
        <w:t>older adults</w:t>
      </w:r>
      <w:r w:rsidRPr="005E3785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patients</w:t>
      </w:r>
    </w:p>
    <w:p w14:paraId="33D3E844" w14:textId="65DEC7F9" w:rsidR="00CC4A20" w:rsidRPr="005E3785" w:rsidRDefault="005E3785">
      <w:pPr>
        <w:spacing w:line="48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5E3785">
        <w:rPr>
          <w:rFonts w:ascii="Arial" w:hAnsi="Arial" w:cs="Arial"/>
          <w:color w:val="000000"/>
          <w:sz w:val="20"/>
          <w:szCs w:val="20"/>
        </w:rPr>
        <w:t xml:space="preserve">Authors: </w:t>
      </w:r>
      <w:r w:rsidRPr="005E3785">
        <w:rPr>
          <w:rFonts w:ascii="Arial" w:hAnsi="Arial" w:cs="Arial"/>
          <w:color w:val="000000"/>
          <w:kern w:val="0"/>
          <w:sz w:val="20"/>
          <w:szCs w:val="20"/>
        </w:rPr>
        <w:t>Qiuyue Zhang</w:t>
      </w:r>
      <w:r w:rsidRPr="005E3785">
        <w:rPr>
          <w:rFonts w:ascii="Arial" w:hAnsi="Arial" w:cs="Arial"/>
          <w:color w:val="000000"/>
          <w:kern w:val="0"/>
          <w:sz w:val="20"/>
          <w:szCs w:val="20"/>
          <w:vertAlign w:val="superscript"/>
        </w:rPr>
        <w:t>1</w:t>
      </w:r>
      <w:r w:rsidR="00A23BEB" w:rsidRPr="005E3785">
        <w:rPr>
          <w:rFonts w:ascii="Arial" w:hAnsi="Arial" w:cs="Arial" w:hint="eastAsia"/>
          <w:color w:val="000000"/>
          <w:kern w:val="0"/>
          <w:sz w:val="20"/>
          <w:szCs w:val="20"/>
          <w:vertAlign w:val="superscript"/>
        </w:rPr>
        <w:t>-5</w:t>
      </w:r>
      <w:r w:rsidRPr="005E3785">
        <w:rPr>
          <w:rFonts w:ascii="Arial" w:hAnsi="Arial" w:cs="Arial"/>
          <w:color w:val="000000"/>
          <w:kern w:val="0"/>
          <w:sz w:val="20"/>
          <w:szCs w:val="20"/>
          <w:vertAlign w:val="superscript"/>
        </w:rPr>
        <w:t>#</w:t>
      </w:r>
      <w:r w:rsidRPr="005E3785">
        <w:rPr>
          <w:rFonts w:ascii="Arial" w:hAnsi="Arial" w:cs="Arial"/>
          <w:color w:val="000000"/>
          <w:kern w:val="0"/>
          <w:sz w:val="20"/>
          <w:szCs w:val="20"/>
        </w:rPr>
        <w:t>, Qi Zhang</w:t>
      </w:r>
      <w:r w:rsidR="00A23BEB" w:rsidRPr="005E3785">
        <w:rPr>
          <w:rFonts w:ascii="Arial" w:hAnsi="Arial" w:cs="Arial" w:hint="eastAsia"/>
          <w:color w:val="000000"/>
          <w:kern w:val="0"/>
          <w:sz w:val="20"/>
          <w:szCs w:val="20"/>
          <w:vertAlign w:val="superscript"/>
        </w:rPr>
        <w:t>11</w:t>
      </w:r>
      <w:r w:rsidRPr="005E3785">
        <w:rPr>
          <w:rFonts w:ascii="Arial" w:hAnsi="Arial" w:cs="Arial"/>
          <w:color w:val="000000"/>
          <w:kern w:val="0"/>
          <w:sz w:val="20"/>
          <w:szCs w:val="20"/>
          <w:vertAlign w:val="superscript"/>
        </w:rPr>
        <w:t>#</w:t>
      </w:r>
      <w:r w:rsidRPr="005E3785">
        <w:rPr>
          <w:rFonts w:ascii="Arial" w:hAnsi="Arial" w:cs="Arial"/>
          <w:color w:val="000000"/>
          <w:kern w:val="0"/>
          <w:sz w:val="20"/>
          <w:szCs w:val="20"/>
        </w:rPr>
        <w:t>, Zhiyu Duan</w:t>
      </w:r>
      <w:r w:rsidRPr="005E3785">
        <w:rPr>
          <w:rFonts w:ascii="Arial" w:hAnsi="Arial" w:cs="Arial"/>
          <w:color w:val="000000"/>
          <w:kern w:val="0"/>
          <w:sz w:val="20"/>
          <w:szCs w:val="20"/>
          <w:vertAlign w:val="superscript"/>
        </w:rPr>
        <w:t>2</w:t>
      </w:r>
      <w:r w:rsidR="00A23BEB" w:rsidRPr="005E3785">
        <w:rPr>
          <w:rFonts w:ascii="Arial" w:hAnsi="Arial" w:cs="Arial" w:hint="eastAsia"/>
          <w:color w:val="000000"/>
          <w:kern w:val="0"/>
          <w:sz w:val="20"/>
          <w:szCs w:val="20"/>
          <w:vertAlign w:val="superscript"/>
        </w:rPr>
        <w:t>-5</w:t>
      </w:r>
      <w:r w:rsidRPr="005E3785">
        <w:rPr>
          <w:rFonts w:ascii="Arial" w:hAnsi="Arial" w:cs="Arial"/>
          <w:color w:val="000000"/>
          <w:kern w:val="0"/>
          <w:sz w:val="20"/>
          <w:szCs w:val="20"/>
          <w:vertAlign w:val="superscript"/>
        </w:rPr>
        <w:t>,</w:t>
      </w:r>
      <w:r w:rsidR="00A23BEB" w:rsidRPr="005E3785">
        <w:rPr>
          <w:rFonts w:ascii="Arial" w:hAnsi="Arial" w:cs="Arial" w:hint="eastAsia"/>
          <w:color w:val="000000"/>
          <w:kern w:val="0"/>
          <w:sz w:val="20"/>
          <w:szCs w:val="20"/>
          <w:vertAlign w:val="superscript"/>
        </w:rPr>
        <w:t>7</w:t>
      </w:r>
      <w:r w:rsidRPr="005E3785">
        <w:rPr>
          <w:rFonts w:ascii="Arial" w:hAnsi="Arial" w:cs="Arial"/>
          <w:color w:val="000000"/>
          <w:kern w:val="0"/>
          <w:sz w:val="20"/>
          <w:szCs w:val="20"/>
        </w:rPr>
        <w:t>, Pu Chen</w:t>
      </w:r>
      <w:r w:rsidR="00A23BEB" w:rsidRPr="005E3785">
        <w:rPr>
          <w:rFonts w:ascii="Arial" w:hAnsi="Arial" w:cs="Arial" w:hint="eastAsia"/>
          <w:color w:val="000000"/>
          <w:kern w:val="0"/>
          <w:sz w:val="20"/>
          <w:szCs w:val="20"/>
          <w:vertAlign w:val="superscript"/>
        </w:rPr>
        <w:t>2-5</w:t>
      </w:r>
      <w:r w:rsidRPr="005E3785">
        <w:rPr>
          <w:rFonts w:ascii="Arial" w:hAnsi="Arial" w:cs="Arial"/>
          <w:color w:val="000000"/>
          <w:kern w:val="0"/>
          <w:sz w:val="20"/>
          <w:szCs w:val="20"/>
        </w:rPr>
        <w:t>, Jingjing Chen</w:t>
      </w:r>
      <w:r w:rsidRPr="005E3785">
        <w:rPr>
          <w:rFonts w:ascii="Arial" w:hAnsi="Arial" w:cs="Arial"/>
          <w:color w:val="000000"/>
          <w:kern w:val="0"/>
          <w:sz w:val="20"/>
          <w:szCs w:val="20"/>
          <w:vertAlign w:val="superscript"/>
        </w:rPr>
        <w:t>2</w:t>
      </w:r>
      <w:r w:rsidR="00A23BEB" w:rsidRPr="005E3785">
        <w:rPr>
          <w:rFonts w:ascii="Arial" w:hAnsi="Arial" w:cs="Arial" w:hint="eastAsia"/>
          <w:color w:val="000000"/>
          <w:kern w:val="0"/>
          <w:sz w:val="20"/>
          <w:szCs w:val="20"/>
          <w:vertAlign w:val="superscript"/>
        </w:rPr>
        <w:t>-5</w:t>
      </w:r>
      <w:r w:rsidRPr="005E3785">
        <w:rPr>
          <w:rFonts w:ascii="Arial" w:hAnsi="Arial" w:cs="Arial"/>
          <w:color w:val="000000"/>
          <w:kern w:val="0"/>
          <w:sz w:val="20"/>
          <w:szCs w:val="20"/>
        </w:rPr>
        <w:t>, Mingxv Li</w:t>
      </w:r>
      <w:r w:rsidR="00A23BEB" w:rsidRPr="005E3785">
        <w:rPr>
          <w:rFonts w:ascii="Arial" w:hAnsi="Arial" w:cs="Arial" w:hint="eastAsia"/>
          <w:color w:val="000000"/>
          <w:kern w:val="0"/>
          <w:sz w:val="20"/>
          <w:szCs w:val="20"/>
          <w:vertAlign w:val="superscript"/>
        </w:rPr>
        <w:t>8</w:t>
      </w:r>
      <w:r w:rsidRPr="005E3785">
        <w:rPr>
          <w:rFonts w:ascii="Arial" w:hAnsi="Arial" w:cs="Arial"/>
          <w:color w:val="000000"/>
          <w:kern w:val="0"/>
          <w:sz w:val="20"/>
          <w:szCs w:val="20"/>
        </w:rPr>
        <w:t xml:space="preserve">, </w:t>
      </w:r>
      <w:r w:rsidRPr="005E3785">
        <w:rPr>
          <w:rFonts w:ascii="Arial" w:hAnsi="Arial" w:cs="Arial"/>
          <w:color w:val="000000"/>
          <w:kern w:val="0"/>
          <w:sz w:val="20"/>
          <w:szCs w:val="20"/>
        </w:rPr>
        <w:t>Jingjie Zhang</w:t>
      </w:r>
      <w:r w:rsidR="00A23BEB" w:rsidRPr="005E3785">
        <w:rPr>
          <w:rFonts w:ascii="Arial" w:hAnsi="Arial" w:cs="Arial" w:hint="eastAsia"/>
          <w:color w:val="000000"/>
          <w:kern w:val="0"/>
          <w:sz w:val="20"/>
          <w:szCs w:val="20"/>
          <w:vertAlign w:val="superscript"/>
        </w:rPr>
        <w:t>6</w:t>
      </w:r>
      <w:r w:rsidRPr="005E3785">
        <w:rPr>
          <w:rFonts w:ascii="Arial" w:hAnsi="Arial" w:cs="Arial"/>
          <w:color w:val="000000"/>
          <w:kern w:val="0"/>
          <w:sz w:val="20"/>
          <w:szCs w:val="20"/>
        </w:rPr>
        <w:t>, Yanhong Huo</w:t>
      </w:r>
      <w:r w:rsidR="00A23BEB" w:rsidRPr="005E3785">
        <w:rPr>
          <w:rFonts w:ascii="Arial" w:hAnsi="Arial" w:cs="Arial" w:hint="eastAsia"/>
          <w:color w:val="000000"/>
          <w:kern w:val="0"/>
          <w:sz w:val="20"/>
          <w:szCs w:val="20"/>
          <w:vertAlign w:val="superscript"/>
        </w:rPr>
        <w:t>9</w:t>
      </w:r>
      <w:r w:rsidRPr="005E3785">
        <w:rPr>
          <w:rFonts w:ascii="Arial" w:hAnsi="Arial" w:cs="Arial"/>
          <w:color w:val="000000"/>
          <w:kern w:val="0"/>
          <w:sz w:val="20"/>
          <w:szCs w:val="20"/>
        </w:rPr>
        <w:t>, Wuxing Zhang</w:t>
      </w:r>
      <w:r w:rsidR="00A23BEB" w:rsidRPr="005E3785">
        <w:rPr>
          <w:rFonts w:ascii="Arial" w:hAnsi="Arial" w:cs="Arial" w:hint="eastAsia"/>
          <w:color w:val="000000"/>
          <w:kern w:val="0"/>
          <w:sz w:val="20"/>
          <w:szCs w:val="20"/>
          <w:vertAlign w:val="superscript"/>
        </w:rPr>
        <w:t>10</w:t>
      </w:r>
      <w:r w:rsidRPr="005E3785">
        <w:rPr>
          <w:rFonts w:ascii="Arial" w:hAnsi="Arial" w:cs="Arial"/>
          <w:color w:val="000000"/>
          <w:kern w:val="0"/>
          <w:sz w:val="20"/>
          <w:szCs w:val="20"/>
        </w:rPr>
        <w:t>, Chen Yang</w:t>
      </w:r>
      <w:r w:rsidR="00A23BEB" w:rsidRPr="005E3785">
        <w:rPr>
          <w:rFonts w:ascii="Arial" w:hAnsi="Arial" w:cs="Arial" w:hint="eastAsia"/>
          <w:color w:val="000000"/>
          <w:kern w:val="0"/>
          <w:sz w:val="20"/>
          <w:szCs w:val="20"/>
          <w:vertAlign w:val="superscript"/>
        </w:rPr>
        <w:t>12</w:t>
      </w:r>
      <w:r w:rsidRPr="005E3785">
        <w:rPr>
          <w:rFonts w:ascii="Arial" w:hAnsi="Arial" w:cs="Arial"/>
          <w:color w:val="000000"/>
          <w:kern w:val="0"/>
          <w:sz w:val="20"/>
          <w:szCs w:val="20"/>
        </w:rPr>
        <w:t>, Yu Zhang</w:t>
      </w:r>
      <w:r w:rsidR="00A23BEB" w:rsidRPr="005E3785">
        <w:rPr>
          <w:rFonts w:ascii="Arial" w:hAnsi="Arial" w:cs="Arial" w:hint="eastAsia"/>
          <w:color w:val="000000"/>
          <w:kern w:val="0"/>
          <w:sz w:val="20"/>
          <w:szCs w:val="20"/>
          <w:vertAlign w:val="superscript"/>
        </w:rPr>
        <w:t>12</w:t>
      </w:r>
      <w:r w:rsidRPr="005E3785">
        <w:rPr>
          <w:rFonts w:ascii="Arial" w:hAnsi="Arial" w:cs="Arial"/>
          <w:color w:val="000000"/>
          <w:kern w:val="0"/>
          <w:sz w:val="20"/>
          <w:szCs w:val="20"/>
        </w:rPr>
        <w:t>, Xiangmei Chen</w:t>
      </w:r>
      <w:r w:rsidRPr="005E3785">
        <w:rPr>
          <w:rFonts w:ascii="Arial" w:hAnsi="Arial" w:cs="Arial"/>
          <w:color w:val="000000"/>
          <w:kern w:val="0"/>
          <w:sz w:val="20"/>
          <w:szCs w:val="20"/>
          <w:vertAlign w:val="superscript"/>
        </w:rPr>
        <w:t>2</w:t>
      </w:r>
      <w:r w:rsidR="00A23BEB" w:rsidRPr="005E3785">
        <w:rPr>
          <w:rFonts w:ascii="Arial" w:hAnsi="Arial" w:cs="Arial" w:hint="eastAsia"/>
          <w:color w:val="000000"/>
          <w:kern w:val="0"/>
          <w:sz w:val="20"/>
          <w:szCs w:val="20"/>
          <w:vertAlign w:val="superscript"/>
        </w:rPr>
        <w:t>-5</w:t>
      </w:r>
      <w:r w:rsidRPr="005E3785">
        <w:rPr>
          <w:rFonts w:ascii="Arial" w:hAnsi="Arial" w:cs="Arial"/>
          <w:color w:val="000000"/>
          <w:kern w:val="0"/>
          <w:sz w:val="20"/>
          <w:szCs w:val="20"/>
          <w:vertAlign w:val="superscript"/>
        </w:rPr>
        <w:t>*</w:t>
      </w:r>
      <w:r w:rsidRPr="005E3785">
        <w:rPr>
          <w:rFonts w:ascii="Arial" w:hAnsi="Arial" w:cs="Arial"/>
          <w:color w:val="000000"/>
          <w:kern w:val="0"/>
          <w:sz w:val="20"/>
          <w:szCs w:val="20"/>
        </w:rPr>
        <w:t xml:space="preserve"> and Guangyan Cai</w:t>
      </w:r>
      <w:r w:rsidRPr="005E3785">
        <w:rPr>
          <w:rFonts w:ascii="Arial" w:hAnsi="Arial" w:cs="Arial"/>
          <w:color w:val="000000"/>
          <w:kern w:val="0"/>
          <w:sz w:val="20"/>
          <w:szCs w:val="20"/>
          <w:vertAlign w:val="superscript"/>
        </w:rPr>
        <w:t>2</w:t>
      </w:r>
      <w:r w:rsidR="00A23BEB" w:rsidRPr="005E3785">
        <w:rPr>
          <w:rFonts w:ascii="Arial" w:hAnsi="Arial" w:cs="Arial" w:hint="eastAsia"/>
          <w:color w:val="000000"/>
          <w:kern w:val="0"/>
          <w:sz w:val="20"/>
          <w:szCs w:val="20"/>
          <w:vertAlign w:val="superscript"/>
        </w:rPr>
        <w:t>-5</w:t>
      </w:r>
      <w:r w:rsidRPr="005E3785">
        <w:rPr>
          <w:rFonts w:ascii="Arial" w:hAnsi="Arial" w:cs="Arial"/>
          <w:color w:val="000000"/>
          <w:kern w:val="0"/>
          <w:sz w:val="20"/>
          <w:szCs w:val="20"/>
          <w:vertAlign w:val="superscript"/>
        </w:rPr>
        <w:t>*</w:t>
      </w:r>
    </w:p>
    <w:p w14:paraId="638251DE" w14:textId="77777777" w:rsidR="00CC4A20" w:rsidRPr="005E3785" w:rsidRDefault="005E3785">
      <w:pPr>
        <w:spacing w:line="480" w:lineRule="auto"/>
        <w:jc w:val="left"/>
        <w:rPr>
          <w:rFonts w:ascii="Arial" w:eastAsiaTheme="majorEastAsia" w:hAnsi="Arial" w:cs="Arial"/>
          <w:color w:val="000000"/>
          <w:sz w:val="20"/>
          <w:szCs w:val="20"/>
        </w:rPr>
      </w:pPr>
      <w:r w:rsidRPr="005E3785">
        <w:rPr>
          <w:rFonts w:ascii="Arial" w:eastAsiaTheme="majorEastAsia" w:hAnsi="Arial" w:cs="Arial"/>
          <w:color w:val="000000"/>
          <w:sz w:val="20"/>
          <w:szCs w:val="20"/>
        </w:rPr>
        <w:t>Supplemental Table 1. TRIPOD checklist for Prediction Model Development and Validation</w:t>
      </w:r>
    </w:p>
    <w:p w14:paraId="198B9156" w14:textId="77777777" w:rsidR="00CC4A20" w:rsidRPr="005E3785" w:rsidRDefault="005E3785">
      <w:pPr>
        <w:spacing w:line="480" w:lineRule="auto"/>
        <w:jc w:val="left"/>
        <w:rPr>
          <w:rFonts w:ascii="Arial" w:eastAsiaTheme="majorEastAsia" w:hAnsi="Arial" w:cs="Arial"/>
          <w:color w:val="000000"/>
          <w:sz w:val="20"/>
          <w:szCs w:val="20"/>
        </w:rPr>
      </w:pPr>
      <w:r w:rsidRPr="005E3785">
        <w:rPr>
          <w:rFonts w:ascii="Arial" w:eastAsiaTheme="majorEastAsia" w:hAnsi="Arial" w:cs="Arial"/>
          <w:color w:val="000000"/>
          <w:sz w:val="20"/>
          <w:szCs w:val="20"/>
        </w:rPr>
        <w:t>Supplemental Table 2. The characteristics of participants in the risk subgroups are based</w:t>
      </w:r>
    </w:p>
    <w:p w14:paraId="1A5341FF" w14:textId="77777777" w:rsidR="00CC4A20" w:rsidRPr="005E3785" w:rsidRDefault="005E3785">
      <w:pPr>
        <w:spacing w:line="480" w:lineRule="auto"/>
        <w:jc w:val="left"/>
        <w:rPr>
          <w:rFonts w:ascii="Arial" w:eastAsiaTheme="majorEastAsia" w:hAnsi="Arial" w:cs="Arial"/>
          <w:color w:val="000000"/>
          <w:sz w:val="20"/>
          <w:szCs w:val="20"/>
        </w:rPr>
      </w:pPr>
      <w:r w:rsidRPr="005E3785">
        <w:rPr>
          <w:rFonts w:ascii="Arial" w:eastAsiaTheme="majorEastAsia" w:hAnsi="Arial" w:cs="Arial"/>
          <w:color w:val="000000"/>
          <w:sz w:val="20"/>
          <w:szCs w:val="20"/>
        </w:rPr>
        <w:t>on the linear predictor of the full model without race.</w:t>
      </w:r>
    </w:p>
    <w:p w14:paraId="07179E7E" w14:textId="77777777" w:rsidR="00CC4A20" w:rsidRPr="005E3785" w:rsidRDefault="005E3785">
      <w:pPr>
        <w:spacing w:line="480" w:lineRule="auto"/>
        <w:jc w:val="left"/>
        <w:rPr>
          <w:rFonts w:ascii="Arial" w:eastAsiaTheme="majorEastAsia" w:hAnsi="Arial" w:cs="Arial"/>
          <w:color w:val="000000"/>
          <w:sz w:val="20"/>
          <w:szCs w:val="20"/>
        </w:rPr>
      </w:pPr>
      <w:r w:rsidRPr="005E3785">
        <w:rPr>
          <w:rFonts w:ascii="Arial" w:eastAsiaTheme="majorEastAsia" w:hAnsi="Arial" w:cs="Arial"/>
          <w:color w:val="000000"/>
          <w:sz w:val="20"/>
          <w:szCs w:val="20"/>
        </w:rPr>
        <w:t>Supplemental Table 3. The characteristics of participants in the risk subgroups are based</w:t>
      </w:r>
    </w:p>
    <w:p w14:paraId="30280CDC" w14:textId="77777777" w:rsidR="00CC4A20" w:rsidRPr="005E3785" w:rsidRDefault="005E3785">
      <w:pPr>
        <w:spacing w:line="480" w:lineRule="auto"/>
        <w:jc w:val="left"/>
        <w:rPr>
          <w:rFonts w:ascii="Arial" w:eastAsiaTheme="majorEastAsia" w:hAnsi="Arial" w:cs="Arial"/>
          <w:color w:val="000000"/>
          <w:sz w:val="20"/>
          <w:szCs w:val="20"/>
        </w:rPr>
      </w:pPr>
      <w:r w:rsidRPr="005E3785">
        <w:rPr>
          <w:rFonts w:ascii="Arial" w:eastAsiaTheme="majorEastAsia" w:hAnsi="Arial" w:cs="Arial"/>
          <w:color w:val="000000"/>
          <w:sz w:val="20"/>
          <w:szCs w:val="20"/>
        </w:rPr>
        <w:t>on the linear predictor of the full model with race.</w:t>
      </w:r>
    </w:p>
    <w:p w14:paraId="5227A228" w14:textId="0EDBC5F8" w:rsidR="00A23BEB" w:rsidRPr="005E3785" w:rsidRDefault="005E3785" w:rsidP="00A23BEB">
      <w:pPr>
        <w:spacing w:line="480" w:lineRule="auto"/>
        <w:jc w:val="left"/>
        <w:rPr>
          <w:rFonts w:ascii="Arial" w:eastAsiaTheme="majorEastAsia" w:hAnsi="Arial" w:cs="Arial"/>
          <w:color w:val="000000"/>
          <w:sz w:val="20"/>
          <w:szCs w:val="20"/>
        </w:rPr>
      </w:pPr>
      <w:r w:rsidRPr="005E3785">
        <w:rPr>
          <w:rFonts w:ascii="Arial" w:hAnsi="Arial" w:cs="Arial"/>
          <w:color w:val="000000"/>
          <w:sz w:val="20"/>
          <w:szCs w:val="20"/>
        </w:rPr>
        <w:t xml:space="preserve">Supplemental Figure 1. </w:t>
      </w:r>
      <w:r w:rsidRPr="005E3785">
        <w:rPr>
          <w:rFonts w:ascii="Arial" w:eastAsia="SimHei" w:hAnsi="Arial" w:cs="Arial"/>
          <w:color w:val="000000"/>
          <w:sz w:val="20"/>
          <w:szCs w:val="20"/>
        </w:rPr>
        <w:t>Kaplan-Meier curves duration 10-year follow-up.</w:t>
      </w:r>
      <w:r w:rsidRPr="005E3785">
        <w:rPr>
          <w:rFonts w:ascii="Arial" w:eastAsiaTheme="majorEastAsia" w:hAnsi="Arial" w:cs="Arial"/>
          <w:color w:val="000000"/>
          <w:sz w:val="20"/>
          <w:szCs w:val="20"/>
        </w:rPr>
        <w:br w:type="page"/>
      </w:r>
    </w:p>
    <w:p w14:paraId="13A78905" w14:textId="29EF64CC" w:rsidR="00A23BEB" w:rsidRPr="005E3785" w:rsidRDefault="00A23BEB" w:rsidP="00A23BEB">
      <w:pPr>
        <w:pStyle w:val="Caption"/>
        <w:keepNext/>
        <w:rPr>
          <w:rFonts w:ascii="Arial" w:eastAsia="DengXian" w:hAnsi="Arial" w:cs="Arial"/>
          <w:color w:val="000000"/>
          <w:kern w:val="0"/>
        </w:rPr>
      </w:pPr>
      <w:r w:rsidRPr="005E3785">
        <w:rPr>
          <w:rFonts w:ascii="Arial" w:hAnsi="Arial" w:cs="Arial"/>
          <w:b/>
          <w:bCs/>
          <w:color w:val="000000"/>
        </w:rPr>
        <w:lastRenderedPageBreak/>
        <w:t xml:space="preserve">Supplemental Table </w:t>
      </w:r>
      <w:r w:rsidRPr="005E3785">
        <w:rPr>
          <w:rFonts w:ascii="Arial" w:hAnsi="Arial" w:cs="Arial"/>
          <w:b/>
          <w:bCs/>
          <w:color w:val="000000"/>
        </w:rPr>
        <w:fldChar w:fldCharType="begin"/>
      </w:r>
      <w:r w:rsidRPr="005E3785">
        <w:rPr>
          <w:rFonts w:ascii="Arial" w:hAnsi="Arial" w:cs="Arial"/>
          <w:b/>
          <w:bCs/>
          <w:color w:val="000000"/>
        </w:rPr>
        <w:instrText xml:space="preserve"> SEQ Supplemental_Table_ \* ARABIC </w:instrText>
      </w:r>
      <w:r w:rsidRPr="005E3785">
        <w:rPr>
          <w:rFonts w:ascii="Arial" w:hAnsi="Arial" w:cs="Arial"/>
          <w:b/>
          <w:bCs/>
          <w:color w:val="000000"/>
        </w:rPr>
        <w:fldChar w:fldCharType="separate"/>
      </w:r>
      <w:r w:rsidRPr="005E3785">
        <w:rPr>
          <w:rFonts w:ascii="Arial" w:hAnsi="Arial" w:cs="Arial"/>
          <w:b/>
          <w:bCs/>
          <w:color w:val="000000"/>
        </w:rPr>
        <w:t>1</w:t>
      </w:r>
      <w:r w:rsidRPr="005E3785">
        <w:rPr>
          <w:rFonts w:ascii="Arial" w:hAnsi="Arial" w:cs="Arial"/>
          <w:b/>
          <w:bCs/>
          <w:color w:val="000000"/>
        </w:rPr>
        <w:fldChar w:fldCharType="end"/>
      </w:r>
      <w:r w:rsidRPr="005E3785">
        <w:rPr>
          <w:rFonts w:ascii="Arial" w:hAnsi="Arial" w:cs="Arial" w:hint="eastAsia"/>
          <w:b/>
          <w:bCs/>
          <w:color w:val="000000"/>
        </w:rPr>
        <w:t>:</w:t>
      </w:r>
      <w:r w:rsidRPr="005E3785">
        <w:rPr>
          <w:rFonts w:ascii="Arial" w:hAnsi="Arial" w:cs="Arial"/>
          <w:b/>
          <w:bCs/>
          <w:color w:val="000000"/>
        </w:rPr>
        <w:t xml:space="preserve"> TRIPOD</w:t>
      </w: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1562"/>
        <w:gridCol w:w="605"/>
        <w:gridCol w:w="5276"/>
        <w:gridCol w:w="1629"/>
      </w:tblGrid>
      <w:tr w:rsidR="00A23BEB" w:rsidRPr="005E3785" w14:paraId="5E97C42A" w14:textId="77777777" w:rsidTr="00A23BEB">
        <w:trPr>
          <w:trHeight w:val="283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8DFDA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Section/Topic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0736F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Item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91681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Checklist Item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14102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Page, Table, Figure</w:t>
            </w:r>
          </w:p>
        </w:tc>
      </w:tr>
      <w:tr w:rsidR="00A23BEB" w:rsidRPr="005E3785" w14:paraId="56C175D9" w14:textId="77777777" w:rsidTr="00A23BEB">
        <w:trPr>
          <w:trHeight w:val="283"/>
          <w:jc w:val="center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D624F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Title and abstract</w:t>
            </w:r>
          </w:p>
        </w:tc>
      </w:tr>
      <w:tr w:rsidR="00A23BEB" w:rsidRPr="005E3785" w14:paraId="525E15ED" w14:textId="77777777" w:rsidTr="00A23BEB">
        <w:trPr>
          <w:trHeight w:val="526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2D721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Title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3E9E6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0FF62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Identify the study as developing and/or validating a multivariable prediction model, the target population, and the outcome to be predicted.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242EB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Page1</w:t>
            </w:r>
          </w:p>
        </w:tc>
      </w:tr>
      <w:tr w:rsidR="00A23BEB" w:rsidRPr="005E3785" w14:paraId="747E3D7C" w14:textId="77777777" w:rsidTr="00A23BEB">
        <w:trPr>
          <w:trHeight w:val="526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BF5CB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Abstract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15EA2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870A7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Provide a summary of objectives, study design, setting, participants, sample size, predictors, outcome, statistical analysis, results, and conclusions.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67D9F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Page2,3</w:t>
            </w:r>
          </w:p>
        </w:tc>
      </w:tr>
      <w:tr w:rsidR="00A23BEB" w:rsidRPr="005E3785" w14:paraId="53306ADC" w14:textId="77777777" w:rsidTr="00A23BEB">
        <w:trPr>
          <w:trHeight w:val="283"/>
          <w:jc w:val="center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9C0A6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Introduction</w:t>
            </w:r>
          </w:p>
        </w:tc>
      </w:tr>
      <w:tr w:rsidR="00A23BEB" w:rsidRPr="005E3785" w14:paraId="3398E459" w14:textId="77777777" w:rsidTr="00A23BEB">
        <w:trPr>
          <w:trHeight w:val="789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04980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Background and objectives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0633A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3a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B9CF6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Explain the medical context (including whether diagnostic or prognostic) and rationale for developing or validating the multivariable prediction model, including references to existing models.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14AA2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Page3,4</w:t>
            </w:r>
          </w:p>
        </w:tc>
      </w:tr>
      <w:tr w:rsidR="00A23BEB" w:rsidRPr="005E3785" w14:paraId="3B8395C3" w14:textId="77777777" w:rsidTr="00A23BEB">
        <w:trPr>
          <w:trHeight w:val="52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CE65A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DD121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3b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CAEF0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Specify the objectives, including whether the study describes the development or validation of the model or both.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FFFC3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Page4</w:t>
            </w:r>
          </w:p>
        </w:tc>
      </w:tr>
      <w:tr w:rsidR="00A23BEB" w:rsidRPr="005E3785" w14:paraId="3F057312" w14:textId="77777777" w:rsidTr="00A23BEB">
        <w:trPr>
          <w:trHeight w:val="283"/>
          <w:jc w:val="center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51CFA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Methods</w:t>
            </w:r>
          </w:p>
        </w:tc>
      </w:tr>
      <w:tr w:rsidR="00A23BEB" w:rsidRPr="005E3785" w14:paraId="2DB90570" w14:textId="77777777" w:rsidTr="00A23BEB">
        <w:trPr>
          <w:trHeight w:val="526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C419F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Source of data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E4090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4a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F98F2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Describe the study design or source of data (e.g., randomized trial, cohort, or registry data) separately for the development and validation data sets, if applicable.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B6471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Page4,5; Figure 1</w:t>
            </w:r>
          </w:p>
        </w:tc>
      </w:tr>
      <w:tr w:rsidR="00A23BEB" w:rsidRPr="005E3785" w14:paraId="24E3565E" w14:textId="77777777" w:rsidTr="00A23BEB">
        <w:trPr>
          <w:trHeight w:val="52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270FB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5181D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4b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ADC96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Specify the key study dates, including start of accrual, end of accrual, and, if applicable, end of follow-up.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80554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Page4;</w:t>
            </w:r>
          </w:p>
          <w:p w14:paraId="42ED4E58" w14:textId="53B8DC4B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 Figure 1</w:t>
            </w:r>
          </w:p>
        </w:tc>
      </w:tr>
      <w:tr w:rsidR="00A23BEB" w:rsidRPr="005E3785" w14:paraId="0994BD6F" w14:textId="77777777" w:rsidTr="00A23BEB">
        <w:trPr>
          <w:trHeight w:val="526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52A2B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Participants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F7B2D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5a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5918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Specify key elements of the study setting (e.g., primary care, secondary care, general population), including number and location of centers.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09FDE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Page5:</w:t>
            </w:r>
          </w:p>
          <w:p w14:paraId="3FB7CF33" w14:textId="612170C8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 Figure 1</w:t>
            </w:r>
          </w:p>
        </w:tc>
      </w:tr>
      <w:tr w:rsidR="00A23BEB" w:rsidRPr="005E3785" w14:paraId="627944F7" w14:textId="77777777" w:rsidTr="00A23BEB">
        <w:trPr>
          <w:trHeight w:val="28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40000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0CE14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5b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E9315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Describe eligibility criteria for participants.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28767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Page5;</w:t>
            </w:r>
          </w:p>
          <w:p w14:paraId="1BFD60DA" w14:textId="40D9BA0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 Figure 1</w:t>
            </w:r>
          </w:p>
        </w:tc>
      </w:tr>
      <w:tr w:rsidR="00A23BEB" w:rsidRPr="005E3785" w14:paraId="18173E62" w14:textId="77777777" w:rsidTr="00A23BEB">
        <w:trPr>
          <w:trHeight w:val="28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7934B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A7CBC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5c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025FE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Give details of treatments received, if relevant.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E581E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Page4</w:t>
            </w:r>
          </w:p>
        </w:tc>
      </w:tr>
      <w:tr w:rsidR="00A23BEB" w:rsidRPr="005E3785" w14:paraId="5DD477E6" w14:textId="77777777" w:rsidTr="00A23BEB">
        <w:trPr>
          <w:trHeight w:val="526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0F404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Outcome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E230E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6a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3B59D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Clearly define the outcome that is predicted by the prediction model, including how and when assessed.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B2699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Page4</w:t>
            </w:r>
          </w:p>
        </w:tc>
      </w:tr>
      <w:tr w:rsidR="00A23BEB" w:rsidRPr="005E3785" w14:paraId="5B6ECF19" w14:textId="77777777" w:rsidTr="00A23BEB">
        <w:trPr>
          <w:trHeight w:val="28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894DD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3B8C0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6b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38F1D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Report any actions to blind assessment of the outcome to be predicted.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644EB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Page4;5</w:t>
            </w:r>
          </w:p>
        </w:tc>
      </w:tr>
      <w:tr w:rsidR="00A23BEB" w:rsidRPr="005E3785" w14:paraId="712AAFB8" w14:textId="77777777" w:rsidTr="00A23BEB">
        <w:trPr>
          <w:trHeight w:val="526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BE938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Predictors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EDBD6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7a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4A06B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Clearly define all predictors used in developing or validating the multivariable prediction model, including how and when they were measured.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B167F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Page4</w:t>
            </w:r>
          </w:p>
        </w:tc>
      </w:tr>
      <w:tr w:rsidR="00A23BEB" w:rsidRPr="005E3785" w14:paraId="39D2F7DA" w14:textId="77777777" w:rsidTr="00A23BEB">
        <w:trPr>
          <w:trHeight w:val="28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41EC8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3D98B9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7b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8E8A5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Report any actions to blind assessment of predictors for the outcome and other predictors.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1CA18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Page4</w:t>
            </w:r>
          </w:p>
        </w:tc>
      </w:tr>
      <w:tr w:rsidR="00A23BEB" w:rsidRPr="005E3785" w14:paraId="35FADA53" w14:textId="77777777" w:rsidTr="00A23BEB">
        <w:trPr>
          <w:trHeight w:val="283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B26B5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Sample size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88D6A8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FA9E6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Explain how the study size was arrived at.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59F3E" w14:textId="62F24678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Page</w:t>
            </w:r>
            <w:r w:rsidRPr="005E3785">
              <w:rPr>
                <w:rFonts w:ascii="Arial" w:eastAsia="DengXian" w:hAnsi="Arial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A23BEB" w:rsidRPr="005E3785" w14:paraId="2F8A4225" w14:textId="77777777" w:rsidTr="00A23BEB">
        <w:trPr>
          <w:trHeight w:val="526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682F5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lastRenderedPageBreak/>
              <w:t>Missing data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AE4EA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CE536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Describe how missing data were handled (e.g., complete-case analysis, single imputation, multiple imputation) with details of any imputation method.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7EAF7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Page</w:t>
            </w:r>
            <w:r w:rsidRPr="005E3785">
              <w:rPr>
                <w:rFonts w:ascii="Arial" w:eastAsia="DengXian" w:hAnsi="Arial" w:cs="Arial" w:hint="eastAsia"/>
                <w:color w:val="000000"/>
                <w:kern w:val="0"/>
                <w:sz w:val="20"/>
                <w:szCs w:val="20"/>
              </w:rPr>
              <w:t>4;</w:t>
            </w:r>
          </w:p>
          <w:p w14:paraId="76121A5C" w14:textId="70D16F4E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 Figure 1</w:t>
            </w:r>
          </w:p>
        </w:tc>
      </w:tr>
      <w:tr w:rsidR="00A23BEB" w:rsidRPr="005E3785" w14:paraId="32E113BB" w14:textId="77777777" w:rsidTr="00A23BEB">
        <w:trPr>
          <w:trHeight w:val="283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84FB1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Statistical </w:t>
            </w: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br/>
              <w:t xml:space="preserve">analysis </w:t>
            </w: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br/>
              <w:t>methods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639BA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10c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17B25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For validation, describe how the predictions were calculated.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E2DD5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Page5;6</w:t>
            </w:r>
          </w:p>
        </w:tc>
      </w:tr>
      <w:tr w:rsidR="00A23BEB" w:rsidRPr="005E3785" w14:paraId="625FE1D6" w14:textId="77777777" w:rsidTr="00A23BEB">
        <w:trPr>
          <w:trHeight w:val="52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EAE1E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AB626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10d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AB661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Specify all measures used to assess model performance and, if relevant, to compare multiple models.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39AA1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Page5;6</w:t>
            </w:r>
          </w:p>
        </w:tc>
      </w:tr>
      <w:tr w:rsidR="00A23BEB" w:rsidRPr="005E3785" w14:paraId="3EE2D7DE" w14:textId="77777777" w:rsidTr="00A23BEB">
        <w:trPr>
          <w:trHeight w:val="28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67B64C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93623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10e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E9CDB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Describe any model updating (e.g., recalibration) arising from the validation, if done.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4439D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A23BEB" w:rsidRPr="005E3785" w14:paraId="3E5BF72B" w14:textId="77777777" w:rsidTr="00A23BEB">
        <w:trPr>
          <w:trHeight w:val="526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046FA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Risk groups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FAACE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86D57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Provide details on how risk groups were created, if done.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D69F5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Page5;</w:t>
            </w:r>
          </w:p>
          <w:p w14:paraId="3047678A" w14:textId="1DEDC14D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Table S2,S3</w:t>
            </w:r>
          </w:p>
        </w:tc>
      </w:tr>
      <w:tr w:rsidR="00A23BEB" w:rsidRPr="005E3785" w14:paraId="53876449" w14:textId="77777777" w:rsidTr="00A23BEB">
        <w:trPr>
          <w:trHeight w:val="526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604E2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Development </w:t>
            </w: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br/>
              <w:t>vs. validation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65141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80DD2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For validation, identify any differences from the development data in setting, eligibility criteria, outcome, and predictors.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6F7A6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Table 1</w:t>
            </w:r>
          </w:p>
        </w:tc>
      </w:tr>
      <w:tr w:rsidR="00A23BEB" w:rsidRPr="005E3785" w14:paraId="2063C687" w14:textId="77777777" w:rsidTr="00A23BEB">
        <w:trPr>
          <w:trHeight w:val="283"/>
          <w:jc w:val="center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F1B37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Results</w:t>
            </w:r>
          </w:p>
        </w:tc>
      </w:tr>
      <w:tr w:rsidR="00A23BEB" w:rsidRPr="005E3785" w14:paraId="07EC38BF" w14:textId="77777777" w:rsidTr="00A23BEB">
        <w:trPr>
          <w:trHeight w:val="789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3EFB4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Participants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F8AE2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13a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FC650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Describe the flow of participants through the study, including the number of participants with and without the outcome and, if applicable, a summary of the follow-up time. A diagram may be helpful.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7A61C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Page7;Table S2,S3;Figure 1</w:t>
            </w:r>
          </w:p>
        </w:tc>
      </w:tr>
      <w:tr w:rsidR="00A23BEB" w:rsidRPr="005E3785" w14:paraId="24F38A54" w14:textId="77777777" w:rsidTr="00A23BEB">
        <w:trPr>
          <w:trHeight w:val="78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9B030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8C8C7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13b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B3BA1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Describe the characteristics of the participants (basic demographics, clinical features, available predictors), including the number of participants with missing data for </w:t>
            </w: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br/>
              <w:t>predictors and outcome.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B7851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Page5,7; Table S2, S3</w:t>
            </w:r>
          </w:p>
        </w:tc>
      </w:tr>
      <w:tr w:rsidR="00A23BEB" w:rsidRPr="005E3785" w14:paraId="6266AC5B" w14:textId="77777777" w:rsidTr="00A23BEB">
        <w:trPr>
          <w:trHeight w:val="78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E7642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B8F39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13c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28853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For validation, show a comparison with the development data of the distribution of important variables (demographics, predictors, and outcome).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4B37E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Page7; Table 1</w:t>
            </w:r>
          </w:p>
        </w:tc>
      </w:tr>
      <w:tr w:rsidR="00A23BEB" w:rsidRPr="005E3785" w14:paraId="127BCD4B" w14:textId="77777777" w:rsidTr="00A23BEB">
        <w:trPr>
          <w:trHeight w:val="526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F191F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Model </w:t>
            </w: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br/>
              <w:t>performance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3699E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7A471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Report performance measures (with CIs) for the prediction model.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C7F47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Page7,8; Table 2,3</w:t>
            </w:r>
          </w:p>
        </w:tc>
      </w:tr>
      <w:tr w:rsidR="00A23BEB" w:rsidRPr="005E3785" w14:paraId="28973E97" w14:textId="77777777" w:rsidTr="00A23BEB">
        <w:trPr>
          <w:trHeight w:val="526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F6B85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Model-updating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CACC6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D1180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If done, report the results from any model updating (i.e., model specification, model performance).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55914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N/A</w:t>
            </w:r>
          </w:p>
        </w:tc>
      </w:tr>
      <w:tr w:rsidR="00A23BEB" w:rsidRPr="005E3785" w14:paraId="6709E5CA" w14:textId="77777777" w:rsidTr="00A23BEB">
        <w:trPr>
          <w:trHeight w:val="526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8F71A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Limitations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C8EE5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290A0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Discuss any limitations of the study (such as nonrepresentative sample, few events per predictor, missing data).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33520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Page11,12</w:t>
            </w:r>
          </w:p>
        </w:tc>
      </w:tr>
      <w:tr w:rsidR="00A23BEB" w:rsidRPr="005E3785" w14:paraId="5A81D363" w14:textId="77777777" w:rsidTr="00A23BEB">
        <w:trPr>
          <w:trHeight w:val="526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15612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Interpretation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FA24A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19a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1E219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For validation, discuss the results with reference to performance in the development data, and any other validation data.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BDB89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Page9,10,11</w:t>
            </w:r>
          </w:p>
        </w:tc>
      </w:tr>
      <w:tr w:rsidR="00A23BEB" w:rsidRPr="005E3785" w14:paraId="6E9857E9" w14:textId="77777777" w:rsidTr="00A23BEB">
        <w:trPr>
          <w:trHeight w:val="52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9754C8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C51FF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19b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29F92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Give an overall interpretation of the results, considering objectives, limitations, results from similar studies, and other relevant evidence.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06826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Page9,10,11,12</w:t>
            </w:r>
          </w:p>
        </w:tc>
      </w:tr>
      <w:tr w:rsidR="00A23BEB" w:rsidRPr="005E3785" w14:paraId="7F05C6A0" w14:textId="77777777" w:rsidTr="00A23BEB">
        <w:trPr>
          <w:trHeight w:val="283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18B3D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Implications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79E44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F8140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Discuss the potential clinical use of the model and implications for future research.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E5954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Page11,12</w:t>
            </w:r>
          </w:p>
        </w:tc>
      </w:tr>
      <w:tr w:rsidR="00A23BEB" w:rsidRPr="005E3785" w14:paraId="2CA2B88A" w14:textId="77777777" w:rsidTr="00A23BEB">
        <w:trPr>
          <w:trHeight w:val="283"/>
          <w:jc w:val="center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1E389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lastRenderedPageBreak/>
              <w:t>Other information</w:t>
            </w:r>
          </w:p>
        </w:tc>
      </w:tr>
      <w:tr w:rsidR="00A23BEB" w:rsidRPr="005E3785" w14:paraId="00879B5D" w14:textId="77777777" w:rsidTr="00A23BEB">
        <w:trPr>
          <w:trHeight w:val="526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E61B1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Supplementary </w:t>
            </w: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br/>
              <w:t>information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6C227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33FF0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Provide information about the availability of supplementary resources, such as study protocol, Web calculator, and data sets.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8B800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Page13</w:t>
            </w:r>
          </w:p>
        </w:tc>
      </w:tr>
      <w:tr w:rsidR="00A23BEB" w:rsidRPr="005E3785" w14:paraId="1EB46B1E" w14:textId="77777777" w:rsidTr="00A23BEB">
        <w:trPr>
          <w:trHeight w:val="283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FFD93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Funding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FE97C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CEEDF" w14:textId="77777777" w:rsidR="00A23BEB" w:rsidRPr="005E3785" w:rsidRDefault="00A23BEB" w:rsidP="00A23B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Give the source of funding and the role of the funders for the present study.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4BD06" w14:textId="77777777" w:rsidR="00A23BEB" w:rsidRPr="005E3785" w:rsidRDefault="00A23BEB" w:rsidP="00A23BEB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5E3785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Page13</w:t>
            </w:r>
          </w:p>
        </w:tc>
      </w:tr>
    </w:tbl>
    <w:p w14:paraId="79A40A87" w14:textId="77777777" w:rsidR="00CC4A20" w:rsidRPr="005E3785" w:rsidRDefault="005E3785">
      <w:pPr>
        <w:widowControl/>
        <w:spacing w:beforeLines="50" w:before="156" w:afterLines="50" w:after="156" w:line="480" w:lineRule="auto"/>
        <w:jc w:val="left"/>
        <w:rPr>
          <w:rFonts w:ascii="Arial" w:eastAsiaTheme="majorEastAsia" w:hAnsi="Arial" w:cs="Arial"/>
          <w:color w:val="000000"/>
          <w:sz w:val="20"/>
          <w:szCs w:val="20"/>
        </w:rPr>
      </w:pPr>
      <w:r w:rsidRPr="005E3785">
        <w:rPr>
          <w:rFonts w:ascii="Arial" w:eastAsiaTheme="majorEastAsia" w:hAnsi="Arial" w:cs="Arial"/>
          <w:color w:val="000000"/>
          <w:sz w:val="20"/>
          <w:szCs w:val="20"/>
        </w:rPr>
        <w:t>Abbreviations: D, development; V, validation; S, supplemental material; N/A, not Applicable.</w:t>
      </w:r>
    </w:p>
    <w:p w14:paraId="3EC75950" w14:textId="77777777" w:rsidR="00A23BEB" w:rsidRPr="005E3785" w:rsidRDefault="00A23BEB" w:rsidP="003D3F4D">
      <w:pPr>
        <w:widowControl/>
        <w:jc w:val="left"/>
        <w:rPr>
          <w:rFonts w:ascii="Arial" w:eastAsiaTheme="majorEastAsia" w:hAnsi="Arial" w:cs="Arial"/>
          <w:color w:val="000000"/>
          <w:sz w:val="20"/>
          <w:szCs w:val="20"/>
        </w:rPr>
        <w:sectPr w:rsidR="00A23BEB" w:rsidRPr="005E3785" w:rsidSect="00E842D1">
          <w:footerReference w:type="even" r:id="rId7"/>
          <w:footerReference w:type="default" r:id="rId8"/>
          <w:footerReference w:type="first" r:id="rId9"/>
          <w:pgSz w:w="11906" w:h="16838"/>
          <w:pgMar w:top="1701" w:right="1701" w:bottom="1701" w:left="1701" w:header="851" w:footer="992" w:gutter="0"/>
          <w:cols w:space="0"/>
          <w:docGrid w:type="lines" w:linePitch="312"/>
        </w:sectPr>
      </w:pPr>
    </w:p>
    <w:p w14:paraId="3A5FB7DF" w14:textId="267D79D5" w:rsidR="00A23BEB" w:rsidRPr="005E3785" w:rsidRDefault="00A23BEB" w:rsidP="00A23BEB">
      <w:pPr>
        <w:spacing w:afterLines="50" w:after="156" w:line="480" w:lineRule="auto"/>
        <w:jc w:val="left"/>
        <w:rPr>
          <w:color w:val="000000"/>
        </w:rPr>
      </w:pPr>
      <w:bookmarkStart w:id="0" w:name="_Hlk161496620"/>
      <w:r w:rsidRPr="005E3785">
        <w:rPr>
          <w:rFonts w:ascii="Arial" w:eastAsiaTheme="majorEastAsia" w:hAnsi="Arial" w:cs="Arial"/>
          <w:b/>
          <w:bCs/>
          <w:color w:val="000000"/>
          <w:sz w:val="20"/>
          <w:szCs w:val="20"/>
        </w:rPr>
        <w:lastRenderedPageBreak/>
        <w:t>Supplemental</w:t>
      </w:r>
      <w:bookmarkEnd w:id="0"/>
      <w:r w:rsidRPr="005E3785">
        <w:rPr>
          <w:rFonts w:ascii="Arial" w:eastAsiaTheme="majorEastAsia" w:hAnsi="Arial" w:cs="Arial"/>
          <w:b/>
          <w:bCs/>
          <w:color w:val="000000"/>
          <w:sz w:val="20"/>
          <w:szCs w:val="20"/>
        </w:rPr>
        <w:t xml:space="preserve"> Table </w:t>
      </w:r>
      <w:r w:rsidRPr="005E3785">
        <w:rPr>
          <w:rFonts w:ascii="Arial" w:eastAsiaTheme="majorEastAsia" w:hAnsi="Arial" w:cs="Arial"/>
          <w:b/>
          <w:bCs/>
          <w:color w:val="000000"/>
          <w:sz w:val="20"/>
          <w:szCs w:val="20"/>
        </w:rPr>
        <w:fldChar w:fldCharType="begin"/>
      </w:r>
      <w:r w:rsidRPr="005E3785">
        <w:rPr>
          <w:rFonts w:ascii="Arial" w:eastAsiaTheme="majorEastAsia" w:hAnsi="Arial" w:cs="Arial"/>
          <w:b/>
          <w:bCs/>
          <w:color w:val="000000"/>
          <w:sz w:val="20"/>
          <w:szCs w:val="20"/>
        </w:rPr>
        <w:instrText xml:space="preserve"> SEQ Supplemental_Table_ \* ARABIC </w:instrText>
      </w:r>
      <w:r w:rsidRPr="005E3785">
        <w:rPr>
          <w:rFonts w:ascii="Arial" w:eastAsiaTheme="majorEastAsia" w:hAnsi="Arial" w:cs="Arial"/>
          <w:b/>
          <w:bCs/>
          <w:color w:val="000000"/>
          <w:sz w:val="20"/>
          <w:szCs w:val="20"/>
        </w:rPr>
        <w:fldChar w:fldCharType="separate"/>
      </w:r>
      <w:r w:rsidRPr="005E3785">
        <w:rPr>
          <w:rFonts w:ascii="Arial" w:eastAsiaTheme="majorEastAsia" w:hAnsi="Arial" w:cs="Arial"/>
          <w:b/>
          <w:bCs/>
          <w:color w:val="000000"/>
          <w:sz w:val="20"/>
          <w:szCs w:val="20"/>
        </w:rPr>
        <w:t>2</w:t>
      </w:r>
      <w:r w:rsidRPr="005E3785">
        <w:rPr>
          <w:rFonts w:ascii="Arial" w:eastAsiaTheme="majorEastAsia" w:hAnsi="Arial" w:cs="Arial"/>
          <w:b/>
          <w:bCs/>
          <w:color w:val="000000"/>
          <w:sz w:val="20"/>
          <w:szCs w:val="20"/>
        </w:rPr>
        <w:fldChar w:fldCharType="end"/>
      </w:r>
      <w:r w:rsidRPr="005E3785">
        <w:rPr>
          <w:rFonts w:ascii="Arial" w:eastAsiaTheme="majorEastAsia" w:hAnsi="Arial" w:cs="Arial" w:hint="eastAsia"/>
          <w:b/>
          <w:bCs/>
          <w:color w:val="000000"/>
          <w:sz w:val="20"/>
          <w:szCs w:val="20"/>
        </w:rPr>
        <w:t>.</w:t>
      </w:r>
      <w:r w:rsidRPr="005E3785">
        <w:rPr>
          <w:rFonts w:ascii="Arial" w:eastAsiaTheme="majorEastAsia" w:hAnsi="Arial" w:cs="Arial"/>
          <w:color w:val="000000"/>
          <w:sz w:val="20"/>
          <w:szCs w:val="20"/>
        </w:rPr>
        <w:t xml:space="preserve"> The characteristics of participants in the risk subgroups are based on the linear predictor of the full model with race.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3"/>
        <w:gridCol w:w="1904"/>
        <w:gridCol w:w="1905"/>
        <w:gridCol w:w="1905"/>
        <w:gridCol w:w="1905"/>
        <w:gridCol w:w="844"/>
      </w:tblGrid>
      <w:tr w:rsidR="00A23BEB" w:rsidRPr="005E3785" w14:paraId="56EEC5DF" w14:textId="3888F607" w:rsidTr="00A23BEB">
        <w:trPr>
          <w:trHeight w:val="20"/>
          <w:tblHeader/>
          <w:jc w:val="center"/>
        </w:trPr>
        <w:tc>
          <w:tcPr>
            <w:tcW w:w="0" w:type="auto"/>
            <w:tcBorders>
              <w:top w:val="single" w:sz="12" w:space="0" w:color="000000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7E31EC05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1904" w:type="dxa"/>
            <w:tcBorders>
              <w:top w:val="single" w:sz="12" w:space="0" w:color="000000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551BB93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Low Risk</w:t>
            </w: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 xml:space="preserve"> </w:t>
            </w:r>
          </w:p>
          <w:p w14:paraId="5C3873ED" w14:textId="2D6FCE7F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(n=27)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7CC42B87" w14:textId="3B28BB18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Intermediate Risk</w:t>
            </w: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 xml:space="preserve"> (n=55)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5A8B6CEA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Higher Risk</w:t>
            </w: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 xml:space="preserve"> </w:t>
            </w:r>
          </w:p>
          <w:p w14:paraId="0CC6D17B" w14:textId="1B95BD49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(n=56)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425F23D7" w14:textId="6AC96845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Highest Risk</w:t>
            </w: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 xml:space="preserve"> (n=27)</w:t>
            </w:r>
          </w:p>
        </w:tc>
        <w:tc>
          <w:tcPr>
            <w:tcW w:w="844" w:type="dxa"/>
            <w:tcBorders>
              <w:top w:val="single" w:sz="12" w:space="0" w:color="000000"/>
              <w:left w:val="single" w:sz="8" w:space="0" w:color="FFFFFF"/>
              <w:bottom w:val="single" w:sz="12" w:space="0" w:color="000000"/>
              <w:right w:val="single" w:sz="8" w:space="0" w:color="FFFFFF"/>
            </w:tcBorders>
          </w:tcPr>
          <w:p w14:paraId="79534833" w14:textId="6AB619D1" w:rsidR="00A23BEB" w:rsidRPr="005E3785" w:rsidRDefault="00A23BEB" w:rsidP="00A23BEB">
            <w:pPr>
              <w:rPr>
                <w:rFonts w:ascii="Arial" w:eastAsiaTheme="majorEastAsia" w:hAnsi="Arial" w:cs="Arial"/>
                <w:i/>
                <w:iCs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A23BEB" w:rsidRPr="005E3785" w14:paraId="74350F0F" w14:textId="5F36FBB9" w:rsidTr="00A23BEB">
        <w:trPr>
          <w:trHeight w:val="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106A569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Follow-up, median (IQR), yr</w:t>
            </w:r>
          </w:p>
        </w:tc>
        <w:tc>
          <w:tcPr>
            <w:tcW w:w="1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570486E8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6.4</w:t>
            </w: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（</w:t>
            </w: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3.1-10.1</w:t>
            </w: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3B86359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6.8(4.1-9.7)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3C82AD8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3.8(2.1-7.6)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21206E52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2.6(1.8-4.9)</w:t>
            </w:r>
          </w:p>
        </w:tc>
        <w:tc>
          <w:tcPr>
            <w:tcW w:w="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B63E26A" w14:textId="06DD9977" w:rsidR="00A23BEB" w:rsidRPr="005E3785" w:rsidRDefault="00A23BEB" w:rsidP="00A23BEB">
            <w:pPr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&lt;0.001</w:t>
            </w:r>
          </w:p>
        </w:tc>
      </w:tr>
      <w:tr w:rsidR="00A23BEB" w:rsidRPr="005E3785" w14:paraId="02B03A6F" w14:textId="21F1E02A" w:rsidTr="00A23BEB">
        <w:trPr>
          <w:trHeight w:val="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28FB965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Age, median (IQR), yr</w:t>
            </w:r>
          </w:p>
        </w:tc>
        <w:tc>
          <w:tcPr>
            <w:tcW w:w="1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  <w:vAlign w:val="center"/>
          </w:tcPr>
          <w:p w14:paraId="4EC836C6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63 (62,67)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  <w:vAlign w:val="center"/>
          </w:tcPr>
          <w:p w14:paraId="71EA3706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64 (61,67)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  <w:vAlign w:val="center"/>
          </w:tcPr>
          <w:p w14:paraId="414DCD00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65 (62,68)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  <w:vAlign w:val="center"/>
          </w:tcPr>
          <w:p w14:paraId="60BE6186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64(62,67)</w:t>
            </w:r>
          </w:p>
        </w:tc>
        <w:tc>
          <w:tcPr>
            <w:tcW w:w="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7317510" w14:textId="06B086B3" w:rsidR="00A23BEB" w:rsidRPr="005E3785" w:rsidRDefault="00A23BEB" w:rsidP="00A23BEB">
            <w:pPr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0.385</w:t>
            </w:r>
          </w:p>
        </w:tc>
      </w:tr>
      <w:tr w:rsidR="00A23BEB" w:rsidRPr="005E3785" w14:paraId="4C21E538" w14:textId="1F64BD6F" w:rsidTr="00A23BEB">
        <w:trPr>
          <w:trHeight w:val="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DBE6541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Males</w:t>
            </w:r>
          </w:p>
        </w:tc>
        <w:tc>
          <w:tcPr>
            <w:tcW w:w="1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4C3F398B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13</w:t>
            </w: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（</w:t>
            </w: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48%</w:t>
            </w: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08F6C8D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34(62%)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9443C03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34(61%)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9BEE9F4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18(67%)</w:t>
            </w:r>
          </w:p>
        </w:tc>
        <w:tc>
          <w:tcPr>
            <w:tcW w:w="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6C3FDE6" w14:textId="0526A653" w:rsidR="00A23BEB" w:rsidRPr="005E3785" w:rsidRDefault="00A23BEB" w:rsidP="00A23BEB">
            <w:pPr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0.538</w:t>
            </w:r>
          </w:p>
        </w:tc>
      </w:tr>
      <w:tr w:rsidR="00A23BEB" w:rsidRPr="005E3785" w14:paraId="2D796EDE" w14:textId="57F051B2" w:rsidTr="00A23BEB">
        <w:trPr>
          <w:trHeight w:val="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42A4391D" w14:textId="69B3EAC9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eGFR at biopsy, median (IQR), ml/min per 1.73 m</w:t>
            </w: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12FEEA5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92.51</w:t>
            </w: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（</w:t>
            </w: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85-98</w:t>
            </w: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6E2F301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63(50-76)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B9136A5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40(33-52)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2CEA2425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26(21-34)</w:t>
            </w:r>
          </w:p>
        </w:tc>
        <w:tc>
          <w:tcPr>
            <w:tcW w:w="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97AFE4B" w14:textId="298EDBFE" w:rsidR="00A23BEB" w:rsidRPr="005E3785" w:rsidRDefault="00A23BEB" w:rsidP="00A23BEB">
            <w:pPr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&lt;0.001</w:t>
            </w:r>
          </w:p>
        </w:tc>
      </w:tr>
      <w:tr w:rsidR="00A23BEB" w:rsidRPr="005E3785" w14:paraId="5D5E0ACE" w14:textId="3E7A5AEA" w:rsidTr="00A23BEB">
        <w:trPr>
          <w:trHeight w:val="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269F02CE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Mean arterial pressure at biopsy, median (IQR), mmHg</w:t>
            </w:r>
          </w:p>
        </w:tc>
        <w:tc>
          <w:tcPr>
            <w:tcW w:w="1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D3B6F9A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97</w:t>
            </w: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（</w:t>
            </w: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93-103</w:t>
            </w: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2C354DD3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97(90-104)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3F75A31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103(97-110)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34BC8AB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 103(97-114)</w:t>
            </w:r>
          </w:p>
        </w:tc>
        <w:tc>
          <w:tcPr>
            <w:tcW w:w="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6FE8A69" w14:textId="3D8253C6" w:rsidR="00A23BEB" w:rsidRPr="005E3785" w:rsidRDefault="00A23BEB" w:rsidP="00A23BEB">
            <w:pPr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0.001</w:t>
            </w:r>
          </w:p>
        </w:tc>
      </w:tr>
      <w:tr w:rsidR="00A23BEB" w:rsidRPr="005E3785" w14:paraId="56382758" w14:textId="1E10E252" w:rsidTr="00A23BEB">
        <w:trPr>
          <w:trHeight w:val="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2D5C04CF" w14:textId="3A6D624C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Proteinuria at biopsy, median (IQR), g/d</w:t>
            </w:r>
          </w:p>
        </w:tc>
        <w:tc>
          <w:tcPr>
            <w:tcW w:w="1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E3146C0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0.8</w:t>
            </w: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（</w:t>
            </w: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0.48-2.1</w:t>
            </w: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3740D85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1.2(0.7-2.9)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6374BA9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2.4(1.4-3.4)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25E498A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3.0(2.4-5.1)</w:t>
            </w:r>
          </w:p>
        </w:tc>
        <w:tc>
          <w:tcPr>
            <w:tcW w:w="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08C72727" w14:textId="2133A802" w:rsidR="00A23BEB" w:rsidRPr="005E3785" w:rsidRDefault="00A23BEB" w:rsidP="00A23BEB">
            <w:pPr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&lt;0.001</w:t>
            </w:r>
          </w:p>
        </w:tc>
      </w:tr>
      <w:tr w:rsidR="00A23BEB" w:rsidRPr="005E3785" w14:paraId="07BBD2EF" w14:textId="5B35C1F5" w:rsidTr="00A23BEB">
        <w:trPr>
          <w:trHeight w:val="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434A509B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&lt;0.5</w:t>
            </w:r>
          </w:p>
        </w:tc>
        <w:tc>
          <w:tcPr>
            <w:tcW w:w="1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5032AE5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7(26%)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5914BD7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7(13%)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221736DF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4(7%)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FA0D297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0(0%)</w:t>
            </w:r>
          </w:p>
        </w:tc>
        <w:tc>
          <w:tcPr>
            <w:tcW w:w="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85EB616" w14:textId="77777777" w:rsidR="00A23BEB" w:rsidRPr="005E3785" w:rsidRDefault="00A23BEB" w:rsidP="00A23BEB">
            <w:pPr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</w:tc>
      </w:tr>
      <w:tr w:rsidR="00A23BEB" w:rsidRPr="005E3785" w14:paraId="2740BDE2" w14:textId="247C3AEB" w:rsidTr="00A23BEB">
        <w:trPr>
          <w:trHeight w:val="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4B97D9D7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0.5-1.0</w:t>
            </w:r>
          </w:p>
        </w:tc>
        <w:tc>
          <w:tcPr>
            <w:tcW w:w="1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B8CDDBB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9(33%)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623137F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15(27%)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AAFAA55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4(7%)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0264564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1(4%)</w:t>
            </w:r>
          </w:p>
        </w:tc>
        <w:tc>
          <w:tcPr>
            <w:tcW w:w="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CED0371" w14:textId="77777777" w:rsidR="00A23BEB" w:rsidRPr="005E3785" w:rsidRDefault="00A23BEB" w:rsidP="00A23BEB">
            <w:pPr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</w:tc>
      </w:tr>
      <w:tr w:rsidR="00A23BEB" w:rsidRPr="005E3785" w14:paraId="374296BF" w14:textId="3BA9D720" w:rsidTr="00A23BEB">
        <w:trPr>
          <w:trHeight w:val="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79C1558C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1.0-2.0</w:t>
            </w:r>
          </w:p>
        </w:tc>
        <w:tc>
          <w:tcPr>
            <w:tcW w:w="1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8FBE2E2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3(11%)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423BB7DE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12(22%)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809893B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13(23%)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70E25E25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3(11%)</w:t>
            </w:r>
          </w:p>
        </w:tc>
        <w:tc>
          <w:tcPr>
            <w:tcW w:w="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DAEAEA1" w14:textId="77777777" w:rsidR="00A23BEB" w:rsidRPr="005E3785" w:rsidRDefault="00A23BEB" w:rsidP="00A23BEB">
            <w:pPr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</w:tc>
      </w:tr>
      <w:tr w:rsidR="00A23BEB" w:rsidRPr="005E3785" w14:paraId="6E4BF9E8" w14:textId="316E45AF" w:rsidTr="00A23BEB">
        <w:trPr>
          <w:trHeight w:val="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09DE70B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2.0-3.0</w:t>
            </w:r>
          </w:p>
        </w:tc>
        <w:tc>
          <w:tcPr>
            <w:tcW w:w="1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4B559AE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2(7%)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C3E2308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7(13%)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46D2B3EF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15(27%)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C4DC359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9(33%)</w:t>
            </w:r>
          </w:p>
        </w:tc>
        <w:tc>
          <w:tcPr>
            <w:tcW w:w="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6E741354" w14:textId="77777777" w:rsidR="00A23BEB" w:rsidRPr="005E3785" w:rsidRDefault="00A23BEB" w:rsidP="00A23BEB">
            <w:pPr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</w:tc>
      </w:tr>
      <w:tr w:rsidR="00A23BEB" w:rsidRPr="005E3785" w14:paraId="7183C7C6" w14:textId="761665AA" w:rsidTr="00A23BEB">
        <w:trPr>
          <w:trHeight w:val="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73BF2B8B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&gt;3.0</w:t>
            </w:r>
          </w:p>
        </w:tc>
        <w:tc>
          <w:tcPr>
            <w:tcW w:w="1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7F673DA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6(22%)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4C72B85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14(25%)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7DD3F12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20(36%)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DC96065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14(52%)</w:t>
            </w:r>
          </w:p>
        </w:tc>
        <w:tc>
          <w:tcPr>
            <w:tcW w:w="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447172E" w14:textId="77777777" w:rsidR="00A23BEB" w:rsidRPr="005E3785" w:rsidRDefault="00A23BEB" w:rsidP="00A23BEB">
            <w:pPr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</w:tc>
      </w:tr>
      <w:tr w:rsidR="00A23BEB" w:rsidRPr="005E3785" w14:paraId="30B6FE1D" w14:textId="46511342" w:rsidTr="00A23BEB">
        <w:trPr>
          <w:trHeight w:val="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793E2E6" w14:textId="4ABA8E03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MEST</w:t>
            </w: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-C</w:t>
            </w: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histologic score</w:t>
            </w:r>
          </w:p>
        </w:tc>
        <w:tc>
          <w:tcPr>
            <w:tcW w:w="1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2F748805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2492E1F6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1F37269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378EA07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2F5C92C2" w14:textId="77777777" w:rsidR="00A23BEB" w:rsidRPr="005E3785" w:rsidRDefault="00A23BEB" w:rsidP="00A23BEB">
            <w:pPr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</w:tc>
      </w:tr>
      <w:tr w:rsidR="00A23BEB" w:rsidRPr="005E3785" w14:paraId="4E3756E3" w14:textId="0D76F6C5" w:rsidTr="00A23BEB">
        <w:trPr>
          <w:trHeight w:val="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773F63C4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M1</w:t>
            </w:r>
          </w:p>
        </w:tc>
        <w:tc>
          <w:tcPr>
            <w:tcW w:w="1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55E3501C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6(22%)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C853065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27(48%)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C9E4D95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27(48%)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013447E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22(82%)</w:t>
            </w:r>
          </w:p>
        </w:tc>
        <w:tc>
          <w:tcPr>
            <w:tcW w:w="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27E59253" w14:textId="6AF132B7" w:rsidR="00A23BEB" w:rsidRPr="005E3785" w:rsidRDefault="00A23BEB" w:rsidP="00A23BEB">
            <w:pPr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&lt;0.001</w:t>
            </w:r>
          </w:p>
        </w:tc>
      </w:tr>
      <w:tr w:rsidR="00A23BEB" w:rsidRPr="005E3785" w14:paraId="49BDCB9B" w14:textId="2D2B3AD1" w:rsidTr="00A23BEB">
        <w:trPr>
          <w:trHeight w:val="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C0D1663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E1</w:t>
            </w:r>
          </w:p>
        </w:tc>
        <w:tc>
          <w:tcPr>
            <w:tcW w:w="1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5D209839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3(11%)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467CAEC1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13(24%)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848F91B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10(18%)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289563A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4(15%)</w:t>
            </w:r>
          </w:p>
        </w:tc>
        <w:tc>
          <w:tcPr>
            <w:tcW w:w="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6E7C3465" w14:textId="35889B5A" w:rsidR="00A23BEB" w:rsidRPr="005E3785" w:rsidRDefault="00A23BEB" w:rsidP="00A23BEB">
            <w:pPr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0.529</w:t>
            </w:r>
          </w:p>
        </w:tc>
      </w:tr>
      <w:tr w:rsidR="00A23BEB" w:rsidRPr="005E3785" w14:paraId="6E90FC8F" w14:textId="2DF30A0B" w:rsidTr="00A23BEB">
        <w:trPr>
          <w:trHeight w:val="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138DFAA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S1</w:t>
            </w:r>
          </w:p>
        </w:tc>
        <w:tc>
          <w:tcPr>
            <w:tcW w:w="1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4DE934E1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8(30%)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69E7774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31(56%)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8595D35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33(59%)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7597957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19(70%)</w:t>
            </w:r>
          </w:p>
        </w:tc>
        <w:tc>
          <w:tcPr>
            <w:tcW w:w="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FD50B81" w14:textId="6E1A4C2A" w:rsidR="00A23BEB" w:rsidRPr="005E3785" w:rsidRDefault="00A23BEB" w:rsidP="00A23BEB">
            <w:pPr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0.019</w:t>
            </w:r>
          </w:p>
        </w:tc>
      </w:tr>
      <w:tr w:rsidR="00A23BEB" w:rsidRPr="005E3785" w14:paraId="0CAD699D" w14:textId="0B2746F5" w:rsidTr="00A23BEB">
        <w:trPr>
          <w:trHeight w:val="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4B35E0C0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lastRenderedPageBreak/>
              <w:t>T1</w:t>
            </w:r>
          </w:p>
        </w:tc>
        <w:tc>
          <w:tcPr>
            <w:tcW w:w="1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CFC07AE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3(11%)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BBF8790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21(38%)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DC061C7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34(61%)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7873C730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8(30%)</w:t>
            </w:r>
          </w:p>
        </w:tc>
        <w:tc>
          <w:tcPr>
            <w:tcW w:w="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CD9D87A" w14:textId="1C608703" w:rsidR="00A23BEB" w:rsidRPr="005E3785" w:rsidRDefault="00A23BEB" w:rsidP="00A23BEB">
            <w:pPr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&lt;0.001</w:t>
            </w:r>
          </w:p>
        </w:tc>
      </w:tr>
      <w:tr w:rsidR="00A23BEB" w:rsidRPr="005E3785" w14:paraId="790D1002" w14:textId="4C52B85B" w:rsidTr="00A23BEB">
        <w:trPr>
          <w:trHeight w:val="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73B9522C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T2</w:t>
            </w:r>
          </w:p>
        </w:tc>
        <w:tc>
          <w:tcPr>
            <w:tcW w:w="1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27924D49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0(0%)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2ABA131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1(2%)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7D53AD10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12(21%)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E233DF8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19(70%)</w:t>
            </w:r>
          </w:p>
        </w:tc>
        <w:tc>
          <w:tcPr>
            <w:tcW w:w="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1C77549A" w14:textId="1CC1A881" w:rsidR="00A23BEB" w:rsidRPr="005E3785" w:rsidRDefault="00A23BEB" w:rsidP="00A23BEB">
            <w:pPr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&lt;0.001</w:t>
            </w:r>
          </w:p>
        </w:tc>
      </w:tr>
      <w:tr w:rsidR="00A23BEB" w:rsidRPr="005E3785" w14:paraId="21DBCC0E" w14:textId="53365348" w:rsidTr="00A23BEB">
        <w:trPr>
          <w:trHeight w:val="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9BFE1B1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C1</w:t>
            </w:r>
          </w:p>
        </w:tc>
        <w:tc>
          <w:tcPr>
            <w:tcW w:w="1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14230C6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4(15%)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355DDDD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14(25%)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702D617E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19(34%)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8020DE5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7(26%)</w:t>
            </w:r>
          </w:p>
        </w:tc>
        <w:tc>
          <w:tcPr>
            <w:tcW w:w="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6625CAFE" w14:textId="36BA6215" w:rsidR="00A23BEB" w:rsidRPr="005E3785" w:rsidRDefault="00A23BEB" w:rsidP="00A23BEB">
            <w:pPr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0.321</w:t>
            </w:r>
          </w:p>
        </w:tc>
      </w:tr>
      <w:tr w:rsidR="00A23BEB" w:rsidRPr="005E3785" w14:paraId="21CD7B79" w14:textId="52E96A4F" w:rsidTr="00A23BEB">
        <w:trPr>
          <w:trHeight w:val="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83001F7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C2</w:t>
            </w:r>
          </w:p>
        </w:tc>
        <w:tc>
          <w:tcPr>
            <w:tcW w:w="1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4C82225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0(0%)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7CD2AEDE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0(0%)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98B7B27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3(5%)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7004E6D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5(19%)</w:t>
            </w:r>
          </w:p>
        </w:tc>
        <w:tc>
          <w:tcPr>
            <w:tcW w:w="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FA03216" w14:textId="79E2F54F" w:rsidR="00A23BEB" w:rsidRPr="005E3785" w:rsidRDefault="00A23BEB" w:rsidP="00A23BEB">
            <w:pPr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0.218</w:t>
            </w:r>
          </w:p>
        </w:tc>
      </w:tr>
      <w:tr w:rsidR="00A23BEB" w:rsidRPr="005E3785" w14:paraId="16B83BA5" w14:textId="1FAE6A95" w:rsidTr="00A23BEB">
        <w:trPr>
          <w:trHeight w:val="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3069C8F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RAAS blocker use at or prior to biopsy</w:t>
            </w:r>
          </w:p>
        </w:tc>
        <w:tc>
          <w:tcPr>
            <w:tcW w:w="1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FB0FE5B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7(26%)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41AABD3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19(35%)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5E3E6B0F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32(57%)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B9DFB23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15(56%)</w:t>
            </w:r>
          </w:p>
        </w:tc>
        <w:tc>
          <w:tcPr>
            <w:tcW w:w="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013BA1E3" w14:textId="15D76A7C" w:rsidR="00A23BEB" w:rsidRPr="005E3785" w:rsidRDefault="00A23BEB" w:rsidP="00A23BEB">
            <w:pPr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0.012</w:t>
            </w:r>
          </w:p>
        </w:tc>
      </w:tr>
      <w:tr w:rsidR="00A23BEB" w:rsidRPr="005E3785" w14:paraId="00D80C8F" w14:textId="67BE2714" w:rsidTr="00A23BEB">
        <w:trPr>
          <w:trHeight w:val="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4D4D8D2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Immunosuppression use at or prior to biopsy </w:t>
            </w:r>
          </w:p>
        </w:tc>
        <w:tc>
          <w:tcPr>
            <w:tcW w:w="1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48ECCC0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1(4%)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5551C122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0(0%)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C6B17F5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2(4%)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7382ED57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1(4%)</w:t>
            </w:r>
          </w:p>
        </w:tc>
        <w:tc>
          <w:tcPr>
            <w:tcW w:w="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04EE0B27" w14:textId="73C55DDE" w:rsidR="00A23BEB" w:rsidRPr="005E3785" w:rsidRDefault="00A23BEB" w:rsidP="00A23BEB">
            <w:pPr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0.043</w:t>
            </w:r>
          </w:p>
        </w:tc>
      </w:tr>
      <w:tr w:rsidR="00A23BEB" w:rsidRPr="005E3785" w14:paraId="286375A1" w14:textId="3B2E90CA" w:rsidTr="00A23BEB">
        <w:trPr>
          <w:trHeight w:val="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7B66776D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Primary outcome</w:t>
            </w:r>
          </w:p>
        </w:tc>
        <w:tc>
          <w:tcPr>
            <w:tcW w:w="1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25009A9E" w14:textId="38DF98FE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233874BE" w14:textId="26F24F79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47E37297" w14:textId="62B72423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7BAFF553" w14:textId="041CDF82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04756303" w14:textId="77777777" w:rsidR="00A23BEB" w:rsidRPr="005E3785" w:rsidRDefault="00A23BEB" w:rsidP="00A23BEB">
            <w:pPr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</w:tc>
      </w:tr>
      <w:tr w:rsidR="00A23BEB" w:rsidRPr="005E3785" w14:paraId="3988D303" w14:textId="26642476" w:rsidTr="00A23BEB">
        <w:trPr>
          <w:trHeight w:val="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AA45A5D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50% decline in eGFR </w:t>
            </w:r>
          </w:p>
        </w:tc>
        <w:tc>
          <w:tcPr>
            <w:tcW w:w="1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5E2B5017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2(7%)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EAC65F0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8(15%)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76CF6B05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6(11%)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E499FEC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9(33%)</w:t>
            </w:r>
          </w:p>
        </w:tc>
        <w:tc>
          <w:tcPr>
            <w:tcW w:w="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6AD78973" w14:textId="061B8CCA" w:rsidR="00A23BEB" w:rsidRPr="005E3785" w:rsidRDefault="00A23BEB" w:rsidP="00A23BEB">
            <w:pPr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0.028</w:t>
            </w:r>
          </w:p>
        </w:tc>
      </w:tr>
      <w:tr w:rsidR="00A23BEB" w:rsidRPr="005E3785" w14:paraId="0D5D9F33" w14:textId="69C0DEA9" w:rsidTr="00A23BEB">
        <w:trPr>
          <w:trHeight w:val="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5113EF5C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Kidney failure </w:t>
            </w:r>
          </w:p>
        </w:tc>
        <w:tc>
          <w:tcPr>
            <w:tcW w:w="1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4D26B07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1(4%)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7608D6A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9(16%)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E1DD2E1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6(11%)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92FE47F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9(33%)</w:t>
            </w:r>
          </w:p>
        </w:tc>
        <w:tc>
          <w:tcPr>
            <w:tcW w:w="8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272AEA2A" w14:textId="290AD232" w:rsidR="00A23BEB" w:rsidRPr="005E3785" w:rsidRDefault="00A23BEB" w:rsidP="00A23BEB">
            <w:pPr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0.014</w:t>
            </w:r>
          </w:p>
        </w:tc>
      </w:tr>
      <w:tr w:rsidR="00A23BEB" w:rsidRPr="005E3785" w14:paraId="3812BEB5" w14:textId="34660EE5" w:rsidTr="00A23BEB">
        <w:trPr>
          <w:trHeight w:val="20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5BB130CE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Total primary outcome</w:t>
            </w:r>
          </w:p>
        </w:tc>
        <w:tc>
          <w:tcPr>
            <w:tcW w:w="1904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7AA4167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2(7%)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99BDBD8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10(18%)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B4DB5A1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11(20%)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F3D91E4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12(44%)</w:t>
            </w:r>
          </w:p>
        </w:tc>
        <w:tc>
          <w:tcPr>
            <w:tcW w:w="844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</w:tcPr>
          <w:p w14:paraId="4A564587" w14:textId="060D861C" w:rsidR="00A23BEB" w:rsidRPr="005E3785" w:rsidRDefault="00A23BEB" w:rsidP="00A23BEB">
            <w:pPr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0.007</w:t>
            </w:r>
          </w:p>
        </w:tc>
      </w:tr>
    </w:tbl>
    <w:p w14:paraId="3B27CF39" w14:textId="5883A020" w:rsidR="00CC4A20" w:rsidRPr="005E3785" w:rsidRDefault="00A23BEB">
      <w:pPr>
        <w:spacing w:beforeLines="50" w:before="156" w:afterLines="50" w:after="156" w:line="480" w:lineRule="auto"/>
        <w:jc w:val="left"/>
        <w:rPr>
          <w:rFonts w:ascii="Arial" w:eastAsiaTheme="majorEastAsia" w:hAnsi="Arial" w:cs="Arial"/>
          <w:color w:val="000000"/>
          <w:sz w:val="20"/>
          <w:szCs w:val="20"/>
        </w:rPr>
      </w:pPr>
      <w:r w:rsidRPr="005E3785">
        <w:rPr>
          <w:rFonts w:ascii="Arial" w:eastAsiaTheme="majorEastAsia" w:hAnsi="Arial" w:cs="Arial"/>
          <w:color w:val="000000"/>
          <w:sz w:val="20"/>
          <w:szCs w:val="20"/>
        </w:rPr>
        <w:t>Notes: Risk groups were based on percentiles of the linear predictor (low risk: &lt;16</w:t>
      </w:r>
      <w:r w:rsidRPr="005E3785">
        <w:rPr>
          <w:rFonts w:ascii="Arial" w:eastAsiaTheme="majorEastAsia" w:hAnsi="Arial" w:cs="Arial"/>
          <w:color w:val="000000"/>
          <w:sz w:val="20"/>
          <w:szCs w:val="20"/>
          <w:vertAlign w:val="superscript"/>
        </w:rPr>
        <w:t>th</w:t>
      </w:r>
      <w:r w:rsidRPr="005E3785">
        <w:rPr>
          <w:rFonts w:ascii="Arial" w:eastAsiaTheme="majorEastAsia" w:hAnsi="Arial" w:cs="Arial"/>
          <w:color w:val="000000"/>
          <w:sz w:val="20"/>
          <w:szCs w:val="20"/>
        </w:rPr>
        <w:t>, intermediate risk: 16</w:t>
      </w:r>
      <w:r w:rsidRPr="005E3785">
        <w:rPr>
          <w:rFonts w:ascii="Arial" w:eastAsiaTheme="majorEastAsia" w:hAnsi="Arial" w:cs="Arial"/>
          <w:color w:val="000000"/>
          <w:sz w:val="20"/>
          <w:szCs w:val="20"/>
          <w:vertAlign w:val="superscript"/>
        </w:rPr>
        <w:t>th</w:t>
      </w:r>
      <w:r w:rsidRPr="005E3785">
        <w:rPr>
          <w:rFonts w:ascii="Arial" w:eastAsiaTheme="majorEastAsia" w:hAnsi="Arial" w:cs="Arial"/>
          <w:color w:val="000000"/>
          <w:sz w:val="20"/>
          <w:szCs w:val="20"/>
        </w:rPr>
        <w:t>-50</w:t>
      </w:r>
      <w:r w:rsidRPr="005E3785">
        <w:rPr>
          <w:rFonts w:ascii="Arial" w:eastAsiaTheme="majorEastAsia" w:hAnsi="Arial" w:cs="Arial"/>
          <w:color w:val="000000"/>
          <w:sz w:val="20"/>
          <w:szCs w:val="20"/>
          <w:vertAlign w:val="superscript"/>
        </w:rPr>
        <w:t>th</w:t>
      </w:r>
      <w:r w:rsidRPr="005E3785">
        <w:rPr>
          <w:rFonts w:ascii="Arial" w:eastAsiaTheme="majorEastAsia" w:hAnsi="Arial" w:cs="Arial"/>
          <w:color w:val="000000"/>
          <w:sz w:val="20"/>
          <w:szCs w:val="20"/>
        </w:rPr>
        <w:t>, higher risk: 50</w:t>
      </w:r>
      <w:r w:rsidRPr="005E3785">
        <w:rPr>
          <w:rFonts w:ascii="Arial" w:eastAsiaTheme="majorEastAsia" w:hAnsi="Arial" w:cs="Arial"/>
          <w:color w:val="000000"/>
          <w:sz w:val="20"/>
          <w:szCs w:val="20"/>
          <w:vertAlign w:val="superscript"/>
        </w:rPr>
        <w:t>th</w:t>
      </w:r>
      <w:r w:rsidRPr="005E3785">
        <w:rPr>
          <w:rFonts w:ascii="Arial" w:eastAsiaTheme="majorEastAsia" w:hAnsi="Arial" w:cs="Arial"/>
          <w:color w:val="000000"/>
          <w:sz w:val="20"/>
          <w:szCs w:val="20"/>
        </w:rPr>
        <w:t>-84</w:t>
      </w:r>
      <w:r w:rsidRPr="005E3785">
        <w:rPr>
          <w:rFonts w:ascii="Arial" w:eastAsiaTheme="majorEastAsia" w:hAnsi="Arial" w:cs="Arial"/>
          <w:color w:val="000000"/>
          <w:sz w:val="20"/>
          <w:szCs w:val="20"/>
          <w:vertAlign w:val="superscript"/>
        </w:rPr>
        <w:t>th</w:t>
      </w:r>
      <w:r w:rsidRPr="005E3785">
        <w:rPr>
          <w:rFonts w:ascii="Arial" w:eastAsiaTheme="majorEastAsia" w:hAnsi="Arial" w:cs="Arial"/>
          <w:color w:val="000000"/>
          <w:sz w:val="20"/>
          <w:szCs w:val="20"/>
        </w:rPr>
        <w:t>, highest risk: &gt;84</w:t>
      </w:r>
      <w:r w:rsidRPr="005E3785">
        <w:rPr>
          <w:rFonts w:ascii="Arial" w:eastAsiaTheme="majorEastAsia" w:hAnsi="Arial" w:cs="Arial"/>
          <w:color w:val="000000"/>
          <w:sz w:val="20"/>
          <w:szCs w:val="20"/>
          <w:vertAlign w:val="superscript"/>
        </w:rPr>
        <w:t>th</w:t>
      </w:r>
      <w:r w:rsidRPr="005E3785">
        <w:rPr>
          <w:rFonts w:ascii="Arial" w:eastAsiaTheme="majorEastAsia" w:hAnsi="Arial" w:cs="Arial"/>
          <w:color w:val="000000"/>
          <w:sz w:val="20"/>
          <w:szCs w:val="20"/>
        </w:rPr>
        <w:t>). The primary outcome was a combined event that included either a permanent &gt;50% reduction in eGFR or kidney failure (eGFR &lt;15 ml/min/1.73 m</w:t>
      </w:r>
      <w:r w:rsidRPr="005E3785">
        <w:rPr>
          <w:rFonts w:ascii="Arial" w:eastAsiaTheme="majorEastAsia" w:hAnsi="Arial" w:cs="Arial"/>
          <w:color w:val="000000"/>
          <w:sz w:val="20"/>
          <w:szCs w:val="20"/>
          <w:vertAlign w:val="superscript"/>
        </w:rPr>
        <w:t>2</w:t>
      </w:r>
      <w:r w:rsidRPr="005E3785">
        <w:rPr>
          <w:rFonts w:ascii="Arial" w:eastAsiaTheme="majorEastAsia" w:hAnsi="Arial" w:cs="Arial"/>
          <w:color w:val="000000"/>
          <w:sz w:val="20"/>
          <w:szCs w:val="20"/>
        </w:rPr>
        <w:t xml:space="preserve"> or kidney replacement therapy), whichever occurred first. Abbreviations: IQR, interquartile range; eGFR, estimated glomerular filtration rate; MEST, mesangial (M), endocapillary (E) hypercellularity, segmental sclerosis (S), and interstitial fibrosis/tubular atrophy (T); RAAS, renin-angiotensin-aldosterone system blocker.</w:t>
      </w:r>
      <w:r w:rsidRPr="005E3785">
        <w:rPr>
          <w:rFonts w:ascii="Arial" w:eastAsiaTheme="majorEastAsia" w:hAnsi="Arial" w:cs="Arial"/>
          <w:color w:val="000000"/>
          <w:sz w:val="20"/>
          <w:szCs w:val="20"/>
        </w:rPr>
        <w:br w:type="page"/>
      </w:r>
    </w:p>
    <w:p w14:paraId="429ADD21" w14:textId="7910FA61" w:rsidR="00A23BEB" w:rsidRPr="005E3785" w:rsidRDefault="00A23BEB" w:rsidP="00A23BEB">
      <w:pPr>
        <w:pStyle w:val="Caption"/>
        <w:keepNext/>
        <w:spacing w:afterLines="50" w:after="156" w:line="480" w:lineRule="auto"/>
        <w:rPr>
          <w:rFonts w:ascii="Arial" w:eastAsiaTheme="majorEastAsia" w:hAnsi="Arial" w:cs="Arial"/>
          <w:color w:val="000000"/>
        </w:rPr>
      </w:pPr>
      <w:r w:rsidRPr="005E3785">
        <w:rPr>
          <w:rFonts w:ascii="Arial" w:eastAsiaTheme="majorEastAsia" w:hAnsi="Arial" w:cs="Arial"/>
          <w:b/>
          <w:bCs/>
          <w:color w:val="000000"/>
        </w:rPr>
        <w:lastRenderedPageBreak/>
        <w:t xml:space="preserve">Supplemental Table </w:t>
      </w:r>
      <w:r w:rsidRPr="005E3785">
        <w:rPr>
          <w:rFonts w:ascii="Arial" w:eastAsiaTheme="majorEastAsia" w:hAnsi="Arial" w:cs="Arial"/>
          <w:b/>
          <w:bCs/>
          <w:color w:val="000000"/>
        </w:rPr>
        <w:fldChar w:fldCharType="begin"/>
      </w:r>
      <w:r w:rsidRPr="005E3785">
        <w:rPr>
          <w:rFonts w:ascii="Arial" w:eastAsiaTheme="majorEastAsia" w:hAnsi="Arial" w:cs="Arial"/>
          <w:b/>
          <w:bCs/>
          <w:color w:val="000000"/>
        </w:rPr>
        <w:instrText xml:space="preserve"> SEQ Supplemental_Table_ \* ARABIC </w:instrText>
      </w:r>
      <w:r w:rsidRPr="005E3785">
        <w:rPr>
          <w:rFonts w:ascii="Arial" w:eastAsiaTheme="majorEastAsia" w:hAnsi="Arial" w:cs="Arial"/>
          <w:b/>
          <w:bCs/>
          <w:color w:val="000000"/>
        </w:rPr>
        <w:fldChar w:fldCharType="separate"/>
      </w:r>
      <w:r w:rsidRPr="005E3785">
        <w:rPr>
          <w:rFonts w:ascii="Arial" w:eastAsiaTheme="majorEastAsia" w:hAnsi="Arial" w:cs="Arial"/>
          <w:b/>
          <w:bCs/>
          <w:color w:val="000000"/>
        </w:rPr>
        <w:t>3</w:t>
      </w:r>
      <w:r w:rsidRPr="005E3785">
        <w:rPr>
          <w:rFonts w:ascii="Arial" w:eastAsiaTheme="majorEastAsia" w:hAnsi="Arial" w:cs="Arial"/>
          <w:b/>
          <w:bCs/>
          <w:color w:val="000000"/>
        </w:rPr>
        <w:fldChar w:fldCharType="end"/>
      </w:r>
      <w:r w:rsidRPr="005E3785">
        <w:rPr>
          <w:rFonts w:ascii="Arial" w:eastAsiaTheme="majorEastAsia" w:hAnsi="Arial" w:cs="Arial"/>
          <w:b/>
          <w:bCs/>
          <w:color w:val="000000"/>
        </w:rPr>
        <w:t xml:space="preserve">. </w:t>
      </w:r>
      <w:r w:rsidRPr="005E3785">
        <w:rPr>
          <w:rFonts w:ascii="Arial" w:eastAsiaTheme="majorEastAsia" w:hAnsi="Arial" w:cs="Arial"/>
          <w:color w:val="000000"/>
        </w:rPr>
        <w:t>The characteristics of participants in the risk subgroups are based on the linear predictor of the full model without race.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1918"/>
        <w:gridCol w:w="1919"/>
        <w:gridCol w:w="1918"/>
        <w:gridCol w:w="1919"/>
        <w:gridCol w:w="721"/>
      </w:tblGrid>
      <w:tr w:rsidR="00A23BEB" w:rsidRPr="005E3785" w14:paraId="58B22772" w14:textId="7AF2BE4B" w:rsidTr="00A23BEB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1458A84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3797983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Low Risk</w:t>
            </w: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 xml:space="preserve"> </w:t>
            </w:r>
          </w:p>
          <w:p w14:paraId="63DF9509" w14:textId="31DE2D38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(n=27)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365651F" w14:textId="321114E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Intermediate Risk</w:t>
            </w: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 xml:space="preserve"> (n=55)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270F2713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Higher Risk</w:t>
            </w: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 xml:space="preserve"> </w:t>
            </w:r>
          </w:p>
          <w:p w14:paraId="33E515F4" w14:textId="56376AF5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(n=56)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6FF7EF3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Highest Risk</w:t>
            </w: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 xml:space="preserve"> </w:t>
            </w:r>
          </w:p>
          <w:p w14:paraId="7687F440" w14:textId="0B5AD73A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(n=27)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8" w:space="0" w:color="FFFFFF"/>
            </w:tcBorders>
          </w:tcPr>
          <w:p w14:paraId="4D7B2DF2" w14:textId="170ED3AC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i/>
                <w:iCs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A23BEB" w:rsidRPr="005E3785" w14:paraId="473764B3" w14:textId="6F827AA6" w:rsidTr="00A23BE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258E7F74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Follow-up, median (IQR), yr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6BC5C5B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6.0</w:t>
            </w: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（</w:t>
            </w: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3.0-9.6</w:t>
            </w: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32FF961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7.7(4.2-10.4)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427EF4C6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3.8(2.2-7.5)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B813769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2.6(1.8-4.9)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BA831AE" w14:textId="32E57175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&lt;0.001</w:t>
            </w:r>
          </w:p>
        </w:tc>
      </w:tr>
      <w:tr w:rsidR="00A23BEB" w:rsidRPr="005E3785" w14:paraId="44115592" w14:textId="7E86D851" w:rsidTr="00A23BEB">
        <w:trPr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31F11A7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Age, median (IQR), yr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  <w:vAlign w:val="center"/>
          </w:tcPr>
          <w:p w14:paraId="49F4F95A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63 (61,67)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  <w:vAlign w:val="center"/>
          </w:tcPr>
          <w:p w14:paraId="560EC8B0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64 (62,67)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  <w:vAlign w:val="center"/>
          </w:tcPr>
          <w:p w14:paraId="1035DD5C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64 (62,67)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  <w:vAlign w:val="center"/>
          </w:tcPr>
          <w:p w14:paraId="7D79C897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64(61,67)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1625A23A" w14:textId="4BEAF035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0.909</w:t>
            </w:r>
          </w:p>
        </w:tc>
      </w:tr>
      <w:tr w:rsidR="00A23BEB" w:rsidRPr="005E3785" w14:paraId="21003A52" w14:textId="3CCD35DB" w:rsidTr="00A23BEB">
        <w:trPr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80CA0AC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Males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477CD022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14</w:t>
            </w: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（</w:t>
            </w: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52%</w:t>
            </w: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A49868A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33(60%)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1BB1BFA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33(59%)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522CF001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19(70%)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2797E189" w14:textId="588C4FC4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0.576</w:t>
            </w:r>
          </w:p>
        </w:tc>
      </w:tr>
      <w:tr w:rsidR="00A23BEB" w:rsidRPr="005E3785" w14:paraId="21185E4B" w14:textId="08B4097C" w:rsidTr="00A23BEB">
        <w:trPr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47EA0F2" w14:textId="6034B1B8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eGFR at biopsy, median (IQR), ml/min per 1.73 m</w:t>
            </w: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8F117FE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92</w:t>
            </w: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（</w:t>
            </w: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85-98</w:t>
            </w: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243227F8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60(46-75)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3340D84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45(35-56)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EF7522C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26(21-31)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DDC7CCF" w14:textId="4E2CD648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&lt;0.001</w:t>
            </w:r>
          </w:p>
        </w:tc>
      </w:tr>
      <w:tr w:rsidR="00A23BEB" w:rsidRPr="005E3785" w14:paraId="421AD9E2" w14:textId="0EAD1C32" w:rsidTr="00A23BEB">
        <w:trPr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EE623E9" w14:textId="6092CD9D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Mean arterial pressure at biopsy, median IQR), mmHg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DFC721F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97</w:t>
            </w: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（</w:t>
            </w: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93-103</w:t>
            </w: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78B2C5E2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97(91-105)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7D5E58E6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104(97-110)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27855BAE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103(97-114)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221F5B8B" w14:textId="68787BC5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0.001</w:t>
            </w:r>
          </w:p>
        </w:tc>
      </w:tr>
      <w:tr w:rsidR="00A23BEB" w:rsidRPr="005E3785" w14:paraId="0182D88B" w14:textId="2807B1DF" w:rsidTr="00A23BEB">
        <w:trPr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A606DF1" w14:textId="7AE6DDD8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Proteinuria at biopsy, median (IQR), g/d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0667365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1.1</w:t>
            </w: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（</w:t>
            </w: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0.7-2.4</w:t>
            </w: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565B00C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1.1(0.7-3.0)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91FABB5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2.4(1.4-3.4)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F0AEF16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3.0(2.3-5.1)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A3F91B3" w14:textId="71311A51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&lt;0.001</w:t>
            </w:r>
          </w:p>
        </w:tc>
      </w:tr>
      <w:tr w:rsidR="00A23BEB" w:rsidRPr="005E3785" w14:paraId="77E92E8B" w14:textId="03C56A21" w:rsidTr="00A23BEB">
        <w:trPr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3B9ECCB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&lt;0.5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5EBDE63C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5(19%)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63683DF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7(13%)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46DCBBD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6(11%)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32E07AC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0(0%)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7852F42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</w:tc>
      </w:tr>
      <w:tr w:rsidR="00A23BEB" w:rsidRPr="005E3785" w14:paraId="2E0AB13C" w14:textId="5B72C473" w:rsidTr="00A23BEB">
        <w:trPr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47AB7B43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0.5-1.0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8A4A16B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7(26%)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7ED144CF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14(25%)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D49A938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6(11%)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4DED9219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2(7%)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CE768EF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</w:tc>
      </w:tr>
      <w:tr w:rsidR="00A23BEB" w:rsidRPr="005E3785" w14:paraId="58540ECB" w14:textId="34B18E03" w:rsidTr="00A23BEB">
        <w:trPr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B3E10B4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1.0-2.0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4713B54A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5(19%)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5A1EA0F0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11(20%)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410F4D9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12(21%)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798E049E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4(15%)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1AA1E63A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</w:tc>
      </w:tr>
      <w:tr w:rsidR="00A23BEB" w:rsidRPr="005E3785" w14:paraId="27010985" w14:textId="500A1071" w:rsidTr="00A23BEB">
        <w:trPr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2BC86314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2.0-3.0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418DCE3B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3(11%)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782D90B6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9(16%)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71589CF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13(21%)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0548F0F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9(33%)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2D25A2EF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</w:tc>
      </w:tr>
      <w:tr w:rsidR="00A23BEB" w:rsidRPr="005E3785" w14:paraId="655B95C1" w14:textId="17E8632C" w:rsidTr="00A23BEB">
        <w:trPr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DD6E956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&gt;3.0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8C28705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6(22%)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9C2B18C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15(27%)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D21FC76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21(38%)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BDF01F9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11(41%)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931593D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</w:tc>
      </w:tr>
      <w:tr w:rsidR="00A23BEB" w:rsidRPr="005E3785" w14:paraId="14D1DC7B" w14:textId="0539533A" w:rsidTr="00A23BEB">
        <w:trPr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58D0753" w14:textId="1BD2E662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MEST</w:t>
            </w: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-C</w:t>
            </w: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histologic score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E5EB872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2D6B737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23FB5F6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4134774F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033A984A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</w:tc>
      </w:tr>
      <w:tr w:rsidR="00A23BEB" w:rsidRPr="005E3785" w14:paraId="7A8CC1F8" w14:textId="79F0F58B" w:rsidTr="00A23BEB">
        <w:trPr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520418CC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M1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2383A35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5(19%)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421DAC8A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27(49%)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7710733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27(48%)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62DEA93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23(85%)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2C08CB36" w14:textId="03CB88E5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&lt;0.001</w:t>
            </w:r>
          </w:p>
        </w:tc>
      </w:tr>
      <w:tr w:rsidR="00A23BEB" w:rsidRPr="005E3785" w14:paraId="28B20376" w14:textId="6868AECE" w:rsidTr="00A23BEB">
        <w:trPr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4FA4C9F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E1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15A1741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2(7%)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483AC186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13(24%)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11F1244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11(20%)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700C7359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4(15%)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13070D06" w14:textId="69DE2054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0.322</w:t>
            </w:r>
          </w:p>
        </w:tc>
      </w:tr>
      <w:tr w:rsidR="00A23BEB" w:rsidRPr="005E3785" w14:paraId="599547C7" w14:textId="108B6025" w:rsidTr="00A23BEB">
        <w:trPr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503B8F85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S1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7FDD05D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9(33%)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7F2F3A9A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30(54%)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51E81656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34(61%)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4FADCCC3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18(67%)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DF4316D" w14:textId="34862E4E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0.061</w:t>
            </w:r>
          </w:p>
        </w:tc>
      </w:tr>
      <w:tr w:rsidR="00A23BEB" w:rsidRPr="005E3785" w14:paraId="19DF6B0F" w14:textId="2C18EF1A" w:rsidTr="00A23BEB">
        <w:trPr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4EEF8F8F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T1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57633ADD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0(0%)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4D608EE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21(38%)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7221415D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37(66%)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0D581C1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8(30%)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</w:tcPr>
          <w:p w14:paraId="53997D61" w14:textId="1AAB2FB1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&lt;0.001</w:t>
            </w:r>
          </w:p>
        </w:tc>
      </w:tr>
      <w:tr w:rsidR="00A23BEB" w:rsidRPr="005E3785" w14:paraId="17AA2D0C" w14:textId="426BD046" w:rsidTr="00A23BEB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2B1ADCCB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lastRenderedPageBreak/>
              <w:t>T2</w:t>
            </w:r>
          </w:p>
        </w:tc>
        <w:tc>
          <w:tcPr>
            <w:tcW w:w="1918" w:type="dxa"/>
            <w:tcBorders>
              <w:top w:val="single" w:sz="12" w:space="0" w:color="auto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40951B85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0(0%)</w:t>
            </w:r>
          </w:p>
        </w:tc>
        <w:tc>
          <w:tcPr>
            <w:tcW w:w="1919" w:type="dxa"/>
            <w:tcBorders>
              <w:top w:val="single" w:sz="12" w:space="0" w:color="auto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34D8F40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0(0%)</w:t>
            </w:r>
          </w:p>
        </w:tc>
        <w:tc>
          <w:tcPr>
            <w:tcW w:w="1918" w:type="dxa"/>
            <w:tcBorders>
              <w:top w:val="single" w:sz="12" w:space="0" w:color="auto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417D68CF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13(23%)</w:t>
            </w:r>
          </w:p>
        </w:tc>
        <w:tc>
          <w:tcPr>
            <w:tcW w:w="1919" w:type="dxa"/>
            <w:tcBorders>
              <w:top w:val="single" w:sz="12" w:space="0" w:color="auto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32AAFE2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19(70%)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3D21E5B2" w14:textId="34516C79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&lt;0.001</w:t>
            </w:r>
          </w:p>
        </w:tc>
      </w:tr>
      <w:tr w:rsidR="00A23BEB" w:rsidRPr="005E3785" w14:paraId="0BC36E9A" w14:textId="192113B1" w:rsidTr="00A23BEB">
        <w:trPr>
          <w:jc w:val="center"/>
        </w:trPr>
        <w:tc>
          <w:tcPr>
            <w:tcW w:w="0" w:type="auto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455D4181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C1</w:t>
            </w:r>
          </w:p>
        </w:tc>
        <w:tc>
          <w:tcPr>
            <w:tcW w:w="191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25A6D299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3(11%)</w:t>
            </w:r>
          </w:p>
        </w:tc>
        <w:tc>
          <w:tcPr>
            <w:tcW w:w="1919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BE9FE2B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14(25%)</w:t>
            </w:r>
          </w:p>
        </w:tc>
        <w:tc>
          <w:tcPr>
            <w:tcW w:w="191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2AC86F25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19(34%)</w:t>
            </w:r>
          </w:p>
        </w:tc>
        <w:tc>
          <w:tcPr>
            <w:tcW w:w="1919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65CA8C5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8(30%)</w:t>
            </w:r>
          </w:p>
        </w:tc>
        <w:tc>
          <w:tcPr>
            <w:tcW w:w="0" w:type="auto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24FD3648" w14:textId="6454F774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0.171</w:t>
            </w:r>
          </w:p>
        </w:tc>
      </w:tr>
      <w:tr w:rsidR="00A23BEB" w:rsidRPr="005E3785" w14:paraId="56BCB03B" w14:textId="21183EDA" w:rsidTr="00A23BEB">
        <w:trPr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376C609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C2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5E983B08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0(0%)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11D941A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0(0%)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6C75607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3(5%)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83C274F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5(19%)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A2FEABE" w14:textId="2D230FD9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0.218</w:t>
            </w:r>
          </w:p>
        </w:tc>
      </w:tr>
      <w:tr w:rsidR="00A23BEB" w:rsidRPr="005E3785" w14:paraId="387CBF72" w14:textId="5B4D41AE" w:rsidTr="00A23BEB">
        <w:trPr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FC1998F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RAAS blocker use at or prior to biopsy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12CB96C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10(37%)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BD2401A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18(33%)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BF1CD16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31(55%)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26557BD7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14(52 %)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DDD9511" w14:textId="5268694D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0.073</w:t>
            </w:r>
          </w:p>
        </w:tc>
      </w:tr>
      <w:tr w:rsidR="00A23BEB" w:rsidRPr="005E3785" w14:paraId="04E17CCB" w14:textId="78AC7361" w:rsidTr="00A23BEB">
        <w:trPr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24C9582D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Immunosuppression use at or prior to biopsy 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5B486F11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1(4%)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4D9CC46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0(0%)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27E5EE4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2(4%)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50B12EA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1(4%)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0AD35803" w14:textId="614070FB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0.443</w:t>
            </w:r>
          </w:p>
        </w:tc>
      </w:tr>
      <w:tr w:rsidR="00A23BEB" w:rsidRPr="005E3785" w14:paraId="6C1C51CF" w14:textId="68E423A9" w:rsidTr="00A23BEB">
        <w:trPr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597D2CCB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Primary outcome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22C58AA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A524154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70A12FF8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72BA31FB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1338E98E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</w:tc>
      </w:tr>
      <w:tr w:rsidR="00A23BEB" w:rsidRPr="005E3785" w14:paraId="16E9C388" w14:textId="0964BA4A" w:rsidTr="00A23BEB">
        <w:trPr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57B5422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50% decline in eGFR 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7575F6A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1(4%)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2DF42ECA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9(16%)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BB3C797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6(11%)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0AFC94EB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9(33%)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84B6A38" w14:textId="1E340E25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0.014</w:t>
            </w:r>
          </w:p>
        </w:tc>
      </w:tr>
      <w:tr w:rsidR="00A23BEB" w:rsidRPr="005E3785" w14:paraId="3BD19611" w14:textId="0036CF2C" w:rsidTr="00A23BEB">
        <w:trPr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20FEE8D0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Kidney failure 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6E363413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0(0%)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078A5CE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4(7%)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1F7D8EB4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7(13%)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2ED85214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11(41%)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1B682F4" w14:textId="162A7A90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＜</w:t>
            </w: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0.001</w:t>
            </w:r>
          </w:p>
        </w:tc>
      </w:tr>
      <w:tr w:rsidR="00A23BEB" w:rsidRPr="005E3785" w14:paraId="740A9B35" w14:textId="61CABEC7" w:rsidTr="00A23BEB">
        <w:trPr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7276EAFB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Total primary outcome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57219319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1(4%)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3E14FFEC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11(20%)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46AAD268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11(20%)</w:t>
            </w:r>
          </w:p>
        </w:tc>
        <w:tc>
          <w:tcPr>
            <w:tcW w:w="1919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49" w:type="dxa"/>
              <w:left w:w="74" w:type="dxa"/>
              <w:bottom w:w="49" w:type="dxa"/>
              <w:right w:w="74" w:type="dxa"/>
            </w:tcMar>
          </w:tcPr>
          <w:p w14:paraId="2256B92C" w14:textId="77777777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/>
                <w:color w:val="000000"/>
                <w:sz w:val="20"/>
                <w:szCs w:val="20"/>
              </w:rPr>
              <w:t>12(40%)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</w:tcPr>
          <w:p w14:paraId="3A05D559" w14:textId="61B6AB43" w:rsidR="00A23BEB" w:rsidRPr="005E3785" w:rsidRDefault="00A23BEB" w:rsidP="00A23BEB">
            <w:pPr>
              <w:jc w:val="left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5E3785">
              <w:rPr>
                <w:rFonts w:ascii="Arial" w:eastAsiaTheme="majorEastAsia" w:hAnsi="Arial" w:cs="Arial" w:hint="eastAsia"/>
                <w:color w:val="000000"/>
                <w:sz w:val="20"/>
                <w:szCs w:val="20"/>
              </w:rPr>
              <w:t>0.003</w:t>
            </w:r>
          </w:p>
        </w:tc>
      </w:tr>
    </w:tbl>
    <w:p w14:paraId="416605DE" w14:textId="1694A844" w:rsidR="00A23BEB" w:rsidRPr="005E3785" w:rsidRDefault="00A23BEB" w:rsidP="00A23BEB">
      <w:pPr>
        <w:spacing w:beforeLines="50" w:before="156" w:afterLines="50" w:after="156" w:line="480" w:lineRule="auto"/>
        <w:jc w:val="left"/>
        <w:rPr>
          <w:rFonts w:ascii="Arial" w:eastAsiaTheme="majorEastAsia" w:hAnsi="Arial" w:cs="Arial"/>
          <w:color w:val="000000"/>
          <w:sz w:val="20"/>
          <w:szCs w:val="20"/>
        </w:rPr>
        <w:sectPr w:rsidR="00A23BEB" w:rsidRPr="005E3785" w:rsidSect="00E842D1">
          <w:pgSz w:w="16838" w:h="11906" w:orient="landscape"/>
          <w:pgMar w:top="1701" w:right="1701" w:bottom="1701" w:left="1701" w:header="851" w:footer="992" w:gutter="0"/>
          <w:cols w:space="0"/>
          <w:docGrid w:type="lines" w:linePitch="312"/>
        </w:sectPr>
      </w:pPr>
      <w:r w:rsidRPr="005E3785">
        <w:rPr>
          <w:rFonts w:ascii="Arial" w:eastAsiaTheme="majorEastAsia" w:hAnsi="Arial" w:cs="Arial"/>
          <w:color w:val="000000"/>
          <w:sz w:val="20"/>
          <w:szCs w:val="20"/>
        </w:rPr>
        <w:t>Notes: Risk groups were based on percentiles of the linear predictor (low risk: &lt;16th, intermediate risk: 16th-50th, higher risk: 50th-84th, highest risk: &gt;84</w:t>
      </w:r>
      <w:r w:rsidRPr="005E3785">
        <w:rPr>
          <w:rFonts w:ascii="Arial" w:eastAsiaTheme="majorEastAsia" w:hAnsi="Arial" w:cs="Arial"/>
          <w:color w:val="000000"/>
          <w:sz w:val="20"/>
          <w:szCs w:val="20"/>
          <w:vertAlign w:val="superscript"/>
        </w:rPr>
        <w:t>th</w:t>
      </w:r>
      <w:r w:rsidRPr="005E3785">
        <w:rPr>
          <w:rFonts w:ascii="Arial" w:eastAsiaTheme="majorEastAsia" w:hAnsi="Arial" w:cs="Arial"/>
          <w:color w:val="000000"/>
          <w:sz w:val="20"/>
          <w:szCs w:val="20"/>
        </w:rPr>
        <w:t>). The primary outcome was a combined event that included either a permanent &gt;50% reduction in eGFR or kidney failure (eGFR &lt;15 ml/min/1.73 m</w:t>
      </w:r>
      <w:r w:rsidRPr="005E3785">
        <w:rPr>
          <w:rFonts w:ascii="Arial" w:eastAsiaTheme="majorEastAsia" w:hAnsi="Arial" w:cs="Arial"/>
          <w:color w:val="000000"/>
          <w:sz w:val="20"/>
          <w:szCs w:val="20"/>
          <w:vertAlign w:val="superscript"/>
        </w:rPr>
        <w:t>2</w:t>
      </w:r>
      <w:r w:rsidRPr="005E3785">
        <w:rPr>
          <w:rFonts w:ascii="Arial" w:eastAsiaTheme="majorEastAsia" w:hAnsi="Arial" w:cs="Arial"/>
          <w:color w:val="000000"/>
          <w:sz w:val="20"/>
          <w:szCs w:val="20"/>
        </w:rPr>
        <w:t xml:space="preserve"> or kidney replacement therapy), whichever occurred first. Abbreviations: IQR, interquartile range; eGFR, estimated glomerular filtration rate; MEST, mesangial (M), endocapillary (E) hypercellularity, segmental sclerosis (S), and interstitial fibrosis/tubular atrophy (T); RAAS, renin-angiotensin-aldosterone system blocker</w:t>
      </w:r>
    </w:p>
    <w:p w14:paraId="62120F37" w14:textId="03D4BABE" w:rsidR="00A23BEB" w:rsidRPr="005E3785" w:rsidRDefault="00A23BEB" w:rsidP="00A23BEB">
      <w:pPr>
        <w:pStyle w:val="Caption"/>
        <w:spacing w:beforeLines="50" w:before="156" w:afterLines="50" w:after="156" w:line="480" w:lineRule="auto"/>
        <w:jc w:val="left"/>
        <w:rPr>
          <w:color w:val="000000"/>
        </w:rPr>
      </w:pPr>
      <w:r w:rsidRPr="005E3785">
        <w:rPr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CEE923" wp14:editId="628840F8">
                <wp:simplePos x="0" y="0"/>
                <wp:positionH relativeFrom="column">
                  <wp:posOffset>81915</wp:posOffset>
                </wp:positionH>
                <wp:positionV relativeFrom="paragraph">
                  <wp:posOffset>3955415</wp:posOffset>
                </wp:positionV>
                <wp:extent cx="5035550" cy="635"/>
                <wp:effectExtent l="0" t="0" r="0" b="7620"/>
                <wp:wrapTopAndBottom/>
                <wp:docPr id="952037905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55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780B39" w14:textId="68F0C599" w:rsidR="00A23BEB" w:rsidRPr="00A23BEB" w:rsidRDefault="00A23BEB" w:rsidP="00A23BEB">
                            <w:pPr>
                              <w:pStyle w:val="Caption"/>
                              <w:rPr>
                                <w:rFonts w:ascii="Arial" w:hAnsi="Arial" w:cs="Arial"/>
                              </w:rPr>
                            </w:pPr>
                            <w:r w:rsidRPr="00A23BEB">
                              <w:rPr>
                                <w:rFonts w:ascii="Arial" w:eastAsiaTheme="minorEastAsia" w:hAnsi="Arial" w:cs="Arial"/>
                                <w:b/>
                                <w:bCs/>
                              </w:rPr>
                              <w:t xml:space="preserve">Supplemental Figure </w:t>
                            </w:r>
                            <w:r w:rsidRPr="00A23BEB">
                              <w:rPr>
                                <w:rFonts w:ascii="Arial" w:eastAsiaTheme="minorEastAsia" w:hAnsi="Arial" w:cs="Arial"/>
                                <w:b/>
                                <w:bCs/>
                              </w:rPr>
                              <w:fldChar w:fldCharType="begin"/>
                            </w:r>
                            <w:r w:rsidRPr="00A23BEB">
                              <w:rPr>
                                <w:rFonts w:ascii="Arial" w:eastAsiaTheme="minorEastAsia" w:hAnsi="Arial" w:cs="Arial"/>
                                <w:b/>
                                <w:bCs/>
                              </w:rPr>
                              <w:instrText xml:space="preserve"> SEQ Supplemental_Figure \* ARABIC </w:instrText>
                            </w:r>
                            <w:r w:rsidRPr="00A23BEB">
                              <w:rPr>
                                <w:rFonts w:ascii="Arial" w:eastAsiaTheme="minorEastAsia" w:hAnsi="Arial" w:cs="Arial"/>
                                <w:b/>
                                <w:bCs/>
                              </w:rPr>
                              <w:fldChar w:fldCharType="separate"/>
                            </w:r>
                            <w:r w:rsidRPr="00A23BEB">
                              <w:rPr>
                                <w:rFonts w:ascii="Arial" w:eastAsiaTheme="minorEastAsia" w:hAnsi="Arial" w:cs="Arial"/>
                                <w:b/>
                                <w:bCs/>
                              </w:rPr>
                              <w:t>1</w:t>
                            </w:r>
                            <w:r w:rsidRPr="00A23BEB">
                              <w:rPr>
                                <w:rFonts w:ascii="Arial" w:eastAsiaTheme="minorEastAsia" w:hAnsi="Arial" w:cs="Arial"/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  <w:r w:rsidRPr="00A23BEB">
                              <w:t xml:space="preserve"> </w:t>
                            </w:r>
                            <w:r w:rsidRPr="00A23BEB">
                              <w:rPr>
                                <w:rFonts w:ascii="Arial" w:hAnsi="Arial" w:cs="Arial"/>
                              </w:rPr>
                              <w:t>Kaplan-Meier curves duration 10-year follow-up.</w:t>
                            </w:r>
                          </w:p>
                          <w:p w14:paraId="7A8FE256" w14:textId="18CE730D" w:rsidR="00A23BEB" w:rsidRDefault="00A23BEB" w:rsidP="00A23BEB">
                            <w:pPr>
                              <w:pStyle w:val="Caption"/>
                              <w:rPr>
                                <w:rFonts w:ascii="Arial" w:hAnsi="Arial" w:cs="Arial"/>
                              </w:rPr>
                            </w:pPr>
                            <w:r w:rsidRPr="00A23BEB">
                              <w:rPr>
                                <w:rFonts w:ascii="Arial" w:hAnsi="Arial" w:cs="Arial"/>
                              </w:rPr>
                              <w:t>(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a</w:t>
                            </w:r>
                            <w:r w:rsidRPr="00A23BEB">
                              <w:rPr>
                                <w:rFonts w:ascii="Arial" w:hAnsi="Arial" w:cs="Arial"/>
                              </w:rPr>
                              <w:t>) and (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b</w:t>
                            </w:r>
                            <w:r w:rsidRPr="00A23BEB">
                              <w:rPr>
                                <w:rFonts w:ascii="Arial" w:hAnsi="Arial" w:cs="Arial"/>
                              </w:rPr>
                              <w:t>) respectively show the Kaplan-Meier curves of primary outcome in 4 risk groups distinguished by the Full model with race and Full model without race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 xml:space="preserve">. </w:t>
                            </w:r>
                            <w:r w:rsidRPr="00A23BEB">
                              <w:rPr>
                                <w:rFonts w:ascii="Arial" w:hAnsi="Arial" w:cs="Arial"/>
                              </w:rPr>
                              <w:t xml:space="preserve">After a follow-up period of up to 10 years, the well-separated survival curves of the different risk groups, particularly the low and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inter</w:t>
                            </w:r>
                            <w:r w:rsidRPr="00A23BEB">
                              <w:rPr>
                                <w:rFonts w:ascii="Arial" w:hAnsi="Arial" w:cs="Arial"/>
                              </w:rPr>
                              <w:t>medi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 xml:space="preserve">ate </w:t>
                            </w:r>
                            <w:r w:rsidRPr="00A23BEB">
                              <w:rPr>
                                <w:rFonts w:ascii="Arial" w:hAnsi="Arial" w:cs="Arial"/>
                              </w:rPr>
                              <w:t>risk groups, demonstrate the good discriminative ability of both models</w:t>
                            </w:r>
                            <w:r w:rsidRPr="00A23BEB">
                              <w:t xml:space="preserve"> </w:t>
                            </w:r>
                            <w:r w:rsidRPr="00A23BEB">
                              <w:rPr>
                                <w:rFonts w:ascii="Arial" w:hAnsi="Arial" w:cs="Arial"/>
                              </w:rPr>
                              <w:t xml:space="preserve">The groups were defined as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&lt;</w:t>
                            </w:r>
                            <w:r w:rsidRPr="00A23BEB">
                              <w:rPr>
                                <w:rFonts w:ascii="Arial" w:hAnsi="Arial" w:cs="Arial"/>
                              </w:rPr>
                              <w:t>16th (low risk), 16th -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 xml:space="preserve"> </w:t>
                            </w:r>
                            <w:r w:rsidRPr="00A23BEB">
                              <w:rPr>
                                <w:rFonts w:ascii="Arial" w:hAnsi="Arial" w:cs="Arial"/>
                              </w:rPr>
                              <w:t>50th (intermediate risk), 50th -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 xml:space="preserve"> </w:t>
                            </w:r>
                            <w:r w:rsidRPr="00A23BEB">
                              <w:rPr>
                                <w:rFonts w:ascii="Arial" w:hAnsi="Arial" w:cs="Arial"/>
                              </w:rPr>
                              <w:t xml:space="preserve">84th (higher risk), and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&gt;</w:t>
                            </w:r>
                            <w:r w:rsidRPr="00A23BEB">
                              <w:rPr>
                                <w:rFonts w:ascii="Arial" w:hAnsi="Arial" w:cs="Arial"/>
                              </w:rPr>
                              <w:t>84th (the highest risk) percentiles of the linear predictor from the full model without and with race, respectively.</w:t>
                            </w:r>
                          </w:p>
                          <w:p w14:paraId="37240C49" w14:textId="77777777" w:rsidR="00A23BEB" w:rsidRPr="00A23BEB" w:rsidRDefault="00A23BEB" w:rsidP="00A23BE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CEE923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6.45pt;margin-top:311.45pt;width:396.5pt;height: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" stroked="f">
                <v:textbox style="mso-fit-shape-to-text:t" inset="0,0,0,0">
                  <w:txbxContent>
                    <w:p w14:paraId="5F780B39" w14:textId="68F0C599" w:rsidR="00A23BEB" w:rsidRPr="00A23BEB" w:rsidRDefault="00A23BEB" w:rsidP="00A23BEB">
                      <w:pPr>
                        <w:pStyle w:val="Caption"/>
                        <w:rPr>
                          <w:rFonts w:ascii="Arial" w:hAnsi="Arial" w:cs="Arial"/>
                        </w:rPr>
                      </w:pPr>
                      <w:r w:rsidRPr="00A23BEB">
                        <w:rPr>
                          <w:rFonts w:ascii="Arial" w:eastAsiaTheme="minorEastAsia" w:hAnsi="Arial" w:cs="Arial"/>
                          <w:b/>
                          <w:bCs/>
                        </w:rPr>
                        <w:t xml:space="preserve">Supplemental Figure </w:t>
                      </w:r>
                      <w:r w:rsidRPr="00A23BEB">
                        <w:rPr>
                          <w:rFonts w:ascii="Arial" w:eastAsiaTheme="minorEastAsia" w:hAnsi="Arial" w:cs="Arial"/>
                          <w:b/>
                          <w:bCs/>
                        </w:rPr>
                        <w:fldChar w:fldCharType="begin"/>
                      </w:r>
                      <w:r w:rsidRPr="00A23BEB">
                        <w:rPr>
                          <w:rFonts w:ascii="Arial" w:eastAsiaTheme="minorEastAsia" w:hAnsi="Arial" w:cs="Arial"/>
                          <w:b/>
                          <w:bCs/>
                        </w:rPr>
                        <w:instrText xml:space="preserve"> SEQ Supplemental_Figure \* ARABIC </w:instrText>
                      </w:r>
                      <w:r w:rsidRPr="00A23BEB">
                        <w:rPr>
                          <w:rFonts w:ascii="Arial" w:eastAsiaTheme="minorEastAsia" w:hAnsi="Arial" w:cs="Arial"/>
                          <w:b/>
                          <w:bCs/>
                        </w:rPr>
                        <w:fldChar w:fldCharType="separate"/>
                      </w:r>
                      <w:r w:rsidRPr="00A23BEB">
                        <w:rPr>
                          <w:rFonts w:ascii="Arial" w:eastAsiaTheme="minorEastAsia" w:hAnsi="Arial" w:cs="Arial"/>
                          <w:b/>
                          <w:bCs/>
                        </w:rPr>
                        <w:t>1</w:t>
                      </w:r>
                      <w:r w:rsidRPr="00A23BEB">
                        <w:rPr>
                          <w:rFonts w:ascii="Arial" w:eastAsiaTheme="minorEastAsia" w:hAnsi="Arial" w:cs="Arial"/>
                          <w:b/>
                          <w:bCs/>
                        </w:rPr>
                        <w:fldChar w:fldCharType="end"/>
                      </w:r>
                      <w:r>
                        <w:rPr>
                          <w:rFonts w:hint="eastAsia"/>
                        </w:rPr>
                        <w:t>:</w:t>
                      </w:r>
                      <w:r w:rsidRPr="00A23BEB">
                        <w:t xml:space="preserve"> </w:t>
                      </w:r>
                      <w:r w:rsidRPr="00A23BEB">
                        <w:rPr>
                          <w:rFonts w:ascii="Arial" w:hAnsi="Arial" w:cs="Arial"/>
                        </w:rPr>
                        <w:t>Kaplan-Meier curves duration 10-year follow-up.</w:t>
                      </w:r>
                    </w:p>
                    <w:p w14:paraId="7A8FE256" w14:textId="18CE730D" w:rsidR="00A23BEB" w:rsidRDefault="00A23BEB" w:rsidP="00A23BEB">
                      <w:pPr>
                        <w:pStyle w:val="Caption"/>
                        <w:rPr>
                          <w:rFonts w:ascii="Arial" w:hAnsi="Arial" w:cs="Arial"/>
                        </w:rPr>
                      </w:pPr>
                      <w:r w:rsidRPr="00A23BEB">
                        <w:rPr>
                          <w:rFonts w:ascii="Arial" w:hAnsi="Arial" w:cs="Arial"/>
                        </w:rPr>
                        <w:t>(</w:t>
                      </w:r>
                      <w:r>
                        <w:rPr>
                          <w:rFonts w:ascii="Arial" w:hAnsi="Arial" w:cs="Arial" w:hint="eastAsia"/>
                        </w:rPr>
                        <w:t>a</w:t>
                      </w:r>
                      <w:r w:rsidRPr="00A23BEB">
                        <w:rPr>
                          <w:rFonts w:ascii="Arial" w:hAnsi="Arial" w:cs="Arial"/>
                        </w:rPr>
                        <w:t>) and (</w:t>
                      </w:r>
                      <w:r>
                        <w:rPr>
                          <w:rFonts w:ascii="Arial" w:hAnsi="Arial" w:cs="Arial" w:hint="eastAsia"/>
                        </w:rPr>
                        <w:t>b</w:t>
                      </w:r>
                      <w:r w:rsidRPr="00A23BEB">
                        <w:rPr>
                          <w:rFonts w:ascii="Arial" w:hAnsi="Arial" w:cs="Arial"/>
                        </w:rPr>
                        <w:t>) respectively show the Kaplan-Meier curves of primary outcome in 4 risk groups distinguished by the Full model with race and Full model without race</w:t>
                      </w:r>
                      <w:r>
                        <w:rPr>
                          <w:rFonts w:ascii="Arial" w:hAnsi="Arial" w:cs="Arial" w:hint="eastAsia"/>
                        </w:rPr>
                        <w:t xml:space="preserve">. </w:t>
                      </w:r>
                      <w:r w:rsidRPr="00A23BEB">
                        <w:rPr>
                          <w:rFonts w:ascii="Arial" w:hAnsi="Arial" w:cs="Arial"/>
                        </w:rPr>
                        <w:t xml:space="preserve">After a follow-up period of up to 10 years, the well-separated survival curves of the different risk groups, particularly the low and </w:t>
                      </w:r>
                      <w:r>
                        <w:rPr>
                          <w:rFonts w:ascii="Arial" w:hAnsi="Arial" w:cs="Arial" w:hint="eastAsia"/>
                        </w:rPr>
                        <w:t>inter</w:t>
                      </w:r>
                      <w:r w:rsidRPr="00A23BEB">
                        <w:rPr>
                          <w:rFonts w:ascii="Arial" w:hAnsi="Arial" w:cs="Arial"/>
                        </w:rPr>
                        <w:t>medi</w:t>
                      </w:r>
                      <w:r>
                        <w:rPr>
                          <w:rFonts w:ascii="Arial" w:hAnsi="Arial" w:cs="Arial" w:hint="eastAsia"/>
                        </w:rPr>
                        <w:t xml:space="preserve">ate </w:t>
                      </w:r>
                      <w:r w:rsidRPr="00A23BEB">
                        <w:rPr>
                          <w:rFonts w:ascii="Arial" w:hAnsi="Arial" w:cs="Arial"/>
                        </w:rPr>
                        <w:t>risk groups, demonstrate the good discriminative ability of both models</w:t>
                      </w:r>
                      <w:r w:rsidRPr="00A23BEB">
                        <w:t xml:space="preserve"> </w:t>
                      </w:r>
                      <w:r w:rsidRPr="00A23BEB">
                        <w:rPr>
                          <w:rFonts w:ascii="Arial" w:hAnsi="Arial" w:cs="Arial"/>
                        </w:rPr>
                        <w:t xml:space="preserve">The groups were defined as </w:t>
                      </w:r>
                      <w:r>
                        <w:rPr>
                          <w:rFonts w:ascii="Arial" w:hAnsi="Arial" w:cs="Arial" w:hint="eastAsia"/>
                        </w:rPr>
                        <w:t>&lt;</w:t>
                      </w:r>
                      <w:r w:rsidRPr="00A23BEB">
                        <w:rPr>
                          <w:rFonts w:ascii="Arial" w:hAnsi="Arial" w:cs="Arial"/>
                        </w:rPr>
                        <w:t>16th (low risk), 16th -</w:t>
                      </w:r>
                      <w:r>
                        <w:rPr>
                          <w:rFonts w:ascii="Arial" w:hAnsi="Arial" w:cs="Arial" w:hint="eastAsia"/>
                        </w:rPr>
                        <w:t xml:space="preserve"> </w:t>
                      </w:r>
                      <w:r w:rsidRPr="00A23BEB">
                        <w:rPr>
                          <w:rFonts w:ascii="Arial" w:hAnsi="Arial" w:cs="Arial"/>
                        </w:rPr>
                        <w:t>50th (intermediate risk), 50th -</w:t>
                      </w:r>
                      <w:r>
                        <w:rPr>
                          <w:rFonts w:ascii="Arial" w:hAnsi="Arial" w:cs="Arial" w:hint="eastAsia"/>
                        </w:rPr>
                        <w:t xml:space="preserve"> </w:t>
                      </w:r>
                      <w:r w:rsidRPr="00A23BEB">
                        <w:rPr>
                          <w:rFonts w:ascii="Arial" w:hAnsi="Arial" w:cs="Arial"/>
                        </w:rPr>
                        <w:t xml:space="preserve">84th (higher risk), and </w:t>
                      </w:r>
                      <w:r>
                        <w:rPr>
                          <w:rFonts w:ascii="Arial" w:hAnsi="Arial" w:cs="Arial" w:hint="eastAsia"/>
                        </w:rPr>
                        <w:t>&gt;</w:t>
                      </w:r>
                      <w:r w:rsidRPr="00A23BEB">
                        <w:rPr>
                          <w:rFonts w:ascii="Arial" w:hAnsi="Arial" w:cs="Arial"/>
                        </w:rPr>
                        <w:t>84th (the highest risk) percentiles of the linear predictor from the full model without and with race, respectively.</w:t>
                      </w:r>
                    </w:p>
                    <w:p w14:paraId="37240C49" w14:textId="77777777" w:rsidR="00A23BEB" w:rsidRPr="00A23BEB" w:rsidRDefault="00A23BEB" w:rsidP="00A23BEB"/>
                  </w:txbxContent>
                </v:textbox>
                <w10:wrap type="topAndBottom"/>
              </v:shape>
            </w:pict>
          </mc:Fallback>
        </mc:AlternateContent>
      </w:r>
      <w:r w:rsidRPr="005E3785">
        <w:rPr>
          <w:rFonts w:hint="eastAsia"/>
          <w:color w:val="000000"/>
        </w:rPr>
        <w:drawing>
          <wp:anchor distT="0" distB="0" distL="114300" distR="114300" simplePos="0" relativeHeight="251658240" behindDoc="0" locked="0" layoutInCell="1" allowOverlap="1" wp14:anchorId="07742A97" wp14:editId="723ED78B">
            <wp:simplePos x="1079500" y="2921000"/>
            <wp:positionH relativeFrom="column">
              <wp:align>center</wp:align>
            </wp:positionH>
            <wp:positionV relativeFrom="paragraph">
              <wp:posOffset>57785</wp:posOffset>
            </wp:positionV>
            <wp:extent cx="3412800" cy="3646800"/>
            <wp:effectExtent l="0" t="0" r="0" b="0"/>
            <wp:wrapTopAndBottom/>
            <wp:docPr id="9537696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769652" name="图片 95376965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2800" cy="364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23BEB" w:rsidRPr="005E3785" w:rsidSect="00E842D1">
      <w:pgSz w:w="11906" w:h="16838"/>
      <w:pgMar w:top="1701" w:right="1701" w:bottom="170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29B49" w14:textId="77777777" w:rsidR="00E842D1" w:rsidRDefault="00E842D1" w:rsidP="003D3F4D">
      <w:r>
        <w:separator/>
      </w:r>
    </w:p>
  </w:endnote>
  <w:endnote w:type="continuationSeparator" w:id="0">
    <w:p w14:paraId="27F352C1" w14:textId="77777777" w:rsidR="00E842D1" w:rsidRDefault="00E842D1" w:rsidP="003D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0FE5C" w14:textId="3F6953CE" w:rsidR="005E3785" w:rsidRDefault="005E37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C0DE2D" wp14:editId="25E9B8C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8743831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517E00" w14:textId="7D5B9280" w:rsidR="005E3785" w:rsidRPr="005E3785" w:rsidRDefault="005E3785" w:rsidP="005E378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E378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0DE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C517E00" w14:textId="7D5B9280" w:rsidR="005E3785" w:rsidRPr="005E3785" w:rsidRDefault="005E3785" w:rsidP="005E378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E378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55979" w14:textId="3DAEEAA0" w:rsidR="005E3785" w:rsidRDefault="005E37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6BDC08" wp14:editId="4F63F523">
              <wp:simplePos x="1080655" y="678081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4350913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2EA1B7" w14:textId="5EFEED47" w:rsidR="005E3785" w:rsidRPr="005E3785" w:rsidRDefault="005E3785" w:rsidP="005E378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E378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6BDC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32EA1B7" w14:textId="5EFEED47" w:rsidR="005E3785" w:rsidRPr="005E3785" w:rsidRDefault="005E3785" w:rsidP="005E378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E378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0A248" w14:textId="24774302" w:rsidR="005E3785" w:rsidRDefault="005E37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525808" wp14:editId="08FD7A6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6651811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0D01D8" w14:textId="1C0CAD36" w:rsidR="005E3785" w:rsidRPr="005E3785" w:rsidRDefault="005E3785" w:rsidP="005E378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E378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258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60D01D8" w14:textId="1C0CAD36" w:rsidR="005E3785" w:rsidRPr="005E3785" w:rsidRDefault="005E3785" w:rsidP="005E378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E378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7B237" w14:textId="77777777" w:rsidR="00E842D1" w:rsidRDefault="00E842D1" w:rsidP="003D3F4D">
      <w:r>
        <w:separator/>
      </w:r>
    </w:p>
  </w:footnote>
  <w:footnote w:type="continuationSeparator" w:id="0">
    <w:p w14:paraId="65F131F8" w14:textId="77777777" w:rsidR="00E842D1" w:rsidRDefault="00E842D1" w:rsidP="003D3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hideSpellingErrors/>
  <w:hideGrammaticalErrors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xMjQ0sDAzNjK1NDVU0lEKTi0uzszPAykwqQUAV8eIJCwAAAA="/>
    <w:docVar w:name="commondata" w:val="eyJoZGlkIjoiOWUzZGVmZTI3ZGZkZGJhMWY1ZjZkMTRiZTIxY2E2NzIifQ=="/>
  </w:docVars>
  <w:rsids>
    <w:rsidRoot w:val="000B4C79"/>
    <w:rsid w:val="00051658"/>
    <w:rsid w:val="000B4C79"/>
    <w:rsid w:val="00102A90"/>
    <w:rsid w:val="001C719B"/>
    <w:rsid w:val="002C2EC0"/>
    <w:rsid w:val="002E590D"/>
    <w:rsid w:val="003607B0"/>
    <w:rsid w:val="003717F1"/>
    <w:rsid w:val="003C59F4"/>
    <w:rsid w:val="003D3F4D"/>
    <w:rsid w:val="004A77CF"/>
    <w:rsid w:val="00533A9F"/>
    <w:rsid w:val="00541C17"/>
    <w:rsid w:val="005E3785"/>
    <w:rsid w:val="00611658"/>
    <w:rsid w:val="006178FE"/>
    <w:rsid w:val="007249EB"/>
    <w:rsid w:val="008B7D25"/>
    <w:rsid w:val="00A23BEB"/>
    <w:rsid w:val="00B053DE"/>
    <w:rsid w:val="00B06D05"/>
    <w:rsid w:val="00B33DEC"/>
    <w:rsid w:val="00B639CE"/>
    <w:rsid w:val="00C1759F"/>
    <w:rsid w:val="00CC4A20"/>
    <w:rsid w:val="00CC59FE"/>
    <w:rsid w:val="00D70B06"/>
    <w:rsid w:val="00E71053"/>
    <w:rsid w:val="00E842D1"/>
    <w:rsid w:val="00F107AC"/>
    <w:rsid w:val="00FD4396"/>
    <w:rsid w:val="00FE00EA"/>
    <w:rsid w:val="0D4E6F75"/>
    <w:rsid w:val="7B70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B01E755"/>
  <w15:docId w15:val="{773D8989-1A03-4B8F-8FA4-4B81BBD0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Pr>
      <w:rFonts w:asciiTheme="majorHAnsi" w:eastAsia="SimHei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3F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D3F4D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D3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D3F4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028F1-D9A3-41B0-A19B-FB8B439F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1478</Words>
  <Characters>8429</Characters>
  <Application>Microsoft Office Word</Application>
  <DocSecurity>0</DocSecurity>
  <Lines>70</Lines>
  <Paragraphs>19</Paragraphs>
  <ScaleCrop>false</ScaleCrop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秋月 张</dc:creator>
  <cp:lastModifiedBy>Spence, Oliver</cp:lastModifiedBy>
  <cp:revision>2</cp:revision>
  <dcterms:created xsi:type="dcterms:W3CDTF">2024-04-11T00:58:00Z</dcterms:created>
  <dcterms:modified xsi:type="dcterms:W3CDTF">2024-04-11T00:58:00Z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95A9656BD5DB4839B23AE5F8AEB76113_12</vt:lpwstr>
  </property>
  <property fmtid="{D5CDD505-2E9C-101B-9397-08002B2CF9AE}" pid="4" name="ClassificationContentMarkingFooterShapeIds">
    <vt:lpwstr>5d5f2b61,58a881ed,e83a791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2024-04-11T00:58:42Z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0e2e457d-09b8-4f44-9762-c2241d687e13</vt:lpwstr>
  </property>
  <property fmtid="{D5CDD505-2E9C-101B-9397-08002B2CF9AE}" pid="13" name="MSIP_Label_2bbab825-a111-45e4-86a1-18cee0005896_ContentBits">
    <vt:lpwstr>2</vt:lpwstr>
  </property>
</Properties>
</file>