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37D1" w14:textId="0FAEED32" w:rsidR="00D04BCF" w:rsidRPr="003B40E6" w:rsidRDefault="00BB2D2A" w:rsidP="005C2D1A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Supplementary </w:t>
      </w:r>
      <w:r w:rsidR="000B4371">
        <w:rPr>
          <w:sz w:val="36"/>
          <w:szCs w:val="36"/>
        </w:rPr>
        <w:t>Appendix</w:t>
      </w:r>
    </w:p>
    <w:p w14:paraId="29411C5A" w14:textId="77777777" w:rsidR="005001AC" w:rsidRDefault="005001AC" w:rsidP="00266D36">
      <w:pPr>
        <w:spacing w:line="276" w:lineRule="auto"/>
      </w:pPr>
    </w:p>
    <w:p w14:paraId="10B4110D" w14:textId="62B7B7F4" w:rsidR="00D41B24" w:rsidRDefault="000507D1" w:rsidP="00D41B24">
      <w:pPr>
        <w:spacing w:line="360" w:lineRule="auto"/>
      </w:pPr>
      <w:bookmarkStart w:id="0" w:name="_Hlk88129378"/>
      <w:r>
        <w:rPr>
          <w:b/>
          <w:bCs/>
          <w:color w:val="000000"/>
        </w:rPr>
        <w:t>HMGB1 expression levels correlate with response to immunotherapy in non-small cell lung cancer</w:t>
      </w:r>
      <w:r>
        <w:rPr>
          <w:b/>
          <w:bCs/>
          <w:color w:val="000000"/>
        </w:rPr>
        <w:t xml:space="preserve"> </w:t>
      </w:r>
      <w:proofErr w:type="gramStart"/>
      <w:r w:rsidR="00D41B24" w:rsidRPr="009500A6">
        <w:rPr>
          <w:b/>
          <w:bCs/>
          <w:shd w:val="clear" w:color="auto" w:fill="FFFFFF"/>
        </w:rPr>
        <w:t>levels</w:t>
      </w:r>
      <w:proofErr w:type="gramEnd"/>
      <w:r w:rsidR="00D41B24" w:rsidRPr="009500A6">
        <w:rPr>
          <w:b/>
          <w:bCs/>
          <w:shd w:val="clear" w:color="auto" w:fill="FFFFFF"/>
        </w:rPr>
        <w:t xml:space="preserve"> </w:t>
      </w:r>
    </w:p>
    <w:bookmarkEnd w:id="0"/>
    <w:p w14:paraId="3DD2B5A0" w14:textId="745A8849" w:rsidR="000507D1" w:rsidRDefault="000507D1" w:rsidP="000507D1">
      <w:pPr>
        <w:spacing w:line="360" w:lineRule="auto"/>
      </w:pPr>
      <w:r w:rsidRPr="001E245D">
        <w:t>Maria González-Cao</w:t>
      </w:r>
      <w:r w:rsidRPr="001E245D">
        <w:rPr>
          <w:vertAlign w:val="superscript"/>
        </w:rPr>
        <w:t>1</w:t>
      </w:r>
      <w:r w:rsidRPr="001E245D">
        <w:t xml:space="preserve">, </w:t>
      </w:r>
      <w:proofErr w:type="spellStart"/>
      <w:r w:rsidRPr="001E245D">
        <w:t>Xueting</w:t>
      </w:r>
      <w:proofErr w:type="spellEnd"/>
      <w:r w:rsidRPr="001E245D">
        <w:t xml:space="preserve"> Cai</w:t>
      </w:r>
      <w:r w:rsidRPr="001E245D">
        <w:rPr>
          <w:vertAlign w:val="superscript"/>
        </w:rPr>
        <w:t>2</w:t>
      </w:r>
      <w:r w:rsidRPr="001E245D">
        <w:t>,</w:t>
      </w:r>
      <w:r w:rsidRPr="001E245D">
        <w:rPr>
          <w:vertAlign w:val="superscript"/>
        </w:rPr>
        <w:t xml:space="preserve"> </w:t>
      </w:r>
      <w:r w:rsidRPr="001E245D">
        <w:t>Jillian Wilhelmina Paulina Bracht</w:t>
      </w:r>
      <w:r w:rsidRPr="001E245D">
        <w:rPr>
          <w:vertAlign w:val="superscript"/>
        </w:rPr>
        <w:t>3</w:t>
      </w:r>
      <w:r w:rsidRPr="001E245D">
        <w:t>, Xuan Han</w:t>
      </w:r>
      <w:r w:rsidRPr="001E245D">
        <w:rPr>
          <w:vertAlign w:val="superscript"/>
        </w:rPr>
        <w:t>2</w:t>
      </w:r>
      <w:r w:rsidRPr="001E245D">
        <w:t>, Yang Yang</w:t>
      </w:r>
      <w:r w:rsidRPr="001E245D">
        <w:rPr>
          <w:vertAlign w:val="superscript"/>
        </w:rPr>
        <w:t>2</w:t>
      </w:r>
      <w:r w:rsidRPr="001E245D">
        <w:t>, Carlos Pedraz-Valdunciel</w:t>
      </w:r>
      <w:r w:rsidRPr="001E245D">
        <w:rPr>
          <w:vertAlign w:val="superscript"/>
        </w:rPr>
        <w:t>4</w:t>
      </w:r>
      <w:r w:rsidRPr="001E245D">
        <w:t>, Teresa Morán</w:t>
      </w:r>
      <w:r w:rsidRPr="001E245D">
        <w:rPr>
          <w:vertAlign w:val="superscript"/>
        </w:rPr>
        <w:t>5</w:t>
      </w:r>
      <w:r w:rsidRPr="001E245D">
        <w:t>, Javier García-Corbacho</w:t>
      </w:r>
      <w:r w:rsidRPr="001E245D">
        <w:rPr>
          <w:vertAlign w:val="superscript"/>
        </w:rPr>
        <w:t>6</w:t>
      </w:r>
      <w:r w:rsidRPr="001E245D">
        <w:t>, Andrés Aguilar</w:t>
      </w:r>
      <w:r w:rsidRPr="001E245D">
        <w:rPr>
          <w:vertAlign w:val="superscript"/>
        </w:rPr>
        <w:t>1</w:t>
      </w:r>
      <w:r w:rsidRPr="001E245D">
        <w:t>, Reyes Bernabé</w:t>
      </w:r>
      <w:r w:rsidRPr="001E245D">
        <w:rPr>
          <w:vertAlign w:val="superscript"/>
        </w:rPr>
        <w:t>7</w:t>
      </w:r>
      <w:r w:rsidRPr="001E245D">
        <w:t xml:space="preserve">, </w:t>
      </w:r>
      <w:r w:rsidRPr="001E245D">
        <w:rPr>
          <w:color w:val="000000" w:themeColor="text1"/>
          <w:lang w:val="pt-BR"/>
        </w:rPr>
        <w:t>Pedro De Marchi</w:t>
      </w:r>
      <w:r w:rsidRPr="001E245D">
        <w:rPr>
          <w:color w:val="000000" w:themeColor="text1"/>
          <w:vertAlign w:val="superscript"/>
          <w:lang w:val="pt-BR"/>
        </w:rPr>
        <w:t>8,9</w:t>
      </w:r>
      <w:r w:rsidRPr="001E245D">
        <w:rPr>
          <w:color w:val="000000" w:themeColor="text1"/>
          <w:lang w:val="pt-BR"/>
        </w:rPr>
        <w:t xml:space="preserve">, Luciane </w:t>
      </w:r>
      <w:proofErr w:type="spellStart"/>
      <w:r w:rsidRPr="001E245D">
        <w:rPr>
          <w:color w:val="000000" w:themeColor="text1"/>
          <w:lang w:val="pt-BR"/>
        </w:rPr>
        <w:t>Sussuchi</w:t>
      </w:r>
      <w:proofErr w:type="spellEnd"/>
      <w:r w:rsidRPr="001E245D">
        <w:rPr>
          <w:color w:val="000000" w:themeColor="text1"/>
          <w:lang w:val="pt-BR"/>
        </w:rPr>
        <w:t xml:space="preserve"> da Silva</w:t>
      </w:r>
      <w:r w:rsidRPr="001E245D">
        <w:rPr>
          <w:color w:val="000000" w:themeColor="text1"/>
          <w:vertAlign w:val="superscript"/>
          <w:lang w:val="pt-BR"/>
        </w:rPr>
        <w:t>10</w:t>
      </w:r>
      <w:r w:rsidRPr="001E245D">
        <w:rPr>
          <w:color w:val="000000" w:themeColor="text1"/>
        </w:rPr>
        <w:t xml:space="preserve">, </w:t>
      </w:r>
      <w:r w:rsidRPr="001E245D">
        <w:rPr>
          <w:color w:val="000000" w:themeColor="text1"/>
          <w:lang w:val="pt-BR"/>
        </w:rPr>
        <w:t>Leticia Ferro Leal</w:t>
      </w:r>
      <w:r w:rsidRPr="001E245D">
        <w:rPr>
          <w:color w:val="000000" w:themeColor="text1"/>
          <w:vertAlign w:val="superscript"/>
          <w:lang w:val="pt-BR"/>
        </w:rPr>
        <w:t>8,9</w:t>
      </w:r>
      <w:r w:rsidRPr="001E245D">
        <w:rPr>
          <w:color w:val="000000" w:themeColor="text1"/>
        </w:rPr>
        <w:t xml:space="preserve">, </w:t>
      </w:r>
      <w:r w:rsidRPr="001E245D">
        <w:rPr>
          <w:color w:val="000000" w:themeColor="text1"/>
          <w:lang w:val="pt-BR"/>
        </w:rPr>
        <w:t>Rui Manuel Reis</w:t>
      </w:r>
      <w:r w:rsidRPr="001E245D">
        <w:rPr>
          <w:color w:val="000000" w:themeColor="text1"/>
          <w:vertAlign w:val="superscript"/>
          <w:lang w:val="pt-BR"/>
        </w:rPr>
        <w:t>10,11</w:t>
      </w:r>
      <w:r w:rsidRPr="001E245D">
        <w:t>, Jordi Codony-Servat</w:t>
      </w:r>
      <w:r w:rsidRPr="001E245D">
        <w:rPr>
          <w:vertAlign w:val="superscript"/>
        </w:rPr>
        <w:t>4</w:t>
      </w:r>
      <w:r w:rsidRPr="001E245D">
        <w:t>, Eloisa Jantus-Lewintre</w:t>
      </w:r>
      <w:r w:rsidRPr="001E245D">
        <w:rPr>
          <w:vertAlign w:val="superscript"/>
        </w:rPr>
        <w:t>12,13,14</w:t>
      </w:r>
      <w:r w:rsidRPr="001E245D">
        <w:t>, Miguel Angel Molina-Vila</w:t>
      </w:r>
      <w:r w:rsidRPr="001E245D">
        <w:rPr>
          <w:vertAlign w:val="superscript"/>
        </w:rPr>
        <w:t>4</w:t>
      </w:r>
      <w:r w:rsidRPr="001E245D">
        <w:t>, Peng Cao</w:t>
      </w:r>
      <w:r w:rsidRPr="001E245D">
        <w:rPr>
          <w:vertAlign w:val="superscript"/>
        </w:rPr>
        <w:t>2,15</w:t>
      </w:r>
      <w:r w:rsidRPr="001E245D">
        <w:t>*, Rafael Rosell1</w:t>
      </w:r>
      <w:r w:rsidRPr="001E245D">
        <w:rPr>
          <w:vertAlign w:val="superscript"/>
        </w:rPr>
        <w:t>1,16,17</w:t>
      </w:r>
      <w:r w:rsidRPr="001E245D">
        <w:t>*</w:t>
      </w:r>
    </w:p>
    <w:p w14:paraId="3FEACCB8" w14:textId="77777777" w:rsidR="000507D1" w:rsidRPr="000507D1" w:rsidRDefault="000507D1" w:rsidP="000507D1">
      <w:pPr>
        <w:spacing w:line="360" w:lineRule="auto"/>
      </w:pPr>
    </w:p>
    <w:p w14:paraId="578E9BB5" w14:textId="77777777" w:rsidR="000507D1" w:rsidRPr="00A967E9" w:rsidRDefault="000507D1" w:rsidP="000507D1">
      <w:pPr>
        <w:spacing w:line="360" w:lineRule="auto"/>
        <w:jc w:val="both"/>
        <w:rPr>
          <w:rFonts w:eastAsia="Times New Roman"/>
          <w:i/>
          <w:iCs/>
          <w:color w:val="000000" w:themeColor="text1"/>
          <w:sz w:val="20"/>
          <w:lang w:val="en-GB" w:eastAsia="en-GB"/>
        </w:rPr>
      </w:pPr>
      <w:r w:rsidRPr="00A967E9">
        <w:rPr>
          <w:i/>
          <w:iCs/>
          <w:sz w:val="20"/>
          <w:vertAlign w:val="superscript"/>
        </w:rPr>
        <w:t>1</w:t>
      </w:r>
      <w:r w:rsidRPr="00A967E9">
        <w:rPr>
          <w:i/>
          <w:iCs/>
          <w:sz w:val="20"/>
        </w:rPr>
        <w:t xml:space="preserve">Translational Cancer Research Unit, Instituto </w:t>
      </w:r>
      <w:proofErr w:type="spellStart"/>
      <w:r w:rsidRPr="00A967E9">
        <w:rPr>
          <w:i/>
          <w:iCs/>
          <w:sz w:val="20"/>
        </w:rPr>
        <w:t>Oncológico</w:t>
      </w:r>
      <w:proofErr w:type="spellEnd"/>
      <w:r w:rsidRPr="00A967E9">
        <w:rPr>
          <w:i/>
          <w:iCs/>
          <w:sz w:val="20"/>
        </w:rPr>
        <w:t xml:space="preserve"> Dr Rosell, </w:t>
      </w:r>
      <w:proofErr w:type="spellStart"/>
      <w:r w:rsidRPr="00A967E9">
        <w:rPr>
          <w:i/>
          <w:iCs/>
          <w:sz w:val="20"/>
        </w:rPr>
        <w:t>Dexeus</w:t>
      </w:r>
      <w:proofErr w:type="spellEnd"/>
      <w:r w:rsidRPr="00A967E9">
        <w:rPr>
          <w:i/>
          <w:iCs/>
          <w:sz w:val="20"/>
        </w:rPr>
        <w:t xml:space="preserve"> University Hospital, Barcelona, Spain; </w:t>
      </w:r>
      <w:r w:rsidRPr="00A967E9">
        <w:rPr>
          <w:i/>
          <w:iCs/>
          <w:sz w:val="20"/>
          <w:vertAlign w:val="superscript"/>
        </w:rPr>
        <w:t>2</w:t>
      </w:r>
      <w:r w:rsidRPr="00A967E9">
        <w:rPr>
          <w:i/>
          <w:iCs/>
          <w:sz w:val="20"/>
        </w:rPr>
        <w:t xml:space="preserve">Integrated Traditional Chinese and Western Medicine Department of Affiliated Hospital, Nanjing University of Chinese Medicine, Nanjing, Jiangsu, China; </w:t>
      </w:r>
      <w:r w:rsidRPr="00A967E9">
        <w:rPr>
          <w:sz w:val="20"/>
          <w:vertAlign w:val="superscript"/>
        </w:rPr>
        <w:t>3</w:t>
      </w:r>
      <w:r w:rsidRPr="00A967E9">
        <w:rPr>
          <w:i/>
          <w:iCs/>
          <w:sz w:val="20"/>
        </w:rPr>
        <w:t xml:space="preserve">Amsterdam University Medical Center (UMC), Amsterdam, The Netherlands; </w:t>
      </w:r>
      <w:r w:rsidRPr="00A967E9">
        <w:rPr>
          <w:i/>
          <w:iCs/>
          <w:sz w:val="20"/>
          <w:vertAlign w:val="superscript"/>
        </w:rPr>
        <w:t>4</w:t>
      </w:r>
      <w:r w:rsidRPr="00A967E9">
        <w:rPr>
          <w:i/>
          <w:iCs/>
          <w:sz w:val="20"/>
        </w:rPr>
        <w:t xml:space="preserve">Laboratory of Oncology, Pangaea Oncology, </w:t>
      </w:r>
      <w:proofErr w:type="spellStart"/>
      <w:r w:rsidRPr="00A967E9">
        <w:rPr>
          <w:i/>
          <w:iCs/>
          <w:sz w:val="20"/>
        </w:rPr>
        <w:t>Quirón</w:t>
      </w:r>
      <w:proofErr w:type="spellEnd"/>
      <w:r w:rsidRPr="00A967E9">
        <w:rPr>
          <w:i/>
          <w:iCs/>
          <w:sz w:val="20"/>
        </w:rPr>
        <w:t xml:space="preserve"> </w:t>
      </w:r>
      <w:proofErr w:type="spellStart"/>
      <w:r w:rsidRPr="00A967E9">
        <w:rPr>
          <w:i/>
          <w:iCs/>
          <w:sz w:val="20"/>
        </w:rPr>
        <w:t>Dexeus</w:t>
      </w:r>
      <w:proofErr w:type="spellEnd"/>
      <w:r w:rsidRPr="00A967E9">
        <w:rPr>
          <w:i/>
          <w:iCs/>
          <w:sz w:val="20"/>
        </w:rPr>
        <w:t xml:space="preserve"> University Hospital, Barcelona, Spain; </w:t>
      </w:r>
      <w:r w:rsidRPr="00A967E9">
        <w:rPr>
          <w:i/>
          <w:iCs/>
          <w:sz w:val="20"/>
          <w:vertAlign w:val="superscript"/>
        </w:rPr>
        <w:t>5</w:t>
      </w:r>
      <w:r w:rsidRPr="00A967E9">
        <w:rPr>
          <w:i/>
          <w:iCs/>
          <w:sz w:val="20"/>
        </w:rPr>
        <w:t xml:space="preserve">Medical Oncology Department, Catalan Institute of Oncology (ICO), Germans Trias </w:t>
      </w:r>
      <w:proofErr w:type="spellStart"/>
      <w:r w:rsidRPr="00A967E9">
        <w:rPr>
          <w:i/>
          <w:iCs/>
          <w:sz w:val="20"/>
        </w:rPr>
        <w:t>i</w:t>
      </w:r>
      <w:proofErr w:type="spellEnd"/>
      <w:r w:rsidRPr="00A967E9">
        <w:rPr>
          <w:i/>
          <w:iCs/>
          <w:sz w:val="20"/>
        </w:rPr>
        <w:t xml:space="preserve"> Pujol Hospital, Badalona, Spain; </w:t>
      </w:r>
      <w:r w:rsidRPr="00A967E9">
        <w:rPr>
          <w:i/>
          <w:iCs/>
          <w:sz w:val="20"/>
          <w:vertAlign w:val="superscript"/>
        </w:rPr>
        <w:t>6</w:t>
      </w:r>
      <w:r w:rsidRPr="00A967E9">
        <w:rPr>
          <w:i/>
          <w:iCs/>
          <w:sz w:val="20"/>
        </w:rPr>
        <w:t xml:space="preserve">Medical Oncology Department (Hospital Clinic)/Translational Genomics and Targeted Therapies in Solid Tumors (IDIBAPs), Barcelona, Spain; </w:t>
      </w:r>
      <w:r w:rsidRPr="00A967E9">
        <w:rPr>
          <w:i/>
          <w:iCs/>
          <w:sz w:val="20"/>
          <w:vertAlign w:val="superscript"/>
        </w:rPr>
        <w:t>7</w:t>
      </w:r>
      <w:r w:rsidRPr="00A967E9">
        <w:rPr>
          <w:i/>
          <w:iCs/>
          <w:sz w:val="20"/>
        </w:rPr>
        <w:t xml:space="preserve">Medical Oncology Department, Hospital Universitario Virgen del </w:t>
      </w:r>
      <w:proofErr w:type="spellStart"/>
      <w:r w:rsidRPr="00A967E9">
        <w:rPr>
          <w:i/>
          <w:iCs/>
          <w:sz w:val="20"/>
        </w:rPr>
        <w:t>Rocío</w:t>
      </w:r>
      <w:proofErr w:type="spellEnd"/>
      <w:r w:rsidRPr="00A967E9">
        <w:rPr>
          <w:i/>
          <w:iCs/>
          <w:sz w:val="20"/>
        </w:rPr>
        <w:t xml:space="preserve">, Sevilla, Spain; </w:t>
      </w:r>
      <w:r w:rsidRPr="00A967E9">
        <w:rPr>
          <w:i/>
          <w:iCs/>
          <w:sz w:val="20"/>
          <w:vertAlign w:val="superscript"/>
        </w:rPr>
        <w:t>8</w:t>
      </w:r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 xml:space="preserve">Molecular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Oncology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 xml:space="preserve">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Research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 xml:space="preserve"> Center; Barretos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Cancer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 xml:space="preserve"> Hospital, Barretos,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Brazil</w:t>
      </w:r>
      <w:proofErr w:type="spellEnd"/>
      <w:r w:rsidRPr="00A967E9">
        <w:rPr>
          <w:i/>
          <w:iCs/>
          <w:sz w:val="20"/>
        </w:rPr>
        <w:t xml:space="preserve">; </w:t>
      </w:r>
      <w:r w:rsidRPr="00A967E9">
        <w:rPr>
          <w:i/>
          <w:iCs/>
          <w:sz w:val="20"/>
          <w:vertAlign w:val="superscript"/>
        </w:rPr>
        <w:t>9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Oncoclinicas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 xml:space="preserve">, Rio de Janeiro,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Brazil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pt-BR" w:eastAsia="en-GB"/>
        </w:rPr>
        <w:t>;</w:t>
      </w:r>
      <w:r w:rsidRPr="00A967E9">
        <w:rPr>
          <w:i/>
          <w:iCs/>
          <w:color w:val="FF0000"/>
          <w:sz w:val="20"/>
          <w:vertAlign w:val="superscript"/>
        </w:rPr>
        <w:t xml:space="preserve"> </w:t>
      </w:r>
      <w:r w:rsidRPr="00A967E9">
        <w:rPr>
          <w:i/>
          <w:iCs/>
          <w:color w:val="000000" w:themeColor="text1"/>
          <w:sz w:val="20"/>
          <w:vertAlign w:val="superscript"/>
        </w:rPr>
        <w:t>10</w:t>
      </w:r>
      <w:r w:rsidRPr="00A967E9">
        <w:rPr>
          <w:rFonts w:eastAsia="Times New Roman"/>
          <w:i/>
          <w:iCs/>
          <w:color w:val="000000" w:themeColor="text1"/>
          <w:sz w:val="20"/>
          <w:lang w:val="en-GB" w:eastAsia="en-GB"/>
        </w:rPr>
        <w:t>Life and Health Sciences Research Institute (ICVS), School of Medicine, University of Minho, Braga, Portugal</w:t>
      </w:r>
      <w:r w:rsidRPr="00A967E9">
        <w:rPr>
          <w:i/>
          <w:iCs/>
          <w:color w:val="000000" w:themeColor="text1"/>
          <w:sz w:val="20"/>
        </w:rPr>
        <w:t xml:space="preserve">; </w:t>
      </w:r>
      <w:r w:rsidRPr="00A967E9">
        <w:rPr>
          <w:i/>
          <w:iCs/>
          <w:color w:val="000000" w:themeColor="text1"/>
          <w:sz w:val="20"/>
          <w:vertAlign w:val="superscript"/>
        </w:rPr>
        <w:t>11</w:t>
      </w:r>
      <w:r w:rsidRPr="00A967E9">
        <w:rPr>
          <w:rFonts w:eastAsia="Times New Roman"/>
          <w:i/>
          <w:iCs/>
          <w:color w:val="000000" w:themeColor="text1"/>
          <w:sz w:val="20"/>
          <w:lang w:val="en-GB" w:eastAsia="en-GB"/>
        </w:rPr>
        <w:t xml:space="preserve">ICVS/3B’s – PT Government Associate Laboratory, Braga/Guimarães, Portugal; </w:t>
      </w:r>
      <w:r w:rsidRPr="00A967E9">
        <w:rPr>
          <w:rFonts w:eastAsia="Times New Roman"/>
          <w:i/>
          <w:iCs/>
          <w:color w:val="000000" w:themeColor="text1"/>
          <w:sz w:val="20"/>
          <w:vertAlign w:val="superscript"/>
          <w:lang w:val="en-GB" w:eastAsia="en-GB"/>
        </w:rPr>
        <w:t>12</w:t>
      </w:r>
      <w:r w:rsidRPr="00A967E9">
        <w:rPr>
          <w:rFonts w:eastAsia="Times New Roman"/>
          <w:i/>
          <w:iCs/>
          <w:color w:val="000000" w:themeColor="text1"/>
          <w:sz w:val="20"/>
          <w:lang w:val="en-GB" w:eastAsia="en-GB"/>
        </w:rPr>
        <w:t xml:space="preserve">Valencian Community Foundation Principe Felipe Research </w:t>
      </w:r>
      <w:proofErr w:type="spellStart"/>
      <w:r w:rsidRPr="00A967E9">
        <w:rPr>
          <w:rFonts w:eastAsia="Times New Roman"/>
          <w:i/>
          <w:iCs/>
          <w:color w:val="000000" w:themeColor="text1"/>
          <w:sz w:val="20"/>
          <w:lang w:val="en-GB" w:eastAsia="en-GB"/>
        </w:rPr>
        <w:t>Center</w:t>
      </w:r>
      <w:proofErr w:type="spellEnd"/>
      <w:r w:rsidRPr="00A967E9">
        <w:rPr>
          <w:rFonts w:eastAsia="Times New Roman"/>
          <w:i/>
          <w:iCs/>
          <w:color w:val="000000" w:themeColor="text1"/>
          <w:sz w:val="20"/>
          <w:lang w:val="en-GB" w:eastAsia="en-GB"/>
        </w:rPr>
        <w:t xml:space="preserve">, Laboratory of Molecular Oncology, </w:t>
      </w:r>
      <w:r w:rsidRPr="00A967E9">
        <w:rPr>
          <w:rFonts w:eastAsia="Times New Roman"/>
          <w:i/>
          <w:iCs/>
          <w:color w:val="000000" w:themeColor="text1"/>
          <w:sz w:val="20"/>
          <w:lang w:eastAsia="en-GB"/>
        </w:rPr>
        <w:t>Valencia, Spain;</w:t>
      </w:r>
      <w:r w:rsidRPr="00A967E9">
        <w:rPr>
          <w:i/>
          <w:iCs/>
          <w:color w:val="000000" w:themeColor="text1"/>
          <w:sz w:val="20"/>
          <w:vertAlign w:val="superscript"/>
        </w:rPr>
        <w:t xml:space="preserve"> 13</w:t>
      </w:r>
      <w:r w:rsidRPr="00A967E9">
        <w:rPr>
          <w:i/>
          <w:iCs/>
          <w:color w:val="000000" w:themeColor="text1"/>
          <w:sz w:val="20"/>
        </w:rPr>
        <w:t xml:space="preserve">Centro de </w:t>
      </w:r>
      <w:proofErr w:type="spellStart"/>
      <w:r w:rsidRPr="00A967E9">
        <w:rPr>
          <w:i/>
          <w:iCs/>
          <w:color w:val="000000" w:themeColor="text1"/>
          <w:sz w:val="20"/>
        </w:rPr>
        <w:t>Investigación</w:t>
      </w:r>
      <w:proofErr w:type="spellEnd"/>
      <w:r w:rsidRPr="00A967E9">
        <w:rPr>
          <w:i/>
          <w:iCs/>
          <w:color w:val="000000" w:themeColor="text1"/>
          <w:sz w:val="20"/>
        </w:rPr>
        <w:t xml:space="preserve"> </w:t>
      </w:r>
      <w:proofErr w:type="spellStart"/>
      <w:r w:rsidRPr="00A967E9">
        <w:rPr>
          <w:i/>
          <w:iCs/>
          <w:color w:val="000000" w:themeColor="text1"/>
          <w:sz w:val="20"/>
        </w:rPr>
        <w:t>Biomédica</w:t>
      </w:r>
      <w:proofErr w:type="spellEnd"/>
      <w:r w:rsidRPr="00A967E9">
        <w:rPr>
          <w:i/>
          <w:iCs/>
          <w:color w:val="000000" w:themeColor="text1"/>
          <w:sz w:val="20"/>
        </w:rPr>
        <w:t xml:space="preserve"> </w:t>
      </w:r>
      <w:proofErr w:type="spellStart"/>
      <w:r w:rsidRPr="00A967E9">
        <w:rPr>
          <w:i/>
          <w:iCs/>
          <w:color w:val="000000" w:themeColor="text1"/>
          <w:sz w:val="20"/>
        </w:rPr>
        <w:t>en</w:t>
      </w:r>
      <w:proofErr w:type="spellEnd"/>
      <w:r w:rsidRPr="00A967E9">
        <w:rPr>
          <w:i/>
          <w:iCs/>
          <w:color w:val="000000" w:themeColor="text1"/>
          <w:sz w:val="20"/>
        </w:rPr>
        <w:t xml:space="preserve"> Red (CIBERONC), Madrid, Spain; </w:t>
      </w:r>
      <w:r w:rsidRPr="00A967E9">
        <w:rPr>
          <w:i/>
          <w:iCs/>
          <w:color w:val="000000" w:themeColor="text1"/>
          <w:sz w:val="20"/>
          <w:vertAlign w:val="superscript"/>
        </w:rPr>
        <w:t>14</w:t>
      </w:r>
      <w:r w:rsidRPr="00A967E9">
        <w:rPr>
          <w:i/>
          <w:iCs/>
          <w:color w:val="000000" w:themeColor="text1"/>
          <w:sz w:val="20"/>
        </w:rPr>
        <w:t xml:space="preserve">Universitat </w:t>
      </w:r>
      <w:proofErr w:type="spellStart"/>
      <w:r w:rsidRPr="00A967E9">
        <w:rPr>
          <w:i/>
          <w:iCs/>
          <w:color w:val="000000" w:themeColor="text1"/>
          <w:sz w:val="20"/>
        </w:rPr>
        <w:t>Politècnica</w:t>
      </w:r>
      <w:proofErr w:type="spellEnd"/>
      <w:r w:rsidRPr="00A967E9">
        <w:rPr>
          <w:i/>
          <w:iCs/>
          <w:color w:val="000000" w:themeColor="text1"/>
          <w:sz w:val="20"/>
        </w:rPr>
        <w:t xml:space="preserve"> de Valencia, Biotechnology Department, Valencia, Spain; </w:t>
      </w:r>
      <w:r w:rsidRPr="00A967E9">
        <w:rPr>
          <w:i/>
          <w:iCs/>
          <w:color w:val="000000" w:themeColor="text1"/>
          <w:sz w:val="20"/>
          <w:vertAlign w:val="superscript"/>
        </w:rPr>
        <w:t>15</w:t>
      </w:r>
      <w:r w:rsidRPr="00A967E9">
        <w:rPr>
          <w:i/>
          <w:iCs/>
          <w:color w:val="000000" w:themeColor="text1"/>
          <w:sz w:val="20"/>
        </w:rPr>
        <w:t xml:space="preserve">College of Pharmacy, Nanjing Univ. of Chinese Medicine, Nanjing, Jiangsu, China; </w:t>
      </w:r>
      <w:r w:rsidRPr="00A967E9">
        <w:rPr>
          <w:rFonts w:eastAsia="Times New Roman"/>
          <w:i/>
          <w:iCs/>
          <w:color w:val="000000" w:themeColor="text1"/>
          <w:sz w:val="20"/>
          <w:vertAlign w:val="superscript"/>
          <w:lang w:eastAsia="en-GB"/>
        </w:rPr>
        <w:t>16</w:t>
      </w:r>
      <w:r w:rsidRPr="00A967E9">
        <w:rPr>
          <w:i/>
          <w:iCs/>
          <w:color w:val="000000" w:themeColor="text1"/>
          <w:sz w:val="20"/>
        </w:rPr>
        <w:t xml:space="preserve">Germans Trias </w:t>
      </w:r>
      <w:proofErr w:type="spellStart"/>
      <w:r w:rsidRPr="00A967E9">
        <w:rPr>
          <w:i/>
          <w:iCs/>
          <w:color w:val="000000" w:themeColor="text1"/>
          <w:sz w:val="20"/>
        </w:rPr>
        <w:t>i</w:t>
      </w:r>
      <w:proofErr w:type="spellEnd"/>
      <w:r w:rsidRPr="00A967E9">
        <w:rPr>
          <w:i/>
          <w:iCs/>
          <w:color w:val="000000" w:themeColor="text1"/>
          <w:sz w:val="20"/>
        </w:rPr>
        <w:t xml:space="preserve"> Pujol Health Sciences Institute and Hospital (IGTP), Badalona, Spain; </w:t>
      </w:r>
      <w:r w:rsidRPr="00A967E9">
        <w:rPr>
          <w:i/>
          <w:iCs/>
          <w:color w:val="000000" w:themeColor="text1"/>
          <w:sz w:val="20"/>
          <w:vertAlign w:val="superscript"/>
        </w:rPr>
        <w:t>17</w:t>
      </w:r>
      <w:r w:rsidRPr="00A967E9">
        <w:rPr>
          <w:i/>
          <w:iCs/>
          <w:color w:val="000000" w:themeColor="text1"/>
          <w:sz w:val="20"/>
        </w:rPr>
        <w:t>Catalan Institute of Oncology, Badalona, Spain</w:t>
      </w:r>
    </w:p>
    <w:p w14:paraId="60297A19" w14:textId="77777777" w:rsidR="004F3F4C" w:rsidRPr="000507D1" w:rsidRDefault="004F3F4C" w:rsidP="005C2D1A">
      <w:pPr>
        <w:rPr>
          <w:szCs w:val="24"/>
          <w:lang w:val="pt-BR"/>
        </w:rPr>
      </w:pPr>
    </w:p>
    <w:p w14:paraId="0EDE6ADF" w14:textId="77777777" w:rsidR="004F3F4C" w:rsidRPr="003127C2" w:rsidRDefault="004F3F4C" w:rsidP="000B4371">
      <w:pPr>
        <w:spacing w:line="360" w:lineRule="auto"/>
        <w:jc w:val="both"/>
        <w:rPr>
          <w:b/>
          <w:bCs/>
        </w:rPr>
      </w:pPr>
      <w:r w:rsidRPr="003127C2">
        <w:rPr>
          <w:b/>
          <w:bCs/>
        </w:rPr>
        <w:t xml:space="preserve">*Co-corresponding authors: </w:t>
      </w:r>
    </w:p>
    <w:p w14:paraId="1FD703A7" w14:textId="5987CC28" w:rsidR="004F3F4C" w:rsidRPr="002A7A81" w:rsidRDefault="004F3F4C" w:rsidP="000B4371">
      <w:pPr>
        <w:spacing w:line="360" w:lineRule="auto"/>
        <w:rPr>
          <w:lang w:val="es-ES"/>
        </w:rPr>
      </w:pPr>
      <w:r w:rsidRPr="003127C2">
        <w:t xml:space="preserve">Rafael Rosell, MD, PhD. </w:t>
      </w:r>
      <w:r w:rsidRPr="000B4371">
        <w:t xml:space="preserve">Laboratory of Molecular Biology, </w:t>
      </w:r>
      <w:r w:rsidR="000B4371" w:rsidRPr="006C6709">
        <w:t>Germans Trias i Pujol Health Sciences Institute and Hospital (IGTP)</w:t>
      </w:r>
      <w:r w:rsidRPr="000B4371">
        <w:t xml:space="preserve">. </w:t>
      </w:r>
      <w:r w:rsidRPr="003127C2">
        <w:rPr>
          <w:lang w:val="es-ES"/>
        </w:rPr>
        <w:t xml:space="preserve">Camí de les </w:t>
      </w:r>
      <w:proofErr w:type="spellStart"/>
      <w:r w:rsidRPr="003127C2">
        <w:rPr>
          <w:lang w:val="es-ES"/>
        </w:rPr>
        <w:t>Escoles</w:t>
      </w:r>
      <w:proofErr w:type="spellEnd"/>
      <w:r w:rsidRPr="003127C2">
        <w:rPr>
          <w:lang w:val="es-ES"/>
        </w:rPr>
        <w:t xml:space="preserve">, s/n, 08916 Badalona, Barcelona, Spain. </w:t>
      </w:r>
      <w:proofErr w:type="spellStart"/>
      <w:r w:rsidRPr="002A7A81">
        <w:rPr>
          <w:lang w:val="es-ES"/>
        </w:rPr>
        <w:t>Phone</w:t>
      </w:r>
      <w:proofErr w:type="spellEnd"/>
      <w:r w:rsidRPr="002A7A81">
        <w:rPr>
          <w:lang w:val="es-ES"/>
        </w:rPr>
        <w:t xml:space="preserve">: +34 930330520; Email: </w:t>
      </w:r>
      <w:hyperlink r:id="rId8" w:history="1">
        <w:r w:rsidRPr="002A7A81">
          <w:rPr>
            <w:rStyle w:val="Hyperlink"/>
            <w:lang w:val="es-ES"/>
          </w:rPr>
          <w:t>rrosell@iconcologia.net</w:t>
        </w:r>
      </w:hyperlink>
      <w:r w:rsidRPr="002A7A81">
        <w:rPr>
          <w:lang w:val="es-ES"/>
        </w:rPr>
        <w:t xml:space="preserve"> </w:t>
      </w:r>
    </w:p>
    <w:p w14:paraId="0C40008C" w14:textId="77777777" w:rsidR="004F3F4C" w:rsidRPr="002A7A81" w:rsidRDefault="004F3F4C" w:rsidP="000B4371">
      <w:pPr>
        <w:spacing w:line="360" w:lineRule="auto"/>
        <w:rPr>
          <w:lang w:val="es-ES"/>
        </w:rPr>
      </w:pPr>
    </w:p>
    <w:p w14:paraId="7CEFAFAE" w14:textId="637EA246" w:rsidR="005C2D1A" w:rsidRDefault="004F3F4C" w:rsidP="00D41B24">
      <w:pPr>
        <w:spacing w:line="360" w:lineRule="auto"/>
        <w:rPr>
          <w:b/>
        </w:rPr>
      </w:pPr>
      <w:r w:rsidRPr="003127C2">
        <w:t>Peng Cao, PhD. College of Pharmacy,</w:t>
      </w:r>
      <w:r w:rsidRPr="003127C2">
        <w:rPr>
          <w:rFonts w:hint="eastAsia"/>
        </w:rPr>
        <w:t xml:space="preserve"> </w:t>
      </w:r>
      <w:r w:rsidRPr="003127C2">
        <w:t>Nanjing University of Chinese Medicine, Nanjing</w:t>
      </w:r>
      <w:r w:rsidRPr="003127C2">
        <w:rPr>
          <w:rFonts w:hint="eastAsia"/>
        </w:rPr>
        <w:t xml:space="preserve"> 210023</w:t>
      </w:r>
      <w:r w:rsidRPr="003127C2">
        <w:t xml:space="preserve">, China. Phone: +86 85608666; Email: </w:t>
      </w:r>
      <w:hyperlink r:id="rId9" w:history="1">
        <w:r w:rsidRPr="003127C2">
          <w:rPr>
            <w:rStyle w:val="Hyperlink"/>
          </w:rPr>
          <w:t>cao_peng@njucm.edu.cn</w:t>
        </w:r>
      </w:hyperlink>
    </w:p>
    <w:p w14:paraId="3CEDBD9E" w14:textId="77777777" w:rsidR="00356947" w:rsidRDefault="00356947" w:rsidP="00E474CA">
      <w:pPr>
        <w:spacing w:before="40" w:after="40" w:line="276" w:lineRule="auto"/>
        <w:rPr>
          <w:b/>
        </w:rPr>
      </w:pPr>
    </w:p>
    <w:p w14:paraId="1F7521BC" w14:textId="77777777" w:rsidR="005E03BE" w:rsidRDefault="005E03BE" w:rsidP="00E474CA">
      <w:pPr>
        <w:spacing w:before="40" w:after="40" w:line="276" w:lineRule="auto"/>
        <w:rPr>
          <w:b/>
        </w:rPr>
      </w:pPr>
    </w:p>
    <w:p w14:paraId="229E2F38" w14:textId="7AE0DC6C" w:rsidR="00E474CA" w:rsidRPr="00EA6243" w:rsidRDefault="00E474CA" w:rsidP="00E474CA">
      <w:pPr>
        <w:spacing w:before="40" w:after="40" w:line="276" w:lineRule="auto"/>
        <w:rPr>
          <w:b/>
        </w:rPr>
      </w:pPr>
      <w:r w:rsidRPr="00EA6243">
        <w:rPr>
          <w:b/>
        </w:rPr>
        <w:lastRenderedPageBreak/>
        <w:t>Background and Rationale</w:t>
      </w:r>
    </w:p>
    <w:p w14:paraId="1D8410AD" w14:textId="3CDB85A4" w:rsidR="00E474CA" w:rsidRDefault="00E474CA" w:rsidP="000B4371">
      <w:pPr>
        <w:spacing w:line="360" w:lineRule="auto"/>
        <w:jc w:val="both"/>
      </w:pPr>
      <w:r w:rsidRPr="00EA6243">
        <w:t>The DURVAST trial demonstrated a good safety profile and feasibility of durvalumab, an anti PD-L1 antibody, in the treatment of patients with solid tumors and HIV-1 infection. In the study most patients included had lung cancer (14 from 20 patients included). All patien</w:t>
      </w:r>
      <w:r>
        <w:t xml:space="preserve">ts had basal undetectable viral plasma </w:t>
      </w:r>
      <w:proofErr w:type="gramStart"/>
      <w:r>
        <w:t>load</w:t>
      </w:r>
      <w:proofErr w:type="gramEnd"/>
      <w:r w:rsidRPr="00EA6243">
        <w:t xml:space="preserve"> and all continue</w:t>
      </w:r>
      <w:r>
        <w:t>d</w:t>
      </w:r>
      <w:r w:rsidRPr="00EA6243">
        <w:t xml:space="preserve"> their antiretroviral  (ART) treatment without toxicity. </w:t>
      </w:r>
      <w:r>
        <w:t>The study demonstrated a cancer</w:t>
      </w:r>
      <w:r w:rsidRPr="00EA6243">
        <w:t xml:space="preserve"> control rate of 50% </w:t>
      </w:r>
      <w:r w:rsidR="00A642B1">
        <w:t>despite the fact that</w:t>
      </w:r>
      <w:r w:rsidRPr="00EA6243">
        <w:t xml:space="preserve"> 60% of patients were previously pretreated.</w:t>
      </w:r>
      <w:hyperlink w:anchor="_ENREF_1" w:tooltip="Gonzalez-Cao, 2020 #31800" w:history="1">
        <w:r w:rsidRPr="00EA6243">
          <w:fldChar w:fldCharType="begin">
            <w:fldData xml:space="preserve">PEVuZE5vdGU+PENpdGU+PEF1dGhvcj5Hb256YWxlei1DYW88L0F1dGhvcj48WWVhcj4yMDIwPC9Z
ZWFyPjxSZWNOdW0+MzE4MDA8L1JlY051bT48RGlzcGxheVRleHQ+PHN0eWxlIGZhY2U9InN1cGVy
c2NyaXB0Ij4xPC9zdHlsZT48L0Rpc3BsYXlUZXh0PjxyZWNvcmQ+PHJlYy1udW1iZXI+MzE4MDA8
L3JlYy1udW1iZXI+PGZvcmVpZ24ta2V5cz48a2V5IGFwcD0iRU4iIGRiLWlkPSJ2MHN4cDJmeG5m
YTlmN2V4ZnA3NXo1ZWhmeDkwc2RlOXo1OWQiIHRpbWVzdGFtcD0iMTYwMDY4NDk3NyI+MzE4MDA8
L2tleT48L2ZvcmVpZ24ta2V5cz48cmVmLXR5cGUgbmFtZT0iSm91cm5hbCBBcnRpY2xlIj4xNzwv
cmVmLXR5cGU+PGNvbnRyaWJ1dG9ycz48YXV0aG9ycz48YXV0aG9yPkdvbnphbGV6LUNhbywgTS48
L2F1dGhvcj48YXV0aG9yPk1vcmFuLCBULjwvYXV0aG9yPjxhdXRob3I+RGFsbWF1LCBKLjwvYXV0
aG9yPjxhdXRob3I+R2FyY2lhLUNvcmJhY2hvLCBKLjwvYXV0aG9yPjxhdXRob3I+QnJhY2h0LCBK
LiBXLiBQLjwvYXV0aG9yPjxhdXRob3I+QmVybmFiZSwgUi48L2F1dGhvcj48YXV0aG9yPkp1YW4s
IE8uPC9hdXRob3I+PGF1dGhvcj5kZSBDYXN0cm8sIEouPC9hdXRob3I+PGF1dGhvcj5CbGFuY28s
IFIuPC9hdXRob3I+PGF1dGhvcj5Ecm96ZG93c2t5aiwgQS48L2F1dGhvcj48YXV0aG9yPkFyZ2ls
YWd1ZXQsIEouPC9hdXRob3I+PGF1dGhvcj5NZXllcmhhbnMsIEEuPC9hdXRob3I+PGF1dGhvcj5C
bGFuY28sIEouPC9hdXRob3I+PGF1dGhvcj5QcmFkbywgSi4gRy48L2F1dGhvcj48YXV0aG9yPkNh
cnJpbGxvLCBKLjwvYXV0aG9yPjxhdXRob3I+Q2xvdGV0LCBCLjwvYXV0aG9yPjxhdXRob3I+TWFz
c3V0aSwgQi48L2F1dGhvcj48YXV0aG9yPlByb3ZlbmNpbywgTS48L2F1dGhvcj48YXV0aG9yPk1v
bGluYS1WaWxhLCBNLiBBLjwvYXV0aG9yPjxhdXRob3I+TWF5byBkZSBMYXMgQ2FzYSwgQy48L2F1
dGhvcj48YXV0aG9yPkdhcnpvbiwgTS48L2F1dGhvcj48YXV0aG9yPkNhbywgUC48L2F1dGhvcj48
YXV0aG9yPkh1YW5nLCBDLiBZLjwvYXV0aG9yPjxhdXRob3I+TWFydGluZXotUGljYWRvLCBKLjwv
YXV0aG9yPjxhdXRob3I+Um9zZWxsLCBSLjwvYXV0aG9yPjwvYXV0aG9ycz48L2NvbnRyaWJ1dG9y
cz48YXV0aC1hZGRyZXNzPlRyYW5zbGF0aW9uYWwgQ2FuY2VyIFJlc2VhcmNoIFVuaXQsIEluc3Rp
dHV0byBPbmNvbG9naWNvIERyIFJvc2VsbCwgRGV4ZXVzIFVuaXZlcnNpdHkgSG9zcGl0YWwsIEJh
cmNlbG9uYSwgU3BhaW4uJiN4RDtNZWRpY2FsIE9uY29sb2d5IERlcGFydG1lbnQsIENhdGFsYW4g
SW5zdGl0dXRlIG9mIE9uY29sb2d5IChJQ08pLCBHZXJtYW5zIFRyaWFzIGkgUHVqb2wgSG9zcGl0
YWwsIEJhZGFsb25hLCBTcGFpbi4mI3hEO0lyc2lDYWl4YSBBSURTIFJlc2VhcmNoIEluc3RpdHV0
ZSwgVW5pdmVyc2l0eSBIb3NwaXRhbCBHZXJtYW5zIFRyaWFzIGkgUHVqb2wsIEJhZGFsb25hLCBT
cGFpbi4mI3hEO0lDTUhPLCBIb3NwaXRhbCBDbGluaWMsIEJhcmNlbG9uYSwgU3BhaW4uJiN4RDtI
b3NwaXRhbCBVbml2ZXJzaXRhcmlvIFZpcmdlbiBkZWwgUm9jaW8sIFNldmlsbGEsIFNwYWluLiYj
eEQ7SG9zcGl0YWwgVW5pdmVyc2l0YXJpbyBsYSBGZSBkZSBWYWxlbmNpYSwgVmFsZW5jaWEsIFNw
YWluLiYjeEQ7SG9zcGl0YWwgVW5pdmVyc2l0YXJpbyBMYSBQYXosIE1hZHJpZCwgU3BhaW4uJiN4
RDtDb25zb3JjaSBTYW5pdGFyaSBkZSBUZXJyYXNzYSwgQmFyY2Vsb25hLCBTcGFpbi4mI3hEO0lu
ZmVjdGlvbiBCaW9sb2d5IExhYm9yYXRvcnksIFVuaXZlcnNpdHkgUG9tcGV1IEZhYnJhLCBCYXJj
ZWxvbmEsIFNwYWluLiYjeEQ7Q2F0YWxhbiBJbnN0aXR1dGlvbiBmb3IgUmVzZWFyY2ggYW5kIEFk
dmFuY2VkIFN0dWRpZXMgKElDUkVBKSwgQmFyY2Vsb25hLCBTcGFpbi4mI3hEO1VuaXZlcnNpdHkg
b2YgVmljLUNlbnRyYWwgVW5pdmVyc2l0eSBvZiBDYXRhbG9uaWEgKFVWaWMtVUNDKSwgVmljLCBT
cGFpbi4mI3hEO0dlcm1hbnMgVHJpYXMgaSBQdWpvbCBSZXNlYXJjaCBJbnN0aXR1dGUgYW5kIEhv
c3BpdGFsIChJR1RQKSwgQmFkYWxvbmEsIFNwYWluLiYjeEQ7QWxpY2FudGUgVW5pdmVyc2l0eSBI
b3NwaXRhbCwgQWxpY2FudGUsIFNwYWluLiYjeEQ7UHVlcnRhIGRlIEhpZXJybyBIb3NwaXRhbCwg
TWFkcmlkLCBTcGFpbi4mI3hEO0FmZmlsaWF0ZWQgSG9zcGl0YWwgb2YgSW50ZWdyYXRlZCBUcmFk
aXRpb25hbCBDaGluZXNlIGFuZCBXZXN0ZXJuIE1lZGljaW5lLCBOYW5qaW5nIFVuaXZlcnNpdHkg
b2YgQ2hpbmVzZSBNZWRpY2luZSwgTmFuamluZywgQ2hpbmEuJiN4RDtEZXBhcnRtZW50IG9mIFBo
YXJtYWNvbG9neSwgU2Nob29sIG9mIFBoYXJtYWN5LCBOYW5qaW5nIFVuaXZlcnNpdHkgb2YgQ2hp
bmVzZSBNZWRpY2luZSwgTmFuamluZywgQ2hpbmEuJiN4RDtOYW5vU3RyaW5nIFRlY2hub2xvZ2ll
cywgU2VhdHRsZSwgV2FzaGluZ3Rvbi48L2F1dGgtYWRkcmVzcz48dGl0bGVzPjx0aXRsZT5Bc3Nl
c3NtZW50IG9mIHRoZSBGZWFzaWJpbGl0eSBhbmQgU2FmZXR5IG9mIER1cnZhbHVtYWIgZm9yIFRy
ZWF0bWVudCBvZiBTb2xpZCBUdW1vcnMgaW4gUGF0aWVudHMgV2l0aCBISVYtMSBJbmZlY3Rpb246
IFRoZSBQaGFzZSAyIERVUlZBU1QgU3R1ZHk8L3RpdGxlPjxzZWNvbmRhcnktdGl0bGU+SkFNQSBP
bmNvbDwvc2Vjb25kYXJ5LXRpdGxlPjxhbHQtdGl0bGU+SkFNQSBvbmNvbG9neTwvYWx0LXRpdGxl
PjwvdGl0bGVzPjxwZXJpb2RpY2FsPjxmdWxsLXRpdGxlPkpBTUEgT25jb2w8L2Z1bGwtdGl0bGU+
PGFiYnItMT5KQU1BIG9uY29sb2d5PC9hYmJyLTE+PC9wZXJpb2RpY2FsPjxhbHQtcGVyaW9kaWNh
bD48ZnVsbC10aXRsZT5KQU1BIE9uY29sPC9mdWxsLXRpdGxlPjxhYmJyLTE+SkFNQSBvbmNvbG9n
eTwvYWJici0xPjwvYWx0LXBlcmlvZGljYWw+PHBhZ2VzPjEwNjMtMTA2NzwvcGFnZXM+PHZvbHVt
ZT42PC92b2x1bWU+PG51bWJlcj43PC9udW1iZXI+PGRhdGVzPjx5ZWFyPjIwMjA8L3llYXI+PHB1
Yi1kYXRlcz48ZGF0ZT5KdWwgMTwvZGF0ZT48L3B1Yi1kYXRlcz48L2RhdGVzPjxpc2JuPjIzNzQt
MjQ0NSAoRWxlY3Ryb25pYykmI3hEOzIzNzQtMjQzNyAoTGlua2luZyk8L2lzYm4+PGFjY2Vzc2lv
bi1udW0+MzIyNzEzNTM8L2FjY2Vzc2lvbi1udW0+PHVybHM+PHJlbGF0ZWQtdXJscz48dXJsPmh0
dHA6Ly93d3cubmNiaS5ubG0ubmloLmdvdi9wdWJtZWQvMzIyNzEzNTM8L3VybD48L3JlbGF0ZWQt
dXJscz48L3VybHM+PGN1c3RvbTI+NzE0NjUyNTwvY3VzdG9tMj48ZWxlY3Ryb25pYy1yZXNvdXJj
ZS1udW0+MTAuMTAwMS9qYW1hb25jb2wuMjAyMC4wNDY1PC9lbGVjdHJvbmljLXJlc291cmNlLW51
bT48L3JlY29yZD48L0NpdGU+PC9FbmROb3RlPgB=
</w:fldData>
          </w:fldChar>
        </w:r>
        <w:r w:rsidRPr="00EA6243">
          <w:instrText xml:space="preserve"> ADDIN EN.CITE </w:instrText>
        </w:r>
        <w:r w:rsidRPr="00EA6243">
          <w:fldChar w:fldCharType="begin">
            <w:fldData xml:space="preserve">PEVuZE5vdGU+PENpdGU+PEF1dGhvcj5Hb256YWxlei1DYW88L0F1dGhvcj48WWVhcj4yMDIwPC9Z
ZWFyPjxSZWNOdW0+MzE4MDA8L1JlY051bT48RGlzcGxheVRleHQ+PHN0eWxlIGZhY2U9InN1cGVy
c2NyaXB0Ij4xPC9zdHlsZT48L0Rpc3BsYXlUZXh0PjxyZWNvcmQ+PHJlYy1udW1iZXI+MzE4MDA8
L3JlYy1udW1iZXI+PGZvcmVpZ24ta2V5cz48a2V5IGFwcD0iRU4iIGRiLWlkPSJ2MHN4cDJmeG5m
YTlmN2V4ZnA3NXo1ZWhmeDkwc2RlOXo1OWQiIHRpbWVzdGFtcD0iMTYwMDY4NDk3NyI+MzE4MDA8
L2tleT48L2ZvcmVpZ24ta2V5cz48cmVmLXR5cGUgbmFtZT0iSm91cm5hbCBBcnRpY2xlIj4xNzwv
cmVmLXR5cGU+PGNvbnRyaWJ1dG9ycz48YXV0aG9ycz48YXV0aG9yPkdvbnphbGV6LUNhbywgTS48
L2F1dGhvcj48YXV0aG9yPk1vcmFuLCBULjwvYXV0aG9yPjxhdXRob3I+RGFsbWF1LCBKLjwvYXV0
aG9yPjxhdXRob3I+R2FyY2lhLUNvcmJhY2hvLCBKLjwvYXV0aG9yPjxhdXRob3I+QnJhY2h0LCBK
LiBXLiBQLjwvYXV0aG9yPjxhdXRob3I+QmVybmFiZSwgUi48L2F1dGhvcj48YXV0aG9yPkp1YW4s
IE8uPC9hdXRob3I+PGF1dGhvcj5kZSBDYXN0cm8sIEouPC9hdXRob3I+PGF1dGhvcj5CbGFuY28s
IFIuPC9hdXRob3I+PGF1dGhvcj5Ecm96ZG93c2t5aiwgQS48L2F1dGhvcj48YXV0aG9yPkFyZ2ls
YWd1ZXQsIEouPC9hdXRob3I+PGF1dGhvcj5NZXllcmhhbnMsIEEuPC9hdXRob3I+PGF1dGhvcj5C
bGFuY28sIEouPC9hdXRob3I+PGF1dGhvcj5QcmFkbywgSi4gRy48L2F1dGhvcj48YXV0aG9yPkNh
cnJpbGxvLCBKLjwvYXV0aG9yPjxhdXRob3I+Q2xvdGV0LCBCLjwvYXV0aG9yPjxhdXRob3I+TWFz
c3V0aSwgQi48L2F1dGhvcj48YXV0aG9yPlByb3ZlbmNpbywgTS48L2F1dGhvcj48YXV0aG9yPk1v
bGluYS1WaWxhLCBNLiBBLjwvYXV0aG9yPjxhdXRob3I+TWF5byBkZSBMYXMgQ2FzYSwgQy48L2F1
dGhvcj48YXV0aG9yPkdhcnpvbiwgTS48L2F1dGhvcj48YXV0aG9yPkNhbywgUC48L2F1dGhvcj48
YXV0aG9yPkh1YW5nLCBDLiBZLjwvYXV0aG9yPjxhdXRob3I+TWFydGluZXotUGljYWRvLCBKLjwv
YXV0aG9yPjxhdXRob3I+Um9zZWxsLCBSLjwvYXV0aG9yPjwvYXV0aG9ycz48L2NvbnRyaWJ1dG9y
cz48YXV0aC1hZGRyZXNzPlRyYW5zbGF0aW9uYWwgQ2FuY2VyIFJlc2VhcmNoIFVuaXQsIEluc3Rp
dHV0byBPbmNvbG9naWNvIERyIFJvc2VsbCwgRGV4ZXVzIFVuaXZlcnNpdHkgSG9zcGl0YWwsIEJh
cmNlbG9uYSwgU3BhaW4uJiN4RDtNZWRpY2FsIE9uY29sb2d5IERlcGFydG1lbnQsIENhdGFsYW4g
SW5zdGl0dXRlIG9mIE9uY29sb2d5IChJQ08pLCBHZXJtYW5zIFRyaWFzIGkgUHVqb2wgSG9zcGl0
YWwsIEJhZGFsb25hLCBTcGFpbi4mI3hEO0lyc2lDYWl4YSBBSURTIFJlc2VhcmNoIEluc3RpdHV0
ZSwgVW5pdmVyc2l0eSBIb3NwaXRhbCBHZXJtYW5zIFRyaWFzIGkgUHVqb2wsIEJhZGFsb25hLCBT
cGFpbi4mI3hEO0lDTUhPLCBIb3NwaXRhbCBDbGluaWMsIEJhcmNlbG9uYSwgU3BhaW4uJiN4RDtI
b3NwaXRhbCBVbml2ZXJzaXRhcmlvIFZpcmdlbiBkZWwgUm9jaW8sIFNldmlsbGEsIFNwYWluLiYj
eEQ7SG9zcGl0YWwgVW5pdmVyc2l0YXJpbyBsYSBGZSBkZSBWYWxlbmNpYSwgVmFsZW5jaWEsIFNw
YWluLiYjeEQ7SG9zcGl0YWwgVW5pdmVyc2l0YXJpbyBMYSBQYXosIE1hZHJpZCwgU3BhaW4uJiN4
RDtDb25zb3JjaSBTYW5pdGFyaSBkZSBUZXJyYXNzYSwgQmFyY2Vsb25hLCBTcGFpbi4mI3hEO0lu
ZmVjdGlvbiBCaW9sb2d5IExhYm9yYXRvcnksIFVuaXZlcnNpdHkgUG9tcGV1IEZhYnJhLCBCYXJj
ZWxvbmEsIFNwYWluLiYjeEQ7Q2F0YWxhbiBJbnN0aXR1dGlvbiBmb3IgUmVzZWFyY2ggYW5kIEFk
dmFuY2VkIFN0dWRpZXMgKElDUkVBKSwgQmFyY2Vsb25hLCBTcGFpbi4mI3hEO1VuaXZlcnNpdHkg
b2YgVmljLUNlbnRyYWwgVW5pdmVyc2l0eSBvZiBDYXRhbG9uaWEgKFVWaWMtVUNDKSwgVmljLCBT
cGFpbi4mI3hEO0dlcm1hbnMgVHJpYXMgaSBQdWpvbCBSZXNlYXJjaCBJbnN0aXR1dGUgYW5kIEhv
c3BpdGFsIChJR1RQKSwgQmFkYWxvbmEsIFNwYWluLiYjeEQ7QWxpY2FudGUgVW5pdmVyc2l0eSBI
b3NwaXRhbCwgQWxpY2FudGUsIFNwYWluLiYjeEQ7UHVlcnRhIGRlIEhpZXJybyBIb3NwaXRhbCwg
TWFkcmlkLCBTcGFpbi4mI3hEO0FmZmlsaWF0ZWQgSG9zcGl0YWwgb2YgSW50ZWdyYXRlZCBUcmFk
aXRpb25hbCBDaGluZXNlIGFuZCBXZXN0ZXJuIE1lZGljaW5lLCBOYW5qaW5nIFVuaXZlcnNpdHkg
b2YgQ2hpbmVzZSBNZWRpY2luZSwgTmFuamluZywgQ2hpbmEuJiN4RDtEZXBhcnRtZW50IG9mIFBo
YXJtYWNvbG9neSwgU2Nob29sIG9mIFBoYXJtYWN5LCBOYW5qaW5nIFVuaXZlcnNpdHkgb2YgQ2hp
bmVzZSBNZWRpY2luZSwgTmFuamluZywgQ2hpbmEuJiN4RDtOYW5vU3RyaW5nIFRlY2hub2xvZ2ll
cywgU2VhdHRsZSwgV2FzaGluZ3Rvbi48L2F1dGgtYWRkcmVzcz48dGl0bGVzPjx0aXRsZT5Bc3Nl
c3NtZW50IG9mIHRoZSBGZWFzaWJpbGl0eSBhbmQgU2FmZXR5IG9mIER1cnZhbHVtYWIgZm9yIFRy
ZWF0bWVudCBvZiBTb2xpZCBUdW1vcnMgaW4gUGF0aWVudHMgV2l0aCBISVYtMSBJbmZlY3Rpb246
IFRoZSBQaGFzZSAyIERVUlZBU1QgU3R1ZHk8L3RpdGxlPjxzZWNvbmRhcnktdGl0bGU+SkFNQSBP
bmNvbDwvc2Vjb25kYXJ5LXRpdGxlPjxhbHQtdGl0bGU+SkFNQSBvbmNvbG9neTwvYWx0LXRpdGxl
PjwvdGl0bGVzPjxwZXJpb2RpY2FsPjxmdWxsLXRpdGxlPkpBTUEgT25jb2w8L2Z1bGwtdGl0bGU+
PGFiYnItMT5KQU1BIG9uY29sb2d5PC9hYmJyLTE+PC9wZXJpb2RpY2FsPjxhbHQtcGVyaW9kaWNh
bD48ZnVsbC10aXRsZT5KQU1BIE9uY29sPC9mdWxsLXRpdGxlPjxhYmJyLTE+SkFNQSBvbmNvbG9n
eTwvYWJici0xPjwvYWx0LXBlcmlvZGljYWw+PHBhZ2VzPjEwNjMtMTA2NzwvcGFnZXM+PHZvbHVt
ZT42PC92b2x1bWU+PG51bWJlcj43PC9udW1iZXI+PGRhdGVzPjx5ZWFyPjIwMjA8L3llYXI+PHB1
Yi1kYXRlcz48ZGF0ZT5KdWwgMTwvZGF0ZT48L3B1Yi1kYXRlcz48L2RhdGVzPjxpc2JuPjIzNzQt
MjQ0NSAoRWxlY3Ryb25pYykmI3hEOzIzNzQtMjQzNyAoTGlua2luZyk8L2lzYm4+PGFjY2Vzc2lv
bi1udW0+MzIyNzEzNTM8L2FjY2Vzc2lvbi1udW0+PHVybHM+PHJlbGF0ZWQtdXJscz48dXJsPmh0
dHA6Ly93d3cubmNiaS5ubG0ubmloLmdvdi9wdWJtZWQvMzIyNzEzNTM8L3VybD48L3JlbGF0ZWQt
dXJscz48L3VybHM+PGN1c3RvbTI+NzE0NjUyNTwvY3VzdG9tMj48ZWxlY3Ryb25pYy1yZXNvdXJj
ZS1udW0+MTAuMTAwMS9qYW1hb25jb2wuMjAyMC4wNDY1PC9lbGVjdHJvbmljLXJlc291cmNlLW51
bT48L3JlY29yZD48L0NpdGU+PC9FbmROb3RlPgB=
</w:fldData>
          </w:fldChar>
        </w:r>
        <w:r w:rsidRPr="00EA6243">
          <w:instrText xml:space="preserve"> ADDIN EN.CITE.DATA </w:instrText>
        </w:r>
        <w:r w:rsidRPr="00EA6243">
          <w:fldChar w:fldCharType="end"/>
        </w:r>
        <w:r w:rsidRPr="00EA6243">
          <w:fldChar w:fldCharType="separate"/>
        </w:r>
        <w:r w:rsidRPr="00EA6243">
          <w:rPr>
            <w:noProof/>
            <w:vertAlign w:val="superscript"/>
          </w:rPr>
          <w:t>1</w:t>
        </w:r>
        <w:r w:rsidRPr="00EA6243">
          <w:fldChar w:fldCharType="end"/>
        </w:r>
      </w:hyperlink>
      <w:r>
        <w:t xml:space="preserve"> </w:t>
      </w:r>
      <w:r w:rsidRPr="00EA6243">
        <w:t>Fourteen patients were on treatment with ART that included an INSTI</w:t>
      </w:r>
      <w:r>
        <w:t>s</w:t>
      </w:r>
      <w:r w:rsidR="00A642B1">
        <w:t>,</w:t>
      </w:r>
      <w:r w:rsidRPr="00EA6243">
        <w:t xml:space="preserve"> and six patients were on treatment with ART combinations without INSTIs. An exploratory analysis demonstrated a significant longer duration of clinical benefit in patients that were under treatment with ART including an INSTI (median NR vs 2.3 months, p=0.036) (Table </w:t>
      </w:r>
      <w:r w:rsidR="00CC1255">
        <w:t>S</w:t>
      </w:r>
      <w:r w:rsidRPr="00EA6243">
        <w:t>1).</w:t>
      </w:r>
      <w:r w:rsidR="0020481C" w:rsidDel="0020481C">
        <w:t xml:space="preserve"> </w:t>
      </w:r>
    </w:p>
    <w:p w14:paraId="333CB2B2" w14:textId="77777777" w:rsidR="000B4371" w:rsidRDefault="000B4371" w:rsidP="000B4371">
      <w:pPr>
        <w:spacing w:line="276" w:lineRule="auto"/>
        <w:rPr>
          <w:b/>
          <w:bCs/>
        </w:rPr>
      </w:pPr>
    </w:p>
    <w:p w14:paraId="5FAAA2B3" w14:textId="649E9811" w:rsidR="000B4371" w:rsidRPr="004110FB" w:rsidRDefault="000B4371" w:rsidP="000B4371">
      <w:pPr>
        <w:spacing w:line="276" w:lineRule="auto"/>
        <w:rPr>
          <w:b/>
          <w:bCs/>
        </w:rPr>
      </w:pPr>
      <w:r w:rsidRPr="004110FB">
        <w:rPr>
          <w:b/>
          <w:bCs/>
        </w:rPr>
        <w:t>Methods</w:t>
      </w:r>
    </w:p>
    <w:p w14:paraId="54E8B3D2" w14:textId="77777777" w:rsidR="000B4371" w:rsidRPr="0056397F" w:rsidRDefault="000B4371" w:rsidP="000B4371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1C01BC">
        <w:rPr>
          <w:color w:val="000000" w:themeColor="text1"/>
          <w:shd w:val="clear" w:color="auto" w:fill="FFFFFF"/>
        </w:rPr>
        <w:t>Ethical </w:t>
      </w:r>
      <w:r w:rsidRPr="001C01BC">
        <w:rPr>
          <w:rStyle w:val="Emphasis"/>
          <w:i w:val="0"/>
          <w:iCs w:val="0"/>
          <w:color w:val="000000" w:themeColor="text1"/>
          <w:shd w:val="clear" w:color="auto" w:fill="FFFFFF"/>
        </w:rPr>
        <w:t>approval</w:t>
      </w:r>
      <w:r w:rsidRPr="001C01BC">
        <w:rPr>
          <w:color w:val="000000" w:themeColor="text1"/>
          <w:shd w:val="clear" w:color="auto" w:fill="FFFFFF"/>
        </w:rPr>
        <w:t> for </w:t>
      </w:r>
      <w:r w:rsidRPr="001C01BC">
        <w:rPr>
          <w:rStyle w:val="Emphasis"/>
          <w:i w:val="0"/>
          <w:iCs w:val="0"/>
          <w:color w:val="000000" w:themeColor="text1"/>
          <w:shd w:val="clear" w:color="auto" w:fill="FFFFFF"/>
        </w:rPr>
        <w:t>this study</w:t>
      </w:r>
      <w:r w:rsidRPr="001C01BC">
        <w:rPr>
          <w:color w:val="000000" w:themeColor="text1"/>
          <w:shd w:val="clear" w:color="auto" w:fill="FFFFFF"/>
        </w:rPr>
        <w:t xml:space="preserve"> was obtained from the </w:t>
      </w:r>
      <w:r>
        <w:rPr>
          <w:color w:val="000000" w:themeColor="text1"/>
          <w:shd w:val="clear" w:color="auto" w:fill="FFFFFF"/>
        </w:rPr>
        <w:t>e</w:t>
      </w:r>
      <w:r w:rsidRPr="001C01BC">
        <w:rPr>
          <w:color w:val="000000" w:themeColor="text1"/>
          <w:shd w:val="clear" w:color="auto" w:fill="FFFFFF"/>
        </w:rPr>
        <w:t>thi</w:t>
      </w:r>
      <w:r>
        <w:rPr>
          <w:color w:val="000000" w:themeColor="text1"/>
          <w:shd w:val="clear" w:color="auto" w:fill="FFFFFF"/>
        </w:rPr>
        <w:t>cs</w:t>
      </w:r>
      <w:r w:rsidRPr="001C01B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c</w:t>
      </w:r>
      <w:r w:rsidRPr="001C01BC">
        <w:rPr>
          <w:color w:val="000000" w:themeColor="text1"/>
          <w:shd w:val="clear" w:color="auto" w:fill="FFFFFF"/>
        </w:rPr>
        <w:t xml:space="preserve">ommittee </w:t>
      </w:r>
      <w:r>
        <w:t>“</w:t>
      </w:r>
      <w:proofErr w:type="spellStart"/>
      <w:r>
        <w:t>CEIm</w:t>
      </w:r>
      <w:proofErr w:type="spellEnd"/>
      <w:r w:rsidRPr="001C01BC">
        <w:t xml:space="preserve"> </w:t>
      </w:r>
      <w:r>
        <w:t>G</w:t>
      </w:r>
      <w:r w:rsidRPr="001C01BC">
        <w:t xml:space="preserve">rupo </w:t>
      </w:r>
      <w:proofErr w:type="spellStart"/>
      <w:r>
        <w:t>H</w:t>
      </w:r>
      <w:r w:rsidRPr="001C01BC">
        <w:t>ospitalario</w:t>
      </w:r>
      <w:proofErr w:type="spellEnd"/>
      <w:r w:rsidRPr="001C01BC">
        <w:t xml:space="preserve"> </w:t>
      </w:r>
      <w:proofErr w:type="spellStart"/>
      <w:r>
        <w:t>Q</w:t>
      </w:r>
      <w:r w:rsidRPr="001C01BC">
        <w:t>uirónsalud</w:t>
      </w:r>
      <w:proofErr w:type="spellEnd"/>
      <w:r>
        <w:t xml:space="preserve">” </w:t>
      </w:r>
      <w:r w:rsidRPr="001C01BC">
        <w:rPr>
          <w:color w:val="000000" w:themeColor="text1"/>
          <w:shd w:val="clear" w:color="auto" w:fill="FFFFFF"/>
        </w:rPr>
        <w:t>(</w:t>
      </w:r>
      <w:r w:rsidRPr="0056397F">
        <w:t>acta nº17/2020</w:t>
      </w:r>
      <w:r>
        <w:rPr>
          <w:color w:val="000000" w:themeColor="text1"/>
          <w:shd w:val="clear" w:color="auto" w:fill="FFFFFF"/>
        </w:rPr>
        <w:t xml:space="preserve">; </w:t>
      </w:r>
      <w:r>
        <w:t>2020/123-ONC-DEX</w:t>
      </w:r>
      <w:r>
        <w:rPr>
          <w:color w:val="000000" w:themeColor="text1"/>
          <w:shd w:val="clear" w:color="auto" w:fill="FFFFFF"/>
        </w:rPr>
        <w:t xml:space="preserve">). </w:t>
      </w:r>
      <w:r>
        <w:t>The study includes c</w:t>
      </w:r>
      <w:r w:rsidRPr="001C01BC">
        <w:t>l</w:t>
      </w:r>
      <w:r>
        <w:t xml:space="preserve">inical data and samples retrospectively obtained from cancer patients treated with anti PD-1/ PD-L1 antibodies. The cohort of patients with HIV-1 infection had been treated into a multicenter prospective phase 2 trial (DURVAST trial, NCT03094286). The cohort of cancer patients non –HIV infected includes patients treated at Hospital </w:t>
      </w:r>
      <w:proofErr w:type="spellStart"/>
      <w:r>
        <w:t>Universitari</w:t>
      </w:r>
      <w:proofErr w:type="spellEnd"/>
      <w:r>
        <w:t xml:space="preserve"> </w:t>
      </w:r>
      <w:proofErr w:type="spellStart"/>
      <w:r>
        <w:t>Dexeus</w:t>
      </w:r>
      <w:proofErr w:type="spellEnd"/>
      <w:r>
        <w:t xml:space="preserve"> (Barcelona, Spain) from April 2016 to May 2020. Samples consisted of tumor tissue archival paraffin-embedded slides and blood samples obtained before treatment initiation. Written informed consent was obtained from each patient.</w:t>
      </w:r>
    </w:p>
    <w:p w14:paraId="3A0EAA5E" w14:textId="23F4C519" w:rsidR="000B4371" w:rsidRDefault="000B4371" w:rsidP="000507D1">
      <w:pPr>
        <w:spacing w:line="360" w:lineRule="auto"/>
        <w:jc w:val="both"/>
      </w:pPr>
      <w:r>
        <w:t xml:space="preserve">Data about patient characteristics, tumor type, molecular sub-classification, and response to therapy according to RECIST 1.1 criteria was recorded from 45 </w:t>
      </w:r>
      <w:r w:rsidRPr="00B80340">
        <w:t>patients (15 with HIV-1 infection and 30 non-HIV infected). All HIV-1 infected</w:t>
      </w:r>
      <w:r w:rsidRPr="00B80340">
        <w:rPr>
          <w:rFonts w:eastAsia="Calibri"/>
          <w:color w:val="000000" w:themeColor="text1"/>
        </w:rPr>
        <w:t xml:space="preserve"> patients </w:t>
      </w:r>
      <w:r w:rsidRPr="00B80340">
        <w:rPr>
          <w:rFonts w:eastAsia="Calibri"/>
        </w:rPr>
        <w:t xml:space="preserve">comprised HIV-1 infected persons under effective </w:t>
      </w:r>
      <w:proofErr w:type="spellStart"/>
      <w:r w:rsidRPr="00B80340">
        <w:rPr>
          <w:rFonts w:eastAsia="Calibri"/>
        </w:rPr>
        <w:t>cART</w:t>
      </w:r>
      <w:proofErr w:type="spellEnd"/>
      <w:r w:rsidRPr="00B80340">
        <w:rPr>
          <w:rFonts w:eastAsia="Calibri"/>
        </w:rPr>
        <w:t xml:space="preserve"> with advanced solid tumors in which anti PD-1/PD-L1 antibodies had an approved indication</w:t>
      </w:r>
      <w:r w:rsidRPr="00102D9F">
        <w:rPr>
          <w:rFonts w:eastAsia="Calibri"/>
        </w:rPr>
        <w:t xml:space="preserve"> or data of antitumoral activity</w:t>
      </w:r>
      <w:r>
        <w:rPr>
          <w:rFonts w:eastAsia="Calibri"/>
          <w:color w:val="000000" w:themeColor="text1"/>
        </w:rPr>
        <w:t xml:space="preserve">. They were </w:t>
      </w:r>
      <w:r w:rsidRPr="00102D9F">
        <w:rPr>
          <w:rFonts w:eastAsia="Calibri"/>
          <w:color w:val="000000" w:themeColor="text1"/>
        </w:rPr>
        <w:t xml:space="preserve">treated with durvalumab at the fixed-dose of 1500 mg every four weeks until </w:t>
      </w:r>
      <w:r w:rsidRPr="00102D9F">
        <w:rPr>
          <w:rFonts w:eastAsia="Calibri"/>
        </w:rPr>
        <w:t xml:space="preserve">disease progression or unacceptable toxicity. </w:t>
      </w:r>
      <w:bookmarkStart w:id="1" w:name="_gbi9e5jj0ew" w:colFirst="0" w:colLast="0"/>
      <w:bookmarkEnd w:id="1"/>
      <w:r>
        <w:rPr>
          <w:rFonts w:eastAsia="Calibri"/>
        </w:rPr>
        <w:t>Non-HIV-1 infected patients were treated with currently approved anti PD-1/PD-L1 antibodies according to standard of care.</w:t>
      </w:r>
      <w:r w:rsidR="00356947">
        <w:t xml:space="preserve">  </w:t>
      </w:r>
      <w:r>
        <w:t xml:space="preserve">An external validation cohort included patients with metastatic NSCLC treated with anti PD-1/PD-L1 antibodies from </w:t>
      </w:r>
      <w:r w:rsidRPr="003E04E8">
        <w:rPr>
          <w:rFonts w:eastAsia="Times New Roman"/>
          <w:color w:val="000000" w:themeColor="text1"/>
          <w:lang w:val="pt-BR" w:eastAsia="en-GB"/>
        </w:rPr>
        <w:t xml:space="preserve">Barretos </w:t>
      </w:r>
      <w:proofErr w:type="spellStart"/>
      <w:r w:rsidRPr="003E04E8">
        <w:rPr>
          <w:rFonts w:eastAsia="Times New Roman"/>
          <w:color w:val="000000" w:themeColor="text1"/>
          <w:lang w:val="pt-BR" w:eastAsia="en-GB"/>
        </w:rPr>
        <w:t>Cancer</w:t>
      </w:r>
      <w:proofErr w:type="spellEnd"/>
      <w:r w:rsidRPr="003E04E8">
        <w:rPr>
          <w:rFonts w:eastAsia="Times New Roman"/>
          <w:color w:val="000000" w:themeColor="text1"/>
          <w:lang w:val="pt-BR" w:eastAsia="en-GB"/>
        </w:rPr>
        <w:t xml:space="preserve"> Hospital, Barretos, </w:t>
      </w:r>
      <w:proofErr w:type="spellStart"/>
      <w:r w:rsidRPr="003E04E8">
        <w:rPr>
          <w:rFonts w:eastAsia="Times New Roman"/>
          <w:color w:val="000000" w:themeColor="text1"/>
          <w:lang w:val="pt-BR" w:eastAsia="en-GB"/>
        </w:rPr>
        <w:t>Brazil</w:t>
      </w:r>
      <w:proofErr w:type="spellEnd"/>
      <w:r w:rsidRPr="003E04E8">
        <w:rPr>
          <w:rFonts w:eastAsia="Times New Roman"/>
          <w:color w:val="000000" w:themeColor="text1"/>
          <w:lang w:val="pt-BR" w:eastAsia="en-GB"/>
        </w:rPr>
        <w:t>.</w:t>
      </w:r>
      <w:r w:rsidR="00D41B24">
        <w:rPr>
          <w:lang w:val="pt-BR"/>
        </w:rPr>
        <w:t xml:space="preserve"> </w:t>
      </w:r>
      <w:r>
        <w:t>The study was conducted in accordance with the declaration of Helsinki and</w:t>
      </w:r>
      <w:r w:rsidR="00D41B24">
        <w:t xml:space="preserve"> </w:t>
      </w:r>
      <w:proofErr w:type="gramStart"/>
      <w:r>
        <w:t>international</w:t>
      </w:r>
      <w:proofErr w:type="gramEnd"/>
      <w:r>
        <w:t xml:space="preserve"> conference on harmonization guidelines for good clinical practice.</w:t>
      </w:r>
    </w:p>
    <w:p w14:paraId="120F9777" w14:textId="2596687D" w:rsidR="00CC1255" w:rsidRPr="004E300F" w:rsidRDefault="00CC1255" w:rsidP="00D41B24">
      <w:pPr>
        <w:pStyle w:val="SMHeading"/>
        <w:spacing w:line="360" w:lineRule="auto"/>
        <w:rPr>
          <w:lang w:eastAsia="de-DE" w:bidi="en-US"/>
        </w:rPr>
      </w:pPr>
      <w:bookmarkStart w:id="2" w:name="Tables"/>
      <w:bookmarkStart w:id="3" w:name="MaterialsMethods"/>
      <w:bookmarkStart w:id="4" w:name="Figures"/>
      <w:bookmarkEnd w:id="2"/>
      <w:bookmarkEnd w:id="3"/>
      <w:bookmarkEnd w:id="4"/>
      <w:r>
        <w:lastRenderedPageBreak/>
        <w:t>Table S</w:t>
      </w:r>
      <w:r w:rsidR="00356947">
        <w:t>1</w:t>
      </w:r>
      <w:r>
        <w:t>.</w:t>
      </w:r>
      <w:r w:rsidR="00DD1384">
        <w:t xml:space="preserve"> </w:t>
      </w:r>
      <w:r w:rsidRPr="00154742">
        <w:rPr>
          <w:rFonts w:eastAsia="Times New Roman"/>
          <w:b w:val="0"/>
          <w:bCs w:val="0"/>
          <w:lang w:eastAsia="de-DE" w:bidi="en-US"/>
        </w:rPr>
        <w:t>Molecular classification of tumors by NGS/</w:t>
      </w:r>
      <w:proofErr w:type="spellStart"/>
      <w:r w:rsidRPr="00154742">
        <w:rPr>
          <w:rFonts w:eastAsia="Times New Roman"/>
          <w:b w:val="0"/>
          <w:bCs w:val="0"/>
          <w:lang w:eastAsia="de-DE" w:bidi="en-US"/>
        </w:rPr>
        <w:t>qRT</w:t>
      </w:r>
      <w:proofErr w:type="spellEnd"/>
      <w:r w:rsidRPr="00154742">
        <w:rPr>
          <w:rFonts w:eastAsia="Times New Roman"/>
          <w:b w:val="0"/>
          <w:bCs w:val="0"/>
          <w:lang w:eastAsia="de-DE" w:bidi="en-US"/>
        </w:rPr>
        <w:t xml:space="preserve">-PCR. </w:t>
      </w:r>
      <w:r w:rsidRPr="00154742">
        <w:rPr>
          <w:b w:val="0"/>
          <w:bCs w:val="0"/>
        </w:rPr>
        <w:t xml:space="preserve">NE: non evaluable (untested); </w:t>
      </w:r>
      <w:r w:rsidRPr="00154742">
        <w:rPr>
          <w:b w:val="0"/>
          <w:bCs w:val="0"/>
          <w:vertAlign w:val="superscript"/>
        </w:rPr>
        <w:t>1</w:t>
      </w:r>
      <w:r w:rsidRPr="00154742">
        <w:rPr>
          <w:b w:val="0"/>
          <w:bCs w:val="0"/>
        </w:rPr>
        <w:t xml:space="preserve">Germline mutation; </w:t>
      </w:r>
      <w:r w:rsidRPr="00154742">
        <w:rPr>
          <w:b w:val="0"/>
          <w:bCs w:val="0"/>
          <w:vertAlign w:val="superscript"/>
        </w:rPr>
        <w:t>2</w:t>
      </w:r>
      <w:r w:rsidRPr="00154742">
        <w:rPr>
          <w:b w:val="0"/>
          <w:bCs w:val="0"/>
        </w:rPr>
        <w:t xml:space="preserve">Variant of unknown significance; </w:t>
      </w:r>
      <w:r w:rsidRPr="00154742">
        <w:rPr>
          <w:b w:val="0"/>
          <w:bCs w:val="0"/>
          <w:vertAlign w:val="superscript"/>
        </w:rPr>
        <w:t>3</w:t>
      </w:r>
      <w:r w:rsidRPr="00154742">
        <w:rPr>
          <w:b w:val="0"/>
          <w:bCs w:val="0"/>
        </w:rPr>
        <w:t xml:space="preserve">Variant unknown; amp: amplification; </w:t>
      </w:r>
      <w:proofErr w:type="spellStart"/>
      <w:r w:rsidRPr="00154742">
        <w:rPr>
          <w:b w:val="0"/>
          <w:bCs w:val="0"/>
        </w:rPr>
        <w:t>transl</w:t>
      </w:r>
      <w:proofErr w:type="spellEnd"/>
      <w:r w:rsidRPr="00154742">
        <w:rPr>
          <w:b w:val="0"/>
          <w:bCs w:val="0"/>
        </w:rPr>
        <w:t>: translocation</w:t>
      </w:r>
      <w:r w:rsidR="00042F9C">
        <w:t xml:space="preserve">; </w:t>
      </w:r>
      <w:r w:rsidR="00042F9C" w:rsidRPr="003E04E8">
        <w:rPr>
          <w:b w:val="0"/>
          <w:bCs w:val="0"/>
          <w:color w:val="000000" w:themeColor="text1"/>
        </w:rPr>
        <w:t>CNV: copy number variation.</w:t>
      </w:r>
    </w:p>
    <w:tbl>
      <w:tblPr>
        <w:tblStyle w:val="PlainTable2"/>
        <w:tblW w:w="5000" w:type="pct"/>
        <w:tblLook w:val="0600" w:firstRow="0" w:lastRow="0" w:firstColumn="0" w:lastColumn="0" w:noHBand="1" w:noVBand="1"/>
      </w:tblPr>
      <w:tblGrid>
        <w:gridCol w:w="817"/>
        <w:gridCol w:w="1247"/>
        <w:gridCol w:w="797"/>
        <w:gridCol w:w="777"/>
        <w:gridCol w:w="797"/>
        <w:gridCol w:w="797"/>
        <w:gridCol w:w="897"/>
        <w:gridCol w:w="786"/>
        <w:gridCol w:w="2445"/>
      </w:tblGrid>
      <w:tr w:rsidR="00CC1255" w:rsidRPr="00962547" w14:paraId="3448D760" w14:textId="77777777" w:rsidTr="00301CB9">
        <w:trPr>
          <w:trHeight w:val="440"/>
        </w:trPr>
        <w:tc>
          <w:tcPr>
            <w:tcW w:w="436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7B327B15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Patient Nr</w:t>
            </w:r>
          </w:p>
        </w:tc>
        <w:tc>
          <w:tcPr>
            <w:tcW w:w="666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5AA8C013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Tumor </w:t>
            </w:r>
          </w:p>
        </w:tc>
        <w:tc>
          <w:tcPr>
            <w:tcW w:w="2591" w:type="pct"/>
            <w:gridSpan w:val="6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6DD8507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Mutations</w:t>
            </w:r>
          </w:p>
        </w:tc>
        <w:tc>
          <w:tcPr>
            <w:tcW w:w="1306" w:type="pct"/>
            <w:tcBorders>
              <w:top w:val="single" w:sz="4" w:space="0" w:color="7F7F7F" w:themeColor="text1" w:themeTint="80"/>
            </w:tcBorders>
            <w:vAlign w:val="center"/>
          </w:tcPr>
          <w:p w14:paraId="4B451524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F57">
              <w:rPr>
                <w:rFonts w:ascii="Times New Roman" w:eastAsia="Times New Roman" w:hAnsi="Times New Roman" w:cs="Times New Roman"/>
                <w:sz w:val="18"/>
                <w:szCs w:val="18"/>
              </w:rPr>
              <w:t>CNVs</w:t>
            </w:r>
          </w:p>
        </w:tc>
      </w:tr>
      <w:tr w:rsidR="00CC1255" w:rsidRPr="00962547" w14:paraId="76BD9085" w14:textId="77777777" w:rsidTr="00301CB9">
        <w:trPr>
          <w:trHeight w:val="440"/>
        </w:trPr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14:paraId="697B5AC9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</w:tcPr>
          <w:p w14:paraId="3C56B3DA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3E7C13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KRAS</w:t>
            </w:r>
          </w:p>
        </w:tc>
        <w:tc>
          <w:tcPr>
            <w:tcW w:w="415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92AC27D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EGFR</w:t>
            </w:r>
          </w:p>
        </w:tc>
        <w:tc>
          <w:tcPr>
            <w:tcW w:w="426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8740A3A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BRAF</w:t>
            </w:r>
          </w:p>
        </w:tc>
        <w:tc>
          <w:tcPr>
            <w:tcW w:w="426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6B94496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NRAS</w:t>
            </w:r>
          </w:p>
        </w:tc>
        <w:tc>
          <w:tcPr>
            <w:tcW w:w="479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C890F73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STK11</w:t>
            </w:r>
          </w:p>
        </w:tc>
        <w:tc>
          <w:tcPr>
            <w:tcW w:w="420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1228A44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TP53</w:t>
            </w: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651F2439" w14:textId="77777777" w:rsidR="00CC1255" w:rsidRPr="00962547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255" w:rsidRPr="00962547" w14:paraId="3B457E55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15E3B25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</w:t>
            </w:r>
          </w:p>
        </w:tc>
        <w:tc>
          <w:tcPr>
            <w:tcW w:w="666" w:type="pct"/>
            <w:vAlign w:val="bottom"/>
          </w:tcPr>
          <w:p w14:paraId="770FEBF4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38DBF6F6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G12C</w:t>
            </w:r>
          </w:p>
        </w:tc>
        <w:tc>
          <w:tcPr>
            <w:tcW w:w="415" w:type="pct"/>
            <w:vAlign w:val="center"/>
          </w:tcPr>
          <w:p w14:paraId="699E170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0E560D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AC041D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2CAB929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splicing</w:t>
            </w:r>
          </w:p>
        </w:tc>
        <w:tc>
          <w:tcPr>
            <w:tcW w:w="420" w:type="pct"/>
            <w:vAlign w:val="center"/>
          </w:tcPr>
          <w:p w14:paraId="4D2302B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R248L</w:t>
            </w:r>
          </w:p>
        </w:tc>
        <w:tc>
          <w:tcPr>
            <w:tcW w:w="1306" w:type="pct"/>
            <w:vAlign w:val="center"/>
          </w:tcPr>
          <w:p w14:paraId="532B32B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55" w:rsidRPr="00962547" w14:paraId="7534A081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40C5346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</w:t>
            </w:r>
          </w:p>
        </w:tc>
        <w:tc>
          <w:tcPr>
            <w:tcW w:w="666" w:type="pct"/>
            <w:vAlign w:val="bottom"/>
          </w:tcPr>
          <w:p w14:paraId="17E3A0D0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29D131F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EF351A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790086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B9FFD2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43BF02C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11D9744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R273L</w:t>
            </w:r>
          </w:p>
        </w:tc>
        <w:tc>
          <w:tcPr>
            <w:tcW w:w="1306" w:type="pct"/>
            <w:vAlign w:val="center"/>
          </w:tcPr>
          <w:p w14:paraId="5E4E197C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F57">
              <w:rPr>
                <w:rFonts w:ascii="Times New Roman" w:eastAsia="Times New Roman" w:hAnsi="Times New Roman" w:cs="Times New Roman"/>
                <w:sz w:val="18"/>
                <w:szCs w:val="18"/>
              </w:rPr>
              <w:t>HER2 amp</w:t>
            </w:r>
          </w:p>
        </w:tc>
      </w:tr>
      <w:tr w:rsidR="00CC1255" w:rsidRPr="00962547" w14:paraId="36A0DF1A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EFE7BBB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</w:t>
            </w:r>
          </w:p>
        </w:tc>
        <w:tc>
          <w:tcPr>
            <w:tcW w:w="666" w:type="pct"/>
            <w:vAlign w:val="bottom"/>
          </w:tcPr>
          <w:p w14:paraId="03DDB35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6B35D490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0B288ED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DFD027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E54245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D03BFC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E165*</w:t>
            </w:r>
          </w:p>
        </w:tc>
        <w:tc>
          <w:tcPr>
            <w:tcW w:w="420" w:type="pct"/>
            <w:vAlign w:val="center"/>
          </w:tcPr>
          <w:p w14:paraId="73E2084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K132*</w:t>
            </w:r>
          </w:p>
        </w:tc>
        <w:tc>
          <w:tcPr>
            <w:tcW w:w="1306" w:type="pct"/>
            <w:vAlign w:val="center"/>
          </w:tcPr>
          <w:p w14:paraId="41640F04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55" w:rsidRPr="00962547" w14:paraId="0F52F267" w14:textId="77777777" w:rsidTr="00301CB9">
        <w:trPr>
          <w:trHeight w:val="20"/>
        </w:trPr>
        <w:tc>
          <w:tcPr>
            <w:tcW w:w="436" w:type="pct"/>
            <w:vAlign w:val="center"/>
          </w:tcPr>
          <w:p w14:paraId="549BA955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</w:t>
            </w:r>
          </w:p>
        </w:tc>
        <w:tc>
          <w:tcPr>
            <w:tcW w:w="666" w:type="pct"/>
            <w:vAlign w:val="bottom"/>
          </w:tcPr>
          <w:p w14:paraId="72BC074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326F3F9A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G12C</w:t>
            </w:r>
          </w:p>
        </w:tc>
        <w:tc>
          <w:tcPr>
            <w:tcW w:w="415" w:type="pct"/>
            <w:vAlign w:val="center"/>
          </w:tcPr>
          <w:p w14:paraId="70E7BB8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511256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G596R</w:t>
            </w:r>
          </w:p>
        </w:tc>
        <w:tc>
          <w:tcPr>
            <w:tcW w:w="426" w:type="pct"/>
            <w:vAlign w:val="center"/>
          </w:tcPr>
          <w:p w14:paraId="7DD566E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7ED91DA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6A5488E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R248L</w:t>
            </w:r>
          </w:p>
        </w:tc>
        <w:tc>
          <w:tcPr>
            <w:tcW w:w="1306" w:type="pct"/>
            <w:vAlign w:val="center"/>
          </w:tcPr>
          <w:p w14:paraId="481601E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1C4D1D03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C2A0ED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5</w:t>
            </w:r>
          </w:p>
        </w:tc>
        <w:tc>
          <w:tcPr>
            <w:tcW w:w="666" w:type="pct"/>
            <w:vAlign w:val="bottom"/>
          </w:tcPr>
          <w:p w14:paraId="74883B7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295F7ED5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G12V</w:t>
            </w:r>
          </w:p>
        </w:tc>
        <w:tc>
          <w:tcPr>
            <w:tcW w:w="415" w:type="pct"/>
            <w:vAlign w:val="center"/>
          </w:tcPr>
          <w:p w14:paraId="4F91896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D51B81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311467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28C92ED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49164E8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C177F</w:t>
            </w:r>
          </w:p>
        </w:tc>
        <w:tc>
          <w:tcPr>
            <w:tcW w:w="1306" w:type="pct"/>
            <w:vAlign w:val="center"/>
          </w:tcPr>
          <w:p w14:paraId="77D0B21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6757A100" w14:textId="77777777" w:rsidTr="00301CB9">
        <w:trPr>
          <w:trHeight w:val="20"/>
        </w:trPr>
        <w:tc>
          <w:tcPr>
            <w:tcW w:w="436" w:type="pct"/>
            <w:vAlign w:val="center"/>
          </w:tcPr>
          <w:p w14:paraId="555EAAEB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6</w:t>
            </w:r>
          </w:p>
        </w:tc>
        <w:tc>
          <w:tcPr>
            <w:tcW w:w="666" w:type="pct"/>
            <w:vAlign w:val="center"/>
          </w:tcPr>
          <w:p w14:paraId="2BCFE75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61EBCD80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2E3784DD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22F0D233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0BBCC60C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640673D4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66967211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34A2DF2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54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55" w:rsidRPr="00962547" w14:paraId="0BADFA2B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7C861EE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7</w:t>
            </w:r>
          </w:p>
        </w:tc>
        <w:tc>
          <w:tcPr>
            <w:tcW w:w="666" w:type="pct"/>
            <w:vAlign w:val="center"/>
          </w:tcPr>
          <w:p w14:paraId="4D61B4A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385BAE80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Q61H</w:t>
            </w:r>
          </w:p>
        </w:tc>
        <w:tc>
          <w:tcPr>
            <w:tcW w:w="415" w:type="pct"/>
            <w:vAlign w:val="center"/>
          </w:tcPr>
          <w:p w14:paraId="304243C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93037D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9DAEC3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6EA44A4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P281fs*6</w:t>
            </w:r>
          </w:p>
        </w:tc>
        <w:tc>
          <w:tcPr>
            <w:tcW w:w="420" w:type="pct"/>
            <w:vAlign w:val="center"/>
          </w:tcPr>
          <w:p w14:paraId="2FC15E6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284F77A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052C0195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C62F573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8</w:t>
            </w:r>
          </w:p>
        </w:tc>
        <w:tc>
          <w:tcPr>
            <w:tcW w:w="666" w:type="pct"/>
            <w:vAlign w:val="center"/>
          </w:tcPr>
          <w:p w14:paraId="6B6F0E99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E8FEAE9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G12F</w:t>
            </w:r>
          </w:p>
        </w:tc>
        <w:tc>
          <w:tcPr>
            <w:tcW w:w="415" w:type="pct"/>
            <w:vAlign w:val="center"/>
          </w:tcPr>
          <w:p w14:paraId="1233B2B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45B76D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3EBBD1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25C2467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917248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77E0C680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42317CF1" w14:textId="77777777" w:rsidTr="00301CB9">
        <w:trPr>
          <w:trHeight w:val="20"/>
        </w:trPr>
        <w:tc>
          <w:tcPr>
            <w:tcW w:w="436" w:type="pct"/>
            <w:vAlign w:val="center"/>
          </w:tcPr>
          <w:p w14:paraId="044565F5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9</w:t>
            </w:r>
          </w:p>
        </w:tc>
        <w:tc>
          <w:tcPr>
            <w:tcW w:w="666" w:type="pct"/>
            <w:vAlign w:val="center"/>
          </w:tcPr>
          <w:p w14:paraId="75651DA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32F6B9B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0D3FEE5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8A7D2C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94D0AB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6BA09E5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0BE8431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68633D3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06AD99B3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F930855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s-ES" w:eastAsia="en-GB"/>
              </w:rPr>
              <w:t>10</w:t>
            </w:r>
          </w:p>
        </w:tc>
        <w:tc>
          <w:tcPr>
            <w:tcW w:w="666" w:type="pct"/>
            <w:vAlign w:val="center"/>
          </w:tcPr>
          <w:p w14:paraId="46B39C7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7386572C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03CB19F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1AED5D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B4E882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1EC9FAF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45AE85F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535533B5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2A1B500D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CEE0D91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11</w:t>
            </w:r>
          </w:p>
        </w:tc>
        <w:tc>
          <w:tcPr>
            <w:tcW w:w="666" w:type="pct"/>
            <w:vAlign w:val="center"/>
          </w:tcPr>
          <w:p w14:paraId="638B4D9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722C727E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E31476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38D2F8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A654A9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2AEABEE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0AAA3AB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3F9AA0E5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10DACBC4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4DADAE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12</w:t>
            </w:r>
          </w:p>
        </w:tc>
        <w:tc>
          <w:tcPr>
            <w:tcW w:w="666" w:type="pct"/>
            <w:vAlign w:val="center"/>
          </w:tcPr>
          <w:p w14:paraId="0B0D14D5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0FE4F058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G12V</w:t>
            </w:r>
          </w:p>
        </w:tc>
        <w:tc>
          <w:tcPr>
            <w:tcW w:w="415" w:type="pct"/>
            <w:vAlign w:val="center"/>
          </w:tcPr>
          <w:p w14:paraId="5CE525F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DEDCE2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70A266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2B6F0EE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5E9BD8E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G245C</w:t>
            </w:r>
          </w:p>
          <w:p w14:paraId="1BDD3B7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/V157I</w:t>
            </w:r>
            <w:r w:rsidRPr="008218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06" w:type="pct"/>
            <w:vAlign w:val="center"/>
          </w:tcPr>
          <w:p w14:paraId="113DF48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4E934314" w14:textId="77777777" w:rsidTr="00301CB9">
        <w:trPr>
          <w:trHeight w:val="20"/>
        </w:trPr>
        <w:tc>
          <w:tcPr>
            <w:tcW w:w="436" w:type="pct"/>
            <w:vAlign w:val="center"/>
          </w:tcPr>
          <w:p w14:paraId="34C7E72F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13</w:t>
            </w:r>
          </w:p>
        </w:tc>
        <w:tc>
          <w:tcPr>
            <w:tcW w:w="666" w:type="pct"/>
            <w:vAlign w:val="center"/>
          </w:tcPr>
          <w:p w14:paraId="73FCCCC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Bladder</w:t>
            </w:r>
          </w:p>
        </w:tc>
        <w:tc>
          <w:tcPr>
            <w:tcW w:w="426" w:type="pct"/>
            <w:vAlign w:val="center"/>
          </w:tcPr>
          <w:p w14:paraId="44485B1D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6DC2E3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7E4F2A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53DDD3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415D4E9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339BEF9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004412D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0D91666A" w14:textId="77777777" w:rsidTr="00301CB9">
        <w:trPr>
          <w:trHeight w:val="20"/>
        </w:trPr>
        <w:tc>
          <w:tcPr>
            <w:tcW w:w="436" w:type="pct"/>
            <w:vAlign w:val="center"/>
          </w:tcPr>
          <w:p w14:paraId="02813DF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14</w:t>
            </w:r>
          </w:p>
        </w:tc>
        <w:tc>
          <w:tcPr>
            <w:tcW w:w="666" w:type="pct"/>
            <w:vAlign w:val="center"/>
          </w:tcPr>
          <w:p w14:paraId="333323F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Melanoma</w:t>
            </w:r>
          </w:p>
        </w:tc>
        <w:tc>
          <w:tcPr>
            <w:tcW w:w="426" w:type="pct"/>
            <w:vAlign w:val="center"/>
          </w:tcPr>
          <w:p w14:paraId="4BF6AE04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517EBBA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5F1B43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49C2EF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16C2E3B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4DA7CF5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39C9CB8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0E844860" w14:textId="77777777" w:rsidTr="00301CB9">
        <w:trPr>
          <w:trHeight w:val="20"/>
        </w:trPr>
        <w:tc>
          <w:tcPr>
            <w:tcW w:w="436" w:type="pct"/>
            <w:vAlign w:val="center"/>
          </w:tcPr>
          <w:p w14:paraId="1E12B3B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15</w:t>
            </w:r>
          </w:p>
        </w:tc>
        <w:tc>
          <w:tcPr>
            <w:tcW w:w="666" w:type="pct"/>
            <w:vAlign w:val="center"/>
          </w:tcPr>
          <w:p w14:paraId="4E85710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Melanoma</w:t>
            </w:r>
          </w:p>
        </w:tc>
        <w:tc>
          <w:tcPr>
            <w:tcW w:w="426" w:type="pct"/>
            <w:vAlign w:val="center"/>
          </w:tcPr>
          <w:p w14:paraId="704F36C5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9F51A1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AF73F1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V600E</w:t>
            </w:r>
          </w:p>
        </w:tc>
        <w:tc>
          <w:tcPr>
            <w:tcW w:w="426" w:type="pct"/>
            <w:vAlign w:val="center"/>
          </w:tcPr>
          <w:p w14:paraId="3A3B776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1660401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0586DF5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2232B63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136BE783" w14:textId="77777777" w:rsidTr="00301CB9">
        <w:trPr>
          <w:trHeight w:val="20"/>
        </w:trPr>
        <w:tc>
          <w:tcPr>
            <w:tcW w:w="436" w:type="pct"/>
            <w:vAlign w:val="center"/>
          </w:tcPr>
          <w:p w14:paraId="03D944CC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16</w:t>
            </w:r>
          </w:p>
        </w:tc>
        <w:tc>
          <w:tcPr>
            <w:tcW w:w="666" w:type="pct"/>
            <w:vAlign w:val="center"/>
          </w:tcPr>
          <w:p w14:paraId="4131093F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13C862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59F2B4C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F0EC5E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4CB404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046DCC5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0344282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68C61DA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265343BB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D9D494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17</w:t>
            </w:r>
          </w:p>
        </w:tc>
        <w:tc>
          <w:tcPr>
            <w:tcW w:w="666" w:type="pct"/>
            <w:vAlign w:val="center"/>
          </w:tcPr>
          <w:p w14:paraId="06112DF2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5C1C47C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43FA4CD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463EDF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8ACE63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C096CF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70A6A33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43D03A2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50675A15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35A2FCD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18</w:t>
            </w:r>
          </w:p>
        </w:tc>
        <w:tc>
          <w:tcPr>
            <w:tcW w:w="666" w:type="pct"/>
            <w:vAlign w:val="center"/>
          </w:tcPr>
          <w:p w14:paraId="15E8C7A2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E3F448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7C33DA9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6C56730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4B87C42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327D330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081BA77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27F3D60C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425BDCED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7F7BBA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19</w:t>
            </w:r>
          </w:p>
        </w:tc>
        <w:tc>
          <w:tcPr>
            <w:tcW w:w="666" w:type="pct"/>
            <w:vAlign w:val="center"/>
          </w:tcPr>
          <w:p w14:paraId="65E708AD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6B44BD3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471C0E8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A65E3D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1E2EC6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0992F1F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6559A1C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3AA0B56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FGFR1 amp</w:t>
            </w:r>
          </w:p>
        </w:tc>
      </w:tr>
      <w:tr w:rsidR="00CC1255" w:rsidRPr="00A8589A" w14:paraId="013D428D" w14:textId="77777777" w:rsidTr="00301CB9">
        <w:trPr>
          <w:trHeight w:val="20"/>
        </w:trPr>
        <w:tc>
          <w:tcPr>
            <w:tcW w:w="436" w:type="pct"/>
            <w:vAlign w:val="center"/>
          </w:tcPr>
          <w:p w14:paraId="593745E4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20</w:t>
            </w:r>
          </w:p>
        </w:tc>
        <w:tc>
          <w:tcPr>
            <w:tcW w:w="666" w:type="pct"/>
            <w:vAlign w:val="center"/>
          </w:tcPr>
          <w:p w14:paraId="388114D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B09743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44BC425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549CDB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B658B3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019BB85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4DFBD45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510D2B26" w14:textId="6E00D6EF" w:rsidR="00CC1255" w:rsidRPr="00A8589A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858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EGFR amp, </w:t>
            </w:r>
            <w:r w:rsidR="00042F9C" w:rsidRPr="003E0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</w:t>
            </w:r>
            <w:r w:rsidRPr="003E0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amp</w:t>
            </w:r>
          </w:p>
        </w:tc>
      </w:tr>
      <w:tr w:rsidR="00CC1255" w:rsidRPr="00962547" w14:paraId="06ADA08E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62EC45C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21</w:t>
            </w:r>
          </w:p>
        </w:tc>
        <w:tc>
          <w:tcPr>
            <w:tcW w:w="666" w:type="pct"/>
            <w:vAlign w:val="center"/>
          </w:tcPr>
          <w:p w14:paraId="6B2FCC8C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Mesothelioma </w:t>
            </w:r>
          </w:p>
        </w:tc>
        <w:tc>
          <w:tcPr>
            <w:tcW w:w="426" w:type="pct"/>
            <w:vAlign w:val="center"/>
          </w:tcPr>
          <w:p w14:paraId="23C6F50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2B21D6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61DC8F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V600E</w:t>
            </w:r>
          </w:p>
        </w:tc>
        <w:tc>
          <w:tcPr>
            <w:tcW w:w="426" w:type="pct"/>
            <w:vAlign w:val="center"/>
          </w:tcPr>
          <w:p w14:paraId="5FB2699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A89ADD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6EDF88E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109386F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1255" w:rsidRPr="00962547" w14:paraId="72267970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DF50D80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22</w:t>
            </w:r>
          </w:p>
        </w:tc>
        <w:tc>
          <w:tcPr>
            <w:tcW w:w="666" w:type="pct"/>
            <w:vAlign w:val="bottom"/>
          </w:tcPr>
          <w:p w14:paraId="4D13BDE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0968BE3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G12D</w:t>
            </w:r>
          </w:p>
        </w:tc>
        <w:tc>
          <w:tcPr>
            <w:tcW w:w="415" w:type="pct"/>
            <w:vAlign w:val="center"/>
          </w:tcPr>
          <w:p w14:paraId="12568E3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D9A90F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DB874C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3863D0D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685012A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62E7D01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1777A709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90DA64A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23</w:t>
            </w:r>
          </w:p>
        </w:tc>
        <w:tc>
          <w:tcPr>
            <w:tcW w:w="666" w:type="pct"/>
            <w:vAlign w:val="bottom"/>
          </w:tcPr>
          <w:p w14:paraId="2BB12E3D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747AD5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3D1612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28A109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75ABDD8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5D5F62D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2F60567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1DE28E3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122468AD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44FB4D2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24</w:t>
            </w:r>
          </w:p>
        </w:tc>
        <w:tc>
          <w:tcPr>
            <w:tcW w:w="666" w:type="pct"/>
            <w:vAlign w:val="bottom"/>
          </w:tcPr>
          <w:p w14:paraId="60D8D11A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78DAB31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G12C</w:t>
            </w:r>
          </w:p>
        </w:tc>
        <w:tc>
          <w:tcPr>
            <w:tcW w:w="415" w:type="pct"/>
            <w:vAlign w:val="center"/>
          </w:tcPr>
          <w:p w14:paraId="7915D26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5365B5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215A036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15422DA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26DD932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1D63A10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74873DF0" w14:textId="77777777" w:rsidTr="00301CB9">
        <w:trPr>
          <w:trHeight w:val="20"/>
        </w:trPr>
        <w:tc>
          <w:tcPr>
            <w:tcW w:w="436" w:type="pct"/>
            <w:vAlign w:val="center"/>
          </w:tcPr>
          <w:p w14:paraId="19D06900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25</w:t>
            </w:r>
          </w:p>
        </w:tc>
        <w:tc>
          <w:tcPr>
            <w:tcW w:w="666" w:type="pct"/>
            <w:vAlign w:val="bottom"/>
          </w:tcPr>
          <w:p w14:paraId="6B58E8A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CE2760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6D7EF3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500318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378ABC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37630A2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6D891C4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400E029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 amp</w:t>
            </w:r>
          </w:p>
        </w:tc>
      </w:tr>
      <w:tr w:rsidR="00CC1255" w:rsidRPr="00962547" w14:paraId="5974C362" w14:textId="77777777" w:rsidTr="00301CB9">
        <w:trPr>
          <w:trHeight w:val="20"/>
        </w:trPr>
        <w:tc>
          <w:tcPr>
            <w:tcW w:w="436" w:type="pct"/>
            <w:vAlign w:val="center"/>
          </w:tcPr>
          <w:p w14:paraId="0360188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26</w:t>
            </w:r>
          </w:p>
        </w:tc>
        <w:tc>
          <w:tcPr>
            <w:tcW w:w="666" w:type="pct"/>
            <w:vAlign w:val="bottom"/>
          </w:tcPr>
          <w:p w14:paraId="18999BBB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57F8209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6507EC0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BF746F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86B9F2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33C527A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D9024D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0DE3064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RET amp</w:t>
            </w:r>
          </w:p>
        </w:tc>
      </w:tr>
      <w:tr w:rsidR="00CC1255" w:rsidRPr="00962547" w14:paraId="1E64A71A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F786E86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27</w:t>
            </w:r>
          </w:p>
        </w:tc>
        <w:tc>
          <w:tcPr>
            <w:tcW w:w="666" w:type="pct"/>
            <w:vAlign w:val="bottom"/>
          </w:tcPr>
          <w:p w14:paraId="7A35086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5F90763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44130BB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9B65EF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5466665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77705F4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D03506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733048C5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00954158" w14:textId="77777777" w:rsidTr="00301CB9">
        <w:trPr>
          <w:trHeight w:val="20"/>
        </w:trPr>
        <w:tc>
          <w:tcPr>
            <w:tcW w:w="436" w:type="pct"/>
            <w:vAlign w:val="center"/>
          </w:tcPr>
          <w:p w14:paraId="166B5BE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28</w:t>
            </w:r>
          </w:p>
        </w:tc>
        <w:tc>
          <w:tcPr>
            <w:tcW w:w="666" w:type="pct"/>
            <w:vAlign w:val="bottom"/>
          </w:tcPr>
          <w:p w14:paraId="2FB15D0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24A7A2F" w14:textId="77777777" w:rsidR="00CC1255" w:rsidRPr="0082180D" w:rsidRDefault="00CC1255" w:rsidP="00301C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3E3E3018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72C7EC72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7AC6C88C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37089BDF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60507AF9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0A8A8EC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612556EF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8F86B8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29</w:t>
            </w:r>
          </w:p>
        </w:tc>
        <w:tc>
          <w:tcPr>
            <w:tcW w:w="666" w:type="pct"/>
            <w:vAlign w:val="bottom"/>
          </w:tcPr>
          <w:p w14:paraId="6D426B2B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2816348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76E8F14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 xml:space="preserve"> NE</w:t>
            </w:r>
          </w:p>
        </w:tc>
        <w:tc>
          <w:tcPr>
            <w:tcW w:w="426" w:type="pct"/>
            <w:vAlign w:val="center"/>
          </w:tcPr>
          <w:p w14:paraId="617D4EB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F42A4F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ABF7EA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7F6BC91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650DE55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6FDFFAF3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084FE7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30</w:t>
            </w:r>
          </w:p>
        </w:tc>
        <w:tc>
          <w:tcPr>
            <w:tcW w:w="666" w:type="pct"/>
            <w:vAlign w:val="bottom"/>
          </w:tcPr>
          <w:p w14:paraId="39230DCC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0D51A9D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5A6AA1CB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47CDE1C1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405A905D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6D612529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42DB8CE1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7BB87EA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24998391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EAB294B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31</w:t>
            </w:r>
          </w:p>
        </w:tc>
        <w:tc>
          <w:tcPr>
            <w:tcW w:w="666" w:type="pct"/>
            <w:vAlign w:val="bottom"/>
          </w:tcPr>
          <w:p w14:paraId="075C2D8B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764BD462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561F97DB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151187E6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5C974623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326AA6C6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408CCFA6" w14:textId="77777777" w:rsidR="00CC1255" w:rsidRPr="0082180D" w:rsidRDefault="00CC1255" w:rsidP="00301CB9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7506E559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379E403A" w14:textId="77777777" w:rsidTr="00301CB9">
        <w:trPr>
          <w:trHeight w:val="20"/>
        </w:trPr>
        <w:tc>
          <w:tcPr>
            <w:tcW w:w="436" w:type="pct"/>
            <w:vAlign w:val="center"/>
          </w:tcPr>
          <w:p w14:paraId="30590B72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32</w:t>
            </w:r>
          </w:p>
        </w:tc>
        <w:tc>
          <w:tcPr>
            <w:tcW w:w="666" w:type="pct"/>
            <w:vAlign w:val="bottom"/>
          </w:tcPr>
          <w:p w14:paraId="6318EFFA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EBB224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7C201E6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73ADF8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89E525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CC925F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BC2A9E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R273C</w:t>
            </w:r>
          </w:p>
        </w:tc>
        <w:tc>
          <w:tcPr>
            <w:tcW w:w="1306" w:type="pct"/>
            <w:vAlign w:val="center"/>
          </w:tcPr>
          <w:p w14:paraId="65FD0B10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34002FAF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D12BBA0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33</w:t>
            </w:r>
          </w:p>
        </w:tc>
        <w:tc>
          <w:tcPr>
            <w:tcW w:w="666" w:type="pct"/>
            <w:vAlign w:val="bottom"/>
          </w:tcPr>
          <w:p w14:paraId="62B4B8B2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A1E811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0F4C50C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DC416A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66A599C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7A0A09A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6E20ACF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7697AE21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357DB265" w14:textId="77777777" w:rsidTr="00301CB9">
        <w:trPr>
          <w:trHeight w:val="20"/>
        </w:trPr>
        <w:tc>
          <w:tcPr>
            <w:tcW w:w="436" w:type="pct"/>
            <w:vAlign w:val="center"/>
          </w:tcPr>
          <w:p w14:paraId="0632249E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34</w:t>
            </w:r>
          </w:p>
        </w:tc>
        <w:tc>
          <w:tcPr>
            <w:tcW w:w="666" w:type="pct"/>
            <w:vAlign w:val="bottom"/>
          </w:tcPr>
          <w:p w14:paraId="4CB3854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E0D0AB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G12A</w:t>
            </w:r>
          </w:p>
        </w:tc>
        <w:tc>
          <w:tcPr>
            <w:tcW w:w="415" w:type="pct"/>
            <w:vAlign w:val="center"/>
          </w:tcPr>
          <w:p w14:paraId="756146CD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2FE6206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2A75177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6911C4C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69B63DD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0F6F222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 amp</w:t>
            </w:r>
          </w:p>
        </w:tc>
      </w:tr>
      <w:tr w:rsidR="00CC1255" w:rsidRPr="00962547" w14:paraId="266E8D38" w14:textId="77777777" w:rsidTr="00301CB9">
        <w:trPr>
          <w:trHeight w:val="20"/>
        </w:trPr>
        <w:tc>
          <w:tcPr>
            <w:tcW w:w="436" w:type="pct"/>
            <w:vAlign w:val="center"/>
          </w:tcPr>
          <w:p w14:paraId="32319513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35</w:t>
            </w:r>
          </w:p>
        </w:tc>
        <w:tc>
          <w:tcPr>
            <w:tcW w:w="666" w:type="pct"/>
            <w:vAlign w:val="bottom"/>
          </w:tcPr>
          <w:p w14:paraId="3330BF36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7024552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G12C</w:t>
            </w:r>
          </w:p>
        </w:tc>
        <w:tc>
          <w:tcPr>
            <w:tcW w:w="415" w:type="pct"/>
            <w:vAlign w:val="center"/>
          </w:tcPr>
          <w:p w14:paraId="3CE2BD0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179F6D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EFEFB9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3706516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086EBBA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1B22F06F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2E8D2E87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A2C6E57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36</w:t>
            </w:r>
          </w:p>
        </w:tc>
        <w:tc>
          <w:tcPr>
            <w:tcW w:w="666" w:type="pct"/>
            <w:vAlign w:val="bottom"/>
          </w:tcPr>
          <w:p w14:paraId="1591E702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95804A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60B84F9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9D23F8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1DBF88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5EDB499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1DA3C05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2E1674D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6CCBCF7C" w14:textId="77777777" w:rsidTr="00301CB9">
        <w:trPr>
          <w:trHeight w:val="20"/>
        </w:trPr>
        <w:tc>
          <w:tcPr>
            <w:tcW w:w="436" w:type="pct"/>
            <w:vAlign w:val="center"/>
          </w:tcPr>
          <w:p w14:paraId="793EC363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37</w:t>
            </w:r>
          </w:p>
        </w:tc>
        <w:tc>
          <w:tcPr>
            <w:tcW w:w="666" w:type="pct"/>
            <w:vAlign w:val="bottom"/>
          </w:tcPr>
          <w:p w14:paraId="77DA9EB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1907556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G12V</w:t>
            </w:r>
          </w:p>
        </w:tc>
        <w:tc>
          <w:tcPr>
            <w:tcW w:w="415" w:type="pct"/>
            <w:vAlign w:val="center"/>
          </w:tcPr>
          <w:p w14:paraId="49642D8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33471F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2E04A7E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03A967D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150060D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4A8F0BFD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49A15738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1E3BB6F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38</w:t>
            </w:r>
          </w:p>
        </w:tc>
        <w:tc>
          <w:tcPr>
            <w:tcW w:w="666" w:type="pct"/>
            <w:vAlign w:val="bottom"/>
          </w:tcPr>
          <w:p w14:paraId="789A8709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5B3B4BD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0CD8925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6B726E9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0097B0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26C1DC9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7637676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468724F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1255" w:rsidRPr="00962547" w14:paraId="23DCBD38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D9BCA1F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39</w:t>
            </w:r>
          </w:p>
        </w:tc>
        <w:tc>
          <w:tcPr>
            <w:tcW w:w="666" w:type="pct"/>
            <w:vAlign w:val="bottom"/>
          </w:tcPr>
          <w:p w14:paraId="6CA5EBBD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3451A1C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3AB738C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2096DE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5ECA015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06A18EC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7EEFB9B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4DB4959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 amp</w:t>
            </w:r>
          </w:p>
        </w:tc>
      </w:tr>
      <w:tr w:rsidR="00CC1255" w:rsidRPr="00962547" w14:paraId="1F18CC01" w14:textId="77777777" w:rsidTr="00301CB9">
        <w:trPr>
          <w:trHeight w:val="20"/>
        </w:trPr>
        <w:tc>
          <w:tcPr>
            <w:tcW w:w="436" w:type="pct"/>
            <w:vAlign w:val="center"/>
          </w:tcPr>
          <w:p w14:paraId="6653D99E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40</w:t>
            </w:r>
          </w:p>
        </w:tc>
        <w:tc>
          <w:tcPr>
            <w:tcW w:w="666" w:type="pct"/>
            <w:vAlign w:val="center"/>
          </w:tcPr>
          <w:p w14:paraId="39D07F2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0EAAE59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4D35C2D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27FAF4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1774317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5F99EFE1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F94622E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6A87579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EGFR am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  <w:p w14:paraId="65378C9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ROS1 transl</w:t>
            </w:r>
          </w:p>
        </w:tc>
      </w:tr>
      <w:tr w:rsidR="00CC1255" w:rsidRPr="00962547" w14:paraId="07E2BAD1" w14:textId="77777777" w:rsidTr="00301CB9">
        <w:trPr>
          <w:trHeight w:val="20"/>
        </w:trPr>
        <w:tc>
          <w:tcPr>
            <w:tcW w:w="436" w:type="pct"/>
            <w:vAlign w:val="center"/>
          </w:tcPr>
          <w:p w14:paraId="15570BB9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41</w:t>
            </w:r>
          </w:p>
        </w:tc>
        <w:tc>
          <w:tcPr>
            <w:tcW w:w="666" w:type="pct"/>
            <w:vAlign w:val="center"/>
          </w:tcPr>
          <w:p w14:paraId="47696504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315515C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G12A/</w:t>
            </w:r>
          </w:p>
          <w:p w14:paraId="28307C0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G12D</w:t>
            </w:r>
          </w:p>
        </w:tc>
        <w:tc>
          <w:tcPr>
            <w:tcW w:w="415" w:type="pct"/>
            <w:vAlign w:val="center"/>
          </w:tcPr>
          <w:p w14:paraId="67122BF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3F2DC1B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596DE75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6850EE96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03DDE59C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72BE4179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65A93FC5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025A125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42</w:t>
            </w:r>
          </w:p>
        </w:tc>
        <w:tc>
          <w:tcPr>
            <w:tcW w:w="666" w:type="pct"/>
            <w:vAlign w:val="bottom"/>
          </w:tcPr>
          <w:p w14:paraId="5EA3CB4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CBA3D8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G12C</w:t>
            </w:r>
          </w:p>
        </w:tc>
        <w:tc>
          <w:tcPr>
            <w:tcW w:w="415" w:type="pct"/>
            <w:vAlign w:val="center"/>
          </w:tcPr>
          <w:p w14:paraId="1FD762F9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24FCB8C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0E48BD3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178F1563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673431D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586995EB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1255" w:rsidRPr="00962547" w14:paraId="4B101319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9005BE2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43</w:t>
            </w:r>
          </w:p>
        </w:tc>
        <w:tc>
          <w:tcPr>
            <w:tcW w:w="666" w:type="pct"/>
            <w:vAlign w:val="bottom"/>
          </w:tcPr>
          <w:p w14:paraId="0DD1B57C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412C1B5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54224C9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2E0671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35DEAB7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3A6538E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584561C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78C57B17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1255" w:rsidRPr="00962547" w14:paraId="56054A54" w14:textId="77777777" w:rsidTr="00301CB9">
        <w:trPr>
          <w:trHeight w:val="20"/>
        </w:trPr>
        <w:tc>
          <w:tcPr>
            <w:tcW w:w="436" w:type="pct"/>
            <w:vAlign w:val="center"/>
          </w:tcPr>
          <w:p w14:paraId="42B975BB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44</w:t>
            </w:r>
          </w:p>
        </w:tc>
        <w:tc>
          <w:tcPr>
            <w:tcW w:w="666" w:type="pct"/>
            <w:vAlign w:val="bottom"/>
          </w:tcPr>
          <w:p w14:paraId="5FE663F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2496F80B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15" w:type="pct"/>
            <w:vAlign w:val="center"/>
          </w:tcPr>
          <w:p w14:paraId="4EB67FA2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4A4B483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6" w:type="pct"/>
            <w:vAlign w:val="center"/>
          </w:tcPr>
          <w:p w14:paraId="451D2737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79" w:type="pct"/>
            <w:vAlign w:val="center"/>
          </w:tcPr>
          <w:p w14:paraId="0A76314A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420" w:type="pct"/>
            <w:vAlign w:val="center"/>
          </w:tcPr>
          <w:p w14:paraId="734DA23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06" w:type="pct"/>
            <w:vAlign w:val="center"/>
          </w:tcPr>
          <w:p w14:paraId="04554358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1255" w:rsidRPr="00962547" w14:paraId="7E991AA8" w14:textId="77777777" w:rsidTr="00301CB9">
        <w:trPr>
          <w:trHeight w:val="20"/>
        </w:trPr>
        <w:tc>
          <w:tcPr>
            <w:tcW w:w="436" w:type="pct"/>
            <w:vAlign w:val="center"/>
          </w:tcPr>
          <w:p w14:paraId="24015DAC" w14:textId="77777777" w:rsidR="00CC1255" w:rsidRPr="00962547" w:rsidRDefault="00CC1255" w:rsidP="00301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</w:pPr>
            <w:r w:rsidRPr="0096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n-GB"/>
              </w:rPr>
              <w:t>45</w:t>
            </w:r>
          </w:p>
        </w:tc>
        <w:tc>
          <w:tcPr>
            <w:tcW w:w="666" w:type="pct"/>
            <w:vAlign w:val="center"/>
          </w:tcPr>
          <w:p w14:paraId="63734B33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426" w:type="pct"/>
            <w:vAlign w:val="center"/>
          </w:tcPr>
          <w:p w14:paraId="5918DAD0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15" w:type="pct"/>
            <w:vAlign w:val="center"/>
          </w:tcPr>
          <w:p w14:paraId="298F3DF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6" w:type="pct"/>
            <w:vAlign w:val="center"/>
          </w:tcPr>
          <w:p w14:paraId="774A30B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K601N</w:t>
            </w:r>
          </w:p>
          <w:p w14:paraId="743B7E1F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/P632S</w:t>
            </w:r>
            <w:r w:rsidRPr="008218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pct"/>
            <w:vAlign w:val="center"/>
          </w:tcPr>
          <w:p w14:paraId="29625A88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79" w:type="pct"/>
            <w:vAlign w:val="center"/>
          </w:tcPr>
          <w:p w14:paraId="3D37E335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420" w:type="pct"/>
            <w:vAlign w:val="center"/>
          </w:tcPr>
          <w:p w14:paraId="24142CE4" w14:textId="77777777" w:rsidR="00CC1255" w:rsidRPr="0082180D" w:rsidRDefault="00CC1255" w:rsidP="0030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80D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306" w:type="pct"/>
            <w:vAlign w:val="center"/>
          </w:tcPr>
          <w:p w14:paraId="350AE8FE" w14:textId="77777777" w:rsidR="00CC1255" w:rsidRPr="00962547" w:rsidRDefault="00CC1255" w:rsidP="0030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2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7354AB4D" w14:textId="77777777" w:rsidR="00B526D5" w:rsidRDefault="00B526D5" w:rsidP="00266D36"/>
    <w:p w14:paraId="7301BA1D" w14:textId="0A39A55B" w:rsidR="00B526D5" w:rsidRDefault="00301CB9" w:rsidP="00266D36">
      <w:r>
        <w:rPr>
          <w:noProof/>
          <w:lang w:eastAsia="zh-CN"/>
        </w:rPr>
        <w:lastRenderedPageBreak/>
        <w:drawing>
          <wp:inline distT="0" distB="0" distL="0" distR="0" wp14:anchorId="4AF47547" wp14:editId="6EF75557">
            <wp:extent cx="3779520" cy="2545926"/>
            <wp:effectExtent l="0" t="0" r="0" b="698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604" cy="255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59A60" w14:textId="77777777" w:rsidR="00B526D5" w:rsidRDefault="00B526D5" w:rsidP="00266D36"/>
    <w:p w14:paraId="2F500685" w14:textId="21D6FBE7" w:rsidR="00301CB9" w:rsidRPr="00301CB9" w:rsidRDefault="00B526D5" w:rsidP="00154742">
      <w:pPr>
        <w:spacing w:line="360" w:lineRule="auto"/>
        <w:jc w:val="both"/>
      </w:pPr>
      <w:r w:rsidRPr="00301CB9">
        <w:rPr>
          <w:b/>
          <w:bCs/>
        </w:rPr>
        <w:t>Figure S1</w:t>
      </w:r>
      <w:r w:rsidR="00301CB9">
        <w:t xml:space="preserve">. A) </w:t>
      </w:r>
      <w:r w:rsidR="00301CB9" w:rsidRPr="00301CB9">
        <w:t>Normalized HMGB1 mRNA counts in patients with and without HIV-1 infection (n=45, Mann-Whitney U test, p = 0.609).</w:t>
      </w:r>
      <w:r w:rsidR="00301CB9">
        <w:t xml:space="preserve"> B) </w:t>
      </w:r>
      <w:r w:rsidR="00301CB9" w:rsidRPr="00301CB9">
        <w:t>Normalized HMGB1 mRNA counts in patients with and without clinical benefit (objective response or stable disease for more than 24 weeks by RECISTS 1.1 criteria) from ICI-treatment (n = 40, Mann-Whitney U test, p = 0.048).</w:t>
      </w:r>
    </w:p>
    <w:p w14:paraId="5D60BD8F" w14:textId="77777777" w:rsidR="00301CB9" w:rsidRDefault="00301CB9" w:rsidP="00301CB9">
      <w:pPr>
        <w:jc w:val="both"/>
      </w:pPr>
    </w:p>
    <w:p w14:paraId="22141945" w14:textId="26C35EED" w:rsidR="00A74AAD" w:rsidRDefault="00E61878" w:rsidP="00BE137B">
      <w:pPr>
        <w:pStyle w:val="SMHeading"/>
      </w:pPr>
      <w:r w:rsidRPr="00A74AAD">
        <w:rPr>
          <w:noProof/>
          <w:lang w:eastAsia="zh-CN"/>
        </w:rPr>
        <w:drawing>
          <wp:inline distT="0" distB="0" distL="0" distR="0" wp14:anchorId="513E1FF2" wp14:editId="3B02E2EF">
            <wp:extent cx="5942846" cy="2178121"/>
            <wp:effectExtent l="0" t="0" r="127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9219" b="25623"/>
                    <a:stretch/>
                  </pic:blipFill>
                  <pic:spPr bwMode="auto">
                    <a:xfrm>
                      <a:off x="0" y="0"/>
                      <a:ext cx="5943600" cy="2178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BA325" w14:textId="70F7F7B8" w:rsidR="00FF3104" w:rsidRPr="00680D95" w:rsidRDefault="007411A1" w:rsidP="00154742">
      <w:pPr>
        <w:pStyle w:val="SMHeading"/>
        <w:spacing w:line="360" w:lineRule="auto"/>
        <w:jc w:val="both"/>
      </w:pPr>
      <w:r w:rsidRPr="00355362">
        <w:t>Fig</w:t>
      </w:r>
      <w:r w:rsidR="00821F38">
        <w:rPr>
          <w:rFonts w:hint="eastAsia"/>
          <w:lang w:eastAsia="zh-CN"/>
        </w:rPr>
        <w:t>ure</w:t>
      </w:r>
      <w:r w:rsidRPr="00355362">
        <w:t>. S</w:t>
      </w:r>
      <w:r w:rsidR="00B526D5">
        <w:t>2</w:t>
      </w:r>
      <w:r w:rsidR="00C83CF1">
        <w:t xml:space="preserve">. </w:t>
      </w:r>
      <w:r w:rsidR="00FF3104" w:rsidRPr="00154742">
        <w:rPr>
          <w:b w:val="0"/>
          <w:bCs w:val="0"/>
        </w:rPr>
        <w:t xml:space="preserve">Differential </w:t>
      </w:r>
      <w:r w:rsidR="00A74AAD" w:rsidRPr="00154742">
        <w:rPr>
          <w:b w:val="0"/>
          <w:bCs w:val="0"/>
        </w:rPr>
        <w:t xml:space="preserve">expression of HMGB1 </w:t>
      </w:r>
      <w:r w:rsidR="00FF3104" w:rsidRPr="00154742">
        <w:rPr>
          <w:b w:val="0"/>
          <w:bCs w:val="0"/>
        </w:rPr>
        <w:t xml:space="preserve">in pre-ICI-treatment FFPE tumor tissue samples in patients with </w:t>
      </w:r>
      <w:r w:rsidR="00266D36" w:rsidRPr="00154742">
        <w:rPr>
          <w:b w:val="0"/>
          <w:bCs w:val="0"/>
        </w:rPr>
        <w:t>and</w:t>
      </w:r>
      <w:r w:rsidR="00FF3104" w:rsidRPr="00154742">
        <w:rPr>
          <w:b w:val="0"/>
          <w:bCs w:val="0"/>
        </w:rPr>
        <w:t xml:space="preserve"> without clinical benefit. A)</w:t>
      </w:r>
      <w:r w:rsidR="00A74AAD" w:rsidRPr="00154742">
        <w:rPr>
          <w:b w:val="0"/>
          <w:bCs w:val="0"/>
        </w:rPr>
        <w:t xml:space="preserve"> </w:t>
      </w:r>
      <w:r w:rsidR="00FF3104" w:rsidRPr="00154742">
        <w:rPr>
          <w:b w:val="0"/>
          <w:bCs w:val="0"/>
        </w:rPr>
        <w:t xml:space="preserve">Normalized HMGB1 mRNA counts in nonHIV-1 infected patients with and without clinical benefit (objective response or stable disease for more than 24 weeks by RECISTS 1.1 criteria) from ICI-treatment (n = 26). </w:t>
      </w:r>
      <w:r w:rsidR="00A74AAD" w:rsidRPr="00154742">
        <w:rPr>
          <w:b w:val="0"/>
          <w:bCs w:val="0"/>
        </w:rPr>
        <w:t>B</w:t>
      </w:r>
      <w:r w:rsidR="00FF3104" w:rsidRPr="00154742">
        <w:rPr>
          <w:b w:val="0"/>
          <w:bCs w:val="0"/>
        </w:rPr>
        <w:t xml:space="preserve">) Normalized HMGB1 mRNA counts in HIV-1 infected patients with and without clinical benefit from ICI-treatment (n = 14). </w:t>
      </w:r>
      <w:proofErr w:type="spellStart"/>
      <w:r w:rsidR="00FF3104" w:rsidRPr="00154742">
        <w:rPr>
          <w:b w:val="0"/>
          <w:bCs w:val="0"/>
        </w:rPr>
        <w:t>CB:clinical</w:t>
      </w:r>
      <w:proofErr w:type="spellEnd"/>
      <w:r w:rsidR="00FF3104" w:rsidRPr="00154742">
        <w:rPr>
          <w:b w:val="0"/>
          <w:bCs w:val="0"/>
        </w:rPr>
        <w:t xml:space="preserve"> benefit; ns: not significant</w:t>
      </w:r>
      <w:r w:rsidR="00FF3104" w:rsidRPr="00680D95">
        <w:t>.</w:t>
      </w:r>
    </w:p>
    <w:p w14:paraId="768AF01B" w14:textId="40B33084" w:rsidR="00BE137B" w:rsidRDefault="00BE137B"/>
    <w:p w14:paraId="36289329" w14:textId="6EAB7E99" w:rsidR="00301CB9" w:rsidRDefault="00301CB9">
      <w:r>
        <w:rPr>
          <w:noProof/>
          <w:lang w:eastAsia="zh-CN"/>
        </w:rPr>
        <w:lastRenderedPageBreak/>
        <w:drawing>
          <wp:anchor distT="0" distB="0" distL="114300" distR="114300" simplePos="0" relativeHeight="251673600" behindDoc="0" locked="0" layoutInCell="1" allowOverlap="1" wp14:anchorId="3FDBF487" wp14:editId="44473962">
            <wp:simplePos x="0" y="0"/>
            <wp:positionH relativeFrom="column">
              <wp:posOffset>2036445</wp:posOffset>
            </wp:positionH>
            <wp:positionV relativeFrom="paragraph">
              <wp:posOffset>384175</wp:posOffset>
            </wp:positionV>
            <wp:extent cx="2130169" cy="218853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169" cy="218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AAD">
        <w:rPr>
          <w:noProof/>
          <w:lang w:eastAsia="zh-CN"/>
        </w:rPr>
        <w:drawing>
          <wp:anchor distT="0" distB="0" distL="114300" distR="114300" simplePos="0" relativeHeight="251674624" behindDoc="0" locked="0" layoutInCell="1" allowOverlap="1" wp14:anchorId="7337F9CE" wp14:editId="45773CA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92578" cy="226336"/>
            <wp:effectExtent l="0" t="0" r="0" b="254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9" r="32811" b="84010"/>
                    <a:stretch/>
                  </pic:blipFill>
                  <pic:spPr bwMode="auto">
                    <a:xfrm>
                      <a:off x="0" y="0"/>
                      <a:ext cx="3992578" cy="226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C6777" w14:textId="4424AE3D" w:rsidR="00301CB9" w:rsidRDefault="00301CB9">
      <w:r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0A5EFDBC" wp14:editId="16A1682F">
            <wp:simplePos x="0" y="0"/>
            <wp:positionH relativeFrom="column">
              <wp:posOffset>142240</wp:posOffset>
            </wp:positionH>
            <wp:positionV relativeFrom="paragraph">
              <wp:posOffset>167640</wp:posOffset>
            </wp:positionV>
            <wp:extent cx="1774546" cy="2127439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46" cy="212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0DB3" w14:textId="77777777" w:rsidR="00301CB9" w:rsidRDefault="00301CB9" w:rsidP="00E61878">
      <w:pPr>
        <w:pStyle w:val="SMHeading"/>
      </w:pPr>
    </w:p>
    <w:p w14:paraId="459E522F" w14:textId="77777777" w:rsidR="00301CB9" w:rsidRDefault="00301CB9" w:rsidP="00E61878">
      <w:pPr>
        <w:pStyle w:val="SMHeading"/>
      </w:pPr>
    </w:p>
    <w:p w14:paraId="0192E81C" w14:textId="355920A1" w:rsidR="00301CB9" w:rsidRDefault="00301CB9" w:rsidP="00E61878">
      <w:pPr>
        <w:pStyle w:val="SMHeading"/>
      </w:pPr>
    </w:p>
    <w:p w14:paraId="374590D0" w14:textId="02D14A9E" w:rsidR="000B4371" w:rsidRDefault="000B4371" w:rsidP="00E61878">
      <w:pPr>
        <w:pStyle w:val="SMHeading"/>
      </w:pPr>
    </w:p>
    <w:p w14:paraId="322834B7" w14:textId="4B7B157E" w:rsidR="000B4371" w:rsidRDefault="000B4371" w:rsidP="00E61878">
      <w:pPr>
        <w:pStyle w:val="SMHeading"/>
      </w:pPr>
    </w:p>
    <w:p w14:paraId="4BF4586B" w14:textId="77F0CBF2" w:rsidR="000B4371" w:rsidRDefault="000B4371" w:rsidP="00E61878">
      <w:pPr>
        <w:pStyle w:val="SMHeading"/>
      </w:pPr>
    </w:p>
    <w:p w14:paraId="1B0AD928" w14:textId="77777777" w:rsidR="000B4371" w:rsidRDefault="000B4371" w:rsidP="00E61878">
      <w:pPr>
        <w:pStyle w:val="SMHeading"/>
      </w:pPr>
    </w:p>
    <w:p w14:paraId="16C457F9" w14:textId="5E0B36AF" w:rsidR="00E61878" w:rsidRPr="00680D95" w:rsidRDefault="00E61878" w:rsidP="00E61878">
      <w:pPr>
        <w:spacing w:line="360" w:lineRule="auto"/>
        <w:jc w:val="both"/>
        <w:rPr>
          <w:szCs w:val="24"/>
        </w:rPr>
      </w:pPr>
      <w:r w:rsidRPr="00301CB9">
        <w:rPr>
          <w:b/>
          <w:bCs/>
        </w:rPr>
        <w:t>Fig</w:t>
      </w:r>
      <w:r w:rsidRPr="00301CB9">
        <w:rPr>
          <w:rFonts w:hint="eastAsia"/>
          <w:b/>
          <w:bCs/>
          <w:lang w:eastAsia="zh-CN"/>
        </w:rPr>
        <w:t>ure</w:t>
      </w:r>
      <w:r w:rsidRPr="00301CB9">
        <w:rPr>
          <w:b/>
          <w:bCs/>
        </w:rPr>
        <w:t>. S</w:t>
      </w:r>
      <w:r w:rsidR="00301CB9" w:rsidRPr="00301CB9">
        <w:rPr>
          <w:b/>
          <w:bCs/>
        </w:rPr>
        <w:t>3</w:t>
      </w:r>
      <w:r w:rsidRPr="00355362">
        <w:t>.</w:t>
      </w:r>
      <w:r w:rsidR="00C83CF1">
        <w:t xml:space="preserve"> </w:t>
      </w:r>
      <w:r>
        <w:rPr>
          <w:szCs w:val="24"/>
        </w:rPr>
        <w:t xml:space="preserve">Transcriptomic analysis </w:t>
      </w:r>
      <w:r w:rsidR="008A3E4D">
        <w:rPr>
          <w:szCs w:val="24"/>
        </w:rPr>
        <w:t>of</w:t>
      </w:r>
      <w:r>
        <w:rPr>
          <w:szCs w:val="24"/>
        </w:rPr>
        <w:t xml:space="preserve"> plasma extracellular vesicles (EV) from cancer patients indicates no exosomal expression of the HMGB1 gene</w:t>
      </w:r>
      <w:r w:rsidRPr="00680D95">
        <w:rPr>
          <w:szCs w:val="24"/>
        </w:rPr>
        <w:t>.</w:t>
      </w:r>
      <w:r>
        <w:rPr>
          <w:szCs w:val="24"/>
        </w:rPr>
        <w:t xml:space="preserve"> </w:t>
      </w:r>
      <w:r w:rsidRPr="00325D76">
        <w:rPr>
          <w:b/>
          <w:bCs/>
          <w:szCs w:val="24"/>
        </w:rPr>
        <w:t>A)</w:t>
      </w:r>
      <w:r>
        <w:rPr>
          <w:szCs w:val="24"/>
        </w:rPr>
        <w:t xml:space="preserve"> Total number of genes detected in EVs isolated from cancer patients (min = 16; max = 313).  </w:t>
      </w:r>
      <w:r>
        <w:rPr>
          <w:b/>
          <w:bCs/>
          <w:szCs w:val="24"/>
        </w:rPr>
        <w:t>B</w:t>
      </w:r>
      <w:r w:rsidRPr="00680D95">
        <w:rPr>
          <w:b/>
          <w:bCs/>
          <w:szCs w:val="24"/>
        </w:rPr>
        <w:t>)</w:t>
      </w:r>
      <w:r w:rsidRPr="00680D95">
        <w:rPr>
          <w:szCs w:val="24"/>
        </w:rPr>
        <w:t xml:space="preserve"> </w:t>
      </w:r>
      <w:r>
        <w:rPr>
          <w:szCs w:val="24"/>
        </w:rPr>
        <w:t xml:space="preserve">Expression of control genes (UBB, SF3A1, OAZ1, G6PD and ERCC3) compared to HMGB1. No expression was found for HGMB1, while different expression rates </w:t>
      </w:r>
      <w:r w:rsidR="00D301EC">
        <w:rPr>
          <w:szCs w:val="24"/>
        </w:rPr>
        <w:t>were</w:t>
      </w:r>
      <w:r>
        <w:rPr>
          <w:szCs w:val="24"/>
        </w:rPr>
        <w:t xml:space="preserve"> found for the control genes, validating the performance of the nCounter runs. </w:t>
      </w:r>
    </w:p>
    <w:p w14:paraId="056FADD9" w14:textId="77777777" w:rsidR="00E61878" w:rsidRDefault="00E61878" w:rsidP="00E61878"/>
    <w:p w14:paraId="2169B494" w14:textId="289CEA53" w:rsidR="00E61878" w:rsidRDefault="00E61878"/>
    <w:p w14:paraId="56FC3B8F" w14:textId="2585BE48" w:rsidR="00B60AC1" w:rsidRDefault="00B60AC1"/>
    <w:p w14:paraId="16E1A820" w14:textId="646C612C" w:rsidR="00B60AC1" w:rsidRDefault="00B60AC1"/>
    <w:p w14:paraId="72E4F1D2" w14:textId="754BA6EE" w:rsidR="00B60AC1" w:rsidRDefault="00B60AC1"/>
    <w:p w14:paraId="1BA0A8BC" w14:textId="09376BBF" w:rsidR="00B60AC1" w:rsidRDefault="00B60AC1"/>
    <w:p w14:paraId="30B6782E" w14:textId="632D3D86" w:rsidR="00B60AC1" w:rsidRDefault="00B60AC1"/>
    <w:p w14:paraId="599E1C17" w14:textId="21A8731A" w:rsidR="00B60AC1" w:rsidRDefault="00B60AC1"/>
    <w:p w14:paraId="565470A1" w14:textId="0071B592" w:rsidR="00B60AC1" w:rsidRDefault="00B60AC1"/>
    <w:p w14:paraId="254F56CA" w14:textId="6FC1586D" w:rsidR="00B60AC1" w:rsidRDefault="00B60AC1"/>
    <w:p w14:paraId="676A3928" w14:textId="711F96CF" w:rsidR="00B60AC1" w:rsidRDefault="00B60AC1"/>
    <w:p w14:paraId="63E976E3" w14:textId="0E82CDB1" w:rsidR="00B60AC1" w:rsidRDefault="00B60AC1"/>
    <w:p w14:paraId="4B19B001" w14:textId="52636C14" w:rsidR="00B60AC1" w:rsidRDefault="00B60AC1"/>
    <w:p w14:paraId="1B4A882B" w14:textId="7B41F168" w:rsidR="00B60AC1" w:rsidRDefault="00B60AC1"/>
    <w:p w14:paraId="365E3383" w14:textId="7694CE0B" w:rsidR="00B60AC1" w:rsidRDefault="00B60AC1"/>
    <w:p w14:paraId="0DFA67F8" w14:textId="5A734293" w:rsidR="00B60AC1" w:rsidRDefault="00B60AC1"/>
    <w:p w14:paraId="12CDE50F" w14:textId="007E5577" w:rsidR="00B60AC1" w:rsidRDefault="00B60AC1"/>
    <w:p w14:paraId="4B9CA63B" w14:textId="538B467E" w:rsidR="00B60AC1" w:rsidRDefault="00B60AC1"/>
    <w:p w14:paraId="08A873A8" w14:textId="31BA1F69" w:rsidR="00B60AC1" w:rsidRDefault="00B60AC1"/>
    <w:p w14:paraId="0EE4258A" w14:textId="63FED8DB" w:rsidR="00B60AC1" w:rsidRDefault="00B60AC1"/>
    <w:p w14:paraId="24958DEF" w14:textId="09F7679B" w:rsidR="00B60AC1" w:rsidRDefault="00B60AC1"/>
    <w:p w14:paraId="0AF74C95" w14:textId="38387FC3" w:rsidR="00301CB9" w:rsidRDefault="00301CB9" w:rsidP="00B60AC1">
      <w:pPr>
        <w:pStyle w:val="SMHeading"/>
      </w:pPr>
    </w:p>
    <w:p w14:paraId="0BD55281" w14:textId="36CBFFA9" w:rsidR="00301CB9" w:rsidRDefault="001F0353" w:rsidP="00B60AC1">
      <w:pPr>
        <w:pStyle w:val="SMHeading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FA71BAB" wp14:editId="5E13982A">
            <wp:simplePos x="0" y="0"/>
            <wp:positionH relativeFrom="column">
              <wp:posOffset>-152783</wp:posOffset>
            </wp:positionH>
            <wp:positionV relativeFrom="paragraph">
              <wp:posOffset>222685</wp:posOffset>
            </wp:positionV>
            <wp:extent cx="3566672" cy="2654072"/>
            <wp:effectExtent l="0" t="0" r="0" b="0"/>
            <wp:wrapNone/>
            <wp:docPr id="88301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1794" name="Picture 8830179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672" cy="2654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C0B" w:rsidRPr="00A74AAD">
        <w:rPr>
          <w:noProof/>
          <w:lang w:eastAsia="zh-CN"/>
        </w:rPr>
        <w:drawing>
          <wp:anchor distT="0" distB="0" distL="114300" distR="114300" simplePos="0" relativeHeight="251683840" behindDoc="0" locked="0" layoutInCell="1" allowOverlap="1" wp14:anchorId="681E7F85" wp14:editId="5A8795ED">
            <wp:simplePos x="0" y="0"/>
            <wp:positionH relativeFrom="column">
              <wp:posOffset>3412067</wp:posOffset>
            </wp:positionH>
            <wp:positionV relativeFrom="paragraph">
              <wp:posOffset>52070</wp:posOffset>
            </wp:positionV>
            <wp:extent cx="2184309" cy="226060"/>
            <wp:effectExtent l="0" t="0" r="635" b="2540"/>
            <wp:wrapNone/>
            <wp:docPr id="670188509" name="Picture 670188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86" t="9219" r="32811" b="84010"/>
                    <a:stretch/>
                  </pic:blipFill>
                  <pic:spPr bwMode="auto">
                    <a:xfrm>
                      <a:off x="0" y="0"/>
                      <a:ext cx="2186976" cy="226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C0B" w:rsidRPr="00A74AAD">
        <w:rPr>
          <w:noProof/>
          <w:lang w:eastAsia="zh-CN"/>
        </w:rPr>
        <w:drawing>
          <wp:anchor distT="0" distB="0" distL="114300" distR="114300" simplePos="0" relativeHeight="251681792" behindDoc="0" locked="0" layoutInCell="1" allowOverlap="1" wp14:anchorId="50885047" wp14:editId="0ECD1539">
            <wp:simplePos x="0" y="0"/>
            <wp:positionH relativeFrom="column">
              <wp:posOffset>-25400</wp:posOffset>
            </wp:positionH>
            <wp:positionV relativeFrom="paragraph">
              <wp:posOffset>43603</wp:posOffset>
            </wp:positionV>
            <wp:extent cx="448733" cy="228600"/>
            <wp:effectExtent l="0" t="0" r="0" b="0"/>
            <wp:wrapNone/>
            <wp:docPr id="1968699451" name="Picture 1968699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9" r="92439" b="83934"/>
                    <a:stretch/>
                  </pic:blipFill>
                  <pic:spPr bwMode="auto">
                    <a:xfrm>
                      <a:off x="0" y="0"/>
                      <a:ext cx="449281" cy="22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C0B" w:rsidRPr="00461C0B">
        <w:rPr>
          <w:noProof/>
        </w:rPr>
        <w:drawing>
          <wp:anchor distT="0" distB="0" distL="114300" distR="114300" simplePos="0" relativeHeight="251679744" behindDoc="0" locked="0" layoutInCell="1" allowOverlap="1" wp14:anchorId="4A4CEECE" wp14:editId="168537C1">
            <wp:simplePos x="0" y="0"/>
            <wp:positionH relativeFrom="column">
              <wp:posOffset>3493770</wp:posOffset>
            </wp:positionH>
            <wp:positionV relativeFrom="paragraph">
              <wp:posOffset>271568</wp:posOffset>
            </wp:positionV>
            <wp:extent cx="2683934" cy="2196465"/>
            <wp:effectExtent l="0" t="0" r="0" b="635"/>
            <wp:wrapNone/>
            <wp:docPr id="1413853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5340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r="24373"/>
                    <a:stretch/>
                  </pic:blipFill>
                  <pic:spPr bwMode="auto">
                    <a:xfrm>
                      <a:off x="0" y="0"/>
                      <a:ext cx="2683934" cy="219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1ED4C" w14:textId="17DC94F2" w:rsidR="00301CB9" w:rsidRDefault="00301CB9" w:rsidP="00B60AC1">
      <w:pPr>
        <w:pStyle w:val="SMHeading"/>
      </w:pPr>
    </w:p>
    <w:p w14:paraId="48B0E2BA" w14:textId="0BB4FD95" w:rsidR="00301CB9" w:rsidRDefault="00301CB9" w:rsidP="00B60AC1">
      <w:pPr>
        <w:pStyle w:val="SMHeading"/>
      </w:pPr>
    </w:p>
    <w:p w14:paraId="4DFC1F17" w14:textId="11F87546" w:rsidR="00301CB9" w:rsidRDefault="00301CB9" w:rsidP="00B60AC1">
      <w:pPr>
        <w:pStyle w:val="SMHeading"/>
      </w:pPr>
    </w:p>
    <w:p w14:paraId="59C906B7" w14:textId="77777777" w:rsidR="00301CB9" w:rsidRDefault="00301CB9" w:rsidP="00B60AC1">
      <w:pPr>
        <w:pStyle w:val="SMHeading"/>
      </w:pPr>
    </w:p>
    <w:p w14:paraId="2C0425A6" w14:textId="77777777" w:rsidR="00301CB9" w:rsidRDefault="00301CB9" w:rsidP="00B60AC1">
      <w:pPr>
        <w:pStyle w:val="SMHeading"/>
      </w:pPr>
    </w:p>
    <w:p w14:paraId="4A0666D9" w14:textId="77777777" w:rsidR="00301CB9" w:rsidRDefault="00301CB9" w:rsidP="00B60AC1">
      <w:pPr>
        <w:pStyle w:val="SMHeading"/>
      </w:pPr>
    </w:p>
    <w:p w14:paraId="087540E6" w14:textId="77777777" w:rsidR="00301CB9" w:rsidRDefault="00301CB9" w:rsidP="00B60AC1">
      <w:pPr>
        <w:pStyle w:val="SMHeading"/>
      </w:pPr>
    </w:p>
    <w:p w14:paraId="2D8CA39D" w14:textId="4D36FABE" w:rsidR="00B60AC1" w:rsidRPr="00154742" w:rsidRDefault="00B60AC1" w:rsidP="00154742">
      <w:pPr>
        <w:pStyle w:val="SMHeading"/>
        <w:spacing w:line="360" w:lineRule="auto"/>
        <w:jc w:val="both"/>
      </w:pPr>
      <w:r w:rsidRPr="00355362">
        <w:t>Fig</w:t>
      </w:r>
      <w:r>
        <w:rPr>
          <w:rFonts w:hint="eastAsia"/>
          <w:lang w:eastAsia="zh-CN"/>
        </w:rPr>
        <w:t>ure</w:t>
      </w:r>
      <w:r w:rsidRPr="00355362">
        <w:t>. S</w:t>
      </w:r>
      <w:r w:rsidR="00301CB9">
        <w:t>4</w:t>
      </w:r>
      <w:r w:rsidRPr="00355362">
        <w:t>.</w:t>
      </w:r>
      <w:r w:rsidR="00C83CF1">
        <w:t xml:space="preserve"> </w:t>
      </w:r>
      <w:r w:rsidRPr="00154742">
        <w:rPr>
          <w:b w:val="0"/>
          <w:bCs w:val="0"/>
        </w:rPr>
        <w:t>HMGB1 concentration in plasma from cancer patients measured by enzyme-linked immunosorbent assay (ELISA).</w:t>
      </w:r>
      <w:r w:rsidR="00461C0B">
        <w:rPr>
          <w:b w:val="0"/>
          <w:bCs w:val="0"/>
        </w:rPr>
        <w:t xml:space="preserve"> </w:t>
      </w:r>
      <w:r w:rsidR="00461C0B" w:rsidRPr="00D41B24">
        <w:t>A)</w:t>
      </w:r>
      <w:r w:rsidRPr="00154742">
        <w:rPr>
          <w:b w:val="0"/>
          <w:bCs w:val="0"/>
        </w:rPr>
        <w:t xml:space="preserve"> HMGB1 levels were measured in patients with and without </w:t>
      </w:r>
      <w:r w:rsidR="009154B3" w:rsidRPr="00D41B24">
        <w:rPr>
          <w:b w:val="0"/>
          <w:bCs w:val="0"/>
          <w:color w:val="000000" w:themeColor="text1"/>
        </w:rPr>
        <w:t>clinical benefit from ICI treatment.</w:t>
      </w:r>
      <w:r w:rsidRPr="00D41B24">
        <w:rPr>
          <w:b w:val="0"/>
          <w:bCs w:val="0"/>
          <w:color w:val="000000" w:themeColor="text1"/>
        </w:rPr>
        <w:t xml:space="preserve"> </w:t>
      </w:r>
      <w:r w:rsidR="00461C0B" w:rsidRPr="00D41B24">
        <w:rPr>
          <w:b w:val="0"/>
          <w:bCs w:val="0"/>
          <w:color w:val="000000" w:themeColor="text1"/>
        </w:rPr>
        <w:t xml:space="preserve">No </w:t>
      </w:r>
      <w:proofErr w:type="gramStart"/>
      <w:r w:rsidR="00461C0B">
        <w:rPr>
          <w:b w:val="0"/>
          <w:bCs w:val="0"/>
        </w:rPr>
        <w:t>statistical</w:t>
      </w:r>
      <w:proofErr w:type="gramEnd"/>
      <w:r w:rsidR="00461C0B">
        <w:rPr>
          <w:b w:val="0"/>
          <w:bCs w:val="0"/>
        </w:rPr>
        <w:t xml:space="preserve"> significan</w:t>
      </w:r>
      <w:r w:rsidR="00106E49">
        <w:rPr>
          <w:b w:val="0"/>
          <w:bCs w:val="0"/>
        </w:rPr>
        <w:t>t</w:t>
      </w:r>
      <w:r w:rsidR="00461C0B">
        <w:rPr>
          <w:b w:val="0"/>
          <w:bCs w:val="0"/>
        </w:rPr>
        <w:t xml:space="preserve"> difference on HMGB1 expression was found between</w:t>
      </w:r>
      <w:r w:rsidR="00106E49">
        <w:rPr>
          <w:b w:val="0"/>
          <w:bCs w:val="0"/>
        </w:rPr>
        <w:t xml:space="preserve"> cohorts (Mann Witney test). </w:t>
      </w:r>
      <w:r w:rsidR="00106E49" w:rsidRPr="00D41B24">
        <w:t>B)</w:t>
      </w:r>
      <w:r w:rsidR="00106E49">
        <w:rPr>
          <w:b w:val="0"/>
          <w:bCs w:val="0"/>
        </w:rPr>
        <w:t xml:space="preserve"> Table showing the </w:t>
      </w:r>
      <w:r w:rsidR="00BF33EC">
        <w:rPr>
          <w:b w:val="0"/>
          <w:bCs w:val="0"/>
        </w:rPr>
        <w:t xml:space="preserve">different statistical parameters of the Mann Whitney test applied to </w:t>
      </w:r>
      <w:r w:rsidR="006556FD">
        <w:rPr>
          <w:b w:val="0"/>
          <w:bCs w:val="0"/>
        </w:rPr>
        <w:t>our</w:t>
      </w:r>
      <w:r w:rsidR="00BF33EC">
        <w:rPr>
          <w:b w:val="0"/>
          <w:bCs w:val="0"/>
        </w:rPr>
        <w:t xml:space="preserve"> dataset</w:t>
      </w:r>
      <w:r w:rsidR="006556FD">
        <w:rPr>
          <w:b w:val="0"/>
          <w:bCs w:val="0"/>
        </w:rPr>
        <w:t>.</w:t>
      </w:r>
    </w:p>
    <w:p w14:paraId="08449D13" w14:textId="4B4A99E0" w:rsidR="00B60AC1" w:rsidRPr="00B60AC1" w:rsidRDefault="00B60AC1" w:rsidP="00B526D5">
      <w:pPr>
        <w:spacing w:line="360" w:lineRule="auto"/>
        <w:jc w:val="both"/>
        <w:rPr>
          <w:szCs w:val="24"/>
        </w:rPr>
      </w:pPr>
    </w:p>
    <w:p w14:paraId="07FDF428" w14:textId="348C447A" w:rsidR="00B60AC1" w:rsidRPr="000A5496" w:rsidRDefault="00B60AC1" w:rsidP="00B526D5">
      <w:pPr>
        <w:spacing w:line="360" w:lineRule="auto"/>
        <w:jc w:val="both"/>
        <w:rPr>
          <w:szCs w:val="24"/>
        </w:rPr>
      </w:pPr>
    </w:p>
    <w:p w14:paraId="042BBAAA" w14:textId="1CA4C408" w:rsidR="00B60AC1" w:rsidRDefault="00B60AC1"/>
    <w:p w14:paraId="78012A30" w14:textId="5FBC77FC" w:rsidR="00B60AC1" w:rsidRDefault="00B60AC1"/>
    <w:p w14:paraId="7E5E5A7D" w14:textId="04C26719" w:rsidR="00E61878" w:rsidRDefault="00E61878"/>
    <w:p w14:paraId="744C0267" w14:textId="77777777" w:rsidR="00DD1384" w:rsidRDefault="00DD1384" w:rsidP="00B9440A">
      <w:pPr>
        <w:pStyle w:val="SMcaption"/>
      </w:pPr>
    </w:p>
    <w:p w14:paraId="64F5ACCB" w14:textId="77777777" w:rsidR="000507D1" w:rsidRDefault="000507D1" w:rsidP="00B9440A">
      <w:pPr>
        <w:pStyle w:val="SMcaption"/>
      </w:pPr>
    </w:p>
    <w:p w14:paraId="51594242" w14:textId="77777777" w:rsidR="000507D1" w:rsidRDefault="000507D1" w:rsidP="00B9440A">
      <w:pPr>
        <w:pStyle w:val="SMcaption"/>
      </w:pPr>
    </w:p>
    <w:p w14:paraId="7451B9D8" w14:textId="77777777" w:rsidR="000507D1" w:rsidRDefault="000507D1" w:rsidP="00B9440A">
      <w:pPr>
        <w:pStyle w:val="SMcaption"/>
      </w:pPr>
    </w:p>
    <w:p w14:paraId="321DBCB6" w14:textId="77777777" w:rsidR="000507D1" w:rsidRDefault="000507D1" w:rsidP="00B9440A">
      <w:pPr>
        <w:pStyle w:val="SMcaption"/>
      </w:pPr>
    </w:p>
    <w:p w14:paraId="2B72F1B0" w14:textId="0879577B" w:rsidR="00BE137B" w:rsidRDefault="008805E9" w:rsidP="00B9440A">
      <w:pPr>
        <w:pStyle w:val="SMcaption"/>
      </w:pPr>
      <w:r w:rsidRPr="00EA5493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170999CE" wp14:editId="09F1AC5E">
            <wp:simplePos x="0" y="0"/>
            <wp:positionH relativeFrom="margin">
              <wp:align>left</wp:align>
            </wp:positionH>
            <wp:positionV relativeFrom="paragraph">
              <wp:posOffset>3049270</wp:posOffset>
            </wp:positionV>
            <wp:extent cx="3963670" cy="229108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A62CECB-DD3D-8F40-8FCE-17D9BF9A09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A62CECB-DD3D-8F40-8FCE-17D9BF9A09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DA3EC" w14:textId="3ADC9DF6" w:rsidR="008A3E4D" w:rsidRDefault="00201D7D" w:rsidP="00B9440A">
      <w:pPr>
        <w:pStyle w:val="SMHeading"/>
      </w:pPr>
      <w:r>
        <w:rPr>
          <w:noProof/>
          <w:lang w:eastAsia="zh-CN"/>
        </w:rPr>
        <w:lastRenderedPageBreak/>
        <w:drawing>
          <wp:inline distT="0" distB="0" distL="0" distR="0" wp14:anchorId="4CAAF135" wp14:editId="3E328BA5">
            <wp:extent cx="5398395" cy="3121618"/>
            <wp:effectExtent l="0" t="0" r="0" b="317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95" cy="3121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A4B79" w14:textId="0AF7BC21" w:rsidR="008A3E4D" w:rsidRPr="00154742" w:rsidRDefault="008A3E4D" w:rsidP="00154742">
      <w:pPr>
        <w:pStyle w:val="SMHeading"/>
        <w:spacing w:line="360" w:lineRule="auto"/>
      </w:pPr>
      <w:r w:rsidRPr="00266D36">
        <w:t>Fig</w:t>
      </w:r>
      <w:r w:rsidRPr="00266D36">
        <w:rPr>
          <w:rFonts w:hint="eastAsia"/>
          <w:lang w:eastAsia="zh-CN"/>
        </w:rPr>
        <w:t>ure</w:t>
      </w:r>
      <w:r w:rsidRPr="00266D36">
        <w:t>. S</w:t>
      </w:r>
      <w:r w:rsidR="00201D7D">
        <w:t>5</w:t>
      </w:r>
      <w:r w:rsidRPr="00266D36">
        <w:t>.</w:t>
      </w:r>
      <w:r w:rsidR="00150C9A">
        <w:t xml:space="preserve"> </w:t>
      </w:r>
      <w:r w:rsidRPr="00154742">
        <w:rPr>
          <w:b w:val="0"/>
          <w:bCs w:val="0"/>
        </w:rPr>
        <w:t>A) Kaplan Meier analysis of the overall survival (OS) based on PD-L1 expression by IHC (left, n = 26, log-rank p = 0.045) and B)  PD-L1 mRNA expression higher or lower than the median (right, n = 42, log-rank p = 0.013). C) Correlation between PD-L1 and HMGB1 RNA expression levels (log</w:t>
      </w:r>
      <w:r w:rsidRPr="00154742">
        <w:rPr>
          <w:b w:val="0"/>
          <w:bCs w:val="0"/>
          <w:vertAlign w:val="subscript"/>
        </w:rPr>
        <w:t>2</w:t>
      </w:r>
      <w:r w:rsidRPr="00154742">
        <w:rPr>
          <w:b w:val="0"/>
          <w:bCs w:val="0"/>
        </w:rPr>
        <w:t xml:space="preserve"> normalized counts). Spearman´s correlation coefficient and p-value are indicated. </w:t>
      </w:r>
    </w:p>
    <w:p w14:paraId="790F6A3C" w14:textId="4EF6ACC3" w:rsidR="008A3E4D" w:rsidRDefault="008A3E4D" w:rsidP="00154742">
      <w:pPr>
        <w:tabs>
          <w:tab w:val="left" w:pos="1340"/>
        </w:tabs>
        <w:spacing w:line="360" w:lineRule="auto"/>
        <w:jc w:val="both"/>
      </w:pPr>
    </w:p>
    <w:p w14:paraId="684E816A" w14:textId="34240D29" w:rsidR="000A5496" w:rsidRDefault="000A5496">
      <w:pPr>
        <w:tabs>
          <w:tab w:val="left" w:pos="1340"/>
        </w:tabs>
      </w:pPr>
    </w:p>
    <w:p w14:paraId="6619BE07" w14:textId="049BEE1C" w:rsidR="00201D7D" w:rsidRDefault="00201D7D">
      <w:pPr>
        <w:tabs>
          <w:tab w:val="left" w:pos="1340"/>
        </w:tabs>
      </w:pPr>
    </w:p>
    <w:p w14:paraId="6D0A5A4C" w14:textId="4137034E" w:rsidR="00201D7D" w:rsidRDefault="00201D7D">
      <w:pPr>
        <w:tabs>
          <w:tab w:val="left" w:pos="1340"/>
        </w:tabs>
      </w:pPr>
    </w:p>
    <w:p w14:paraId="76869E2D" w14:textId="256F1232" w:rsidR="00201D7D" w:rsidRDefault="00201D7D">
      <w:pPr>
        <w:tabs>
          <w:tab w:val="left" w:pos="1340"/>
        </w:tabs>
      </w:pPr>
    </w:p>
    <w:p w14:paraId="3119C6BB" w14:textId="77777777" w:rsidR="00201D7D" w:rsidRDefault="00201D7D">
      <w:pPr>
        <w:tabs>
          <w:tab w:val="left" w:pos="1340"/>
        </w:tabs>
      </w:pPr>
    </w:p>
    <w:p w14:paraId="55FBD2D8" w14:textId="38D4811C" w:rsidR="000A5496" w:rsidRDefault="000A5496">
      <w:pPr>
        <w:tabs>
          <w:tab w:val="left" w:pos="1340"/>
        </w:tabs>
      </w:pPr>
    </w:p>
    <w:p w14:paraId="5C686EB8" w14:textId="77777777" w:rsidR="00001277" w:rsidRDefault="00001277">
      <w:pPr>
        <w:tabs>
          <w:tab w:val="left" w:pos="1340"/>
        </w:tabs>
      </w:pPr>
    </w:p>
    <w:p w14:paraId="36EC6D61" w14:textId="77777777" w:rsidR="00001277" w:rsidRDefault="00001277">
      <w:pPr>
        <w:tabs>
          <w:tab w:val="left" w:pos="1340"/>
        </w:tabs>
      </w:pPr>
    </w:p>
    <w:p w14:paraId="33FEB21F" w14:textId="4D04267A" w:rsidR="00201D7D" w:rsidRDefault="00201D7D">
      <w:pPr>
        <w:tabs>
          <w:tab w:val="left" w:pos="1340"/>
        </w:tabs>
      </w:pPr>
    </w:p>
    <w:p w14:paraId="14F56799" w14:textId="25941B0C" w:rsidR="00201D7D" w:rsidRDefault="00201D7D">
      <w:pPr>
        <w:tabs>
          <w:tab w:val="left" w:pos="1340"/>
        </w:tabs>
      </w:pPr>
    </w:p>
    <w:p w14:paraId="3DDE5342" w14:textId="77777777" w:rsidR="00201D7D" w:rsidRDefault="00201D7D">
      <w:pPr>
        <w:tabs>
          <w:tab w:val="left" w:pos="1340"/>
        </w:tabs>
      </w:pPr>
    </w:p>
    <w:p w14:paraId="79755F40" w14:textId="7F680890" w:rsidR="00B85F30" w:rsidRDefault="00B85F30">
      <w:pPr>
        <w:tabs>
          <w:tab w:val="left" w:pos="1340"/>
        </w:tabs>
      </w:pPr>
    </w:p>
    <w:p w14:paraId="551D6835" w14:textId="77777777" w:rsidR="00B85F30" w:rsidRDefault="00B85F30">
      <w:pPr>
        <w:tabs>
          <w:tab w:val="left" w:pos="1340"/>
        </w:tabs>
      </w:pPr>
    </w:p>
    <w:p w14:paraId="2D630759" w14:textId="4B1DB7CD" w:rsidR="00B85F30" w:rsidRDefault="00B85F30">
      <w:pPr>
        <w:tabs>
          <w:tab w:val="left" w:pos="1340"/>
        </w:tabs>
      </w:pPr>
    </w:p>
    <w:p w14:paraId="4E20FE7A" w14:textId="0FC193C9" w:rsidR="00B85F30" w:rsidRDefault="00B85F30">
      <w:pPr>
        <w:tabs>
          <w:tab w:val="left" w:pos="1340"/>
        </w:tabs>
      </w:pPr>
    </w:p>
    <w:p w14:paraId="5472456E" w14:textId="77777777" w:rsidR="000A5496" w:rsidRDefault="000A5496">
      <w:pPr>
        <w:tabs>
          <w:tab w:val="left" w:pos="1340"/>
        </w:tabs>
      </w:pPr>
    </w:p>
    <w:p w14:paraId="02735D19" w14:textId="2AC0F7E2" w:rsidR="000A5496" w:rsidRPr="00756C47" w:rsidRDefault="000A5496" w:rsidP="00B526D5">
      <w:pPr>
        <w:tabs>
          <w:tab w:val="left" w:pos="1340"/>
        </w:tabs>
        <w:rPr>
          <w:color w:val="FF0000"/>
        </w:rPr>
      </w:pPr>
    </w:p>
    <w:sectPr w:rsidR="000A5496" w:rsidRPr="00756C47" w:rsidSect="005E03BE">
      <w:headerReference w:type="default" r:id="rId18"/>
      <w:footerReference w:type="default" r:id="rId19"/>
      <w:pgSz w:w="12240" w:h="15840"/>
      <w:pgMar w:top="908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B645" w14:textId="77777777" w:rsidR="00A01F75" w:rsidRDefault="00A01F75">
      <w:r>
        <w:separator/>
      </w:r>
    </w:p>
  </w:endnote>
  <w:endnote w:type="continuationSeparator" w:id="0">
    <w:p w14:paraId="11036864" w14:textId="77777777" w:rsidR="00A01F75" w:rsidRDefault="00A0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5E18B8" w:rsidR="00301CB9" w:rsidRDefault="00301C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6C47">
      <w:rPr>
        <w:noProof/>
      </w:rPr>
      <w:t>10</w:t>
    </w:r>
    <w:r>
      <w:fldChar w:fldCharType="end"/>
    </w:r>
  </w:p>
  <w:p w14:paraId="211F3547" w14:textId="77777777" w:rsidR="00301CB9" w:rsidRDefault="0030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0EF4" w14:textId="77777777" w:rsidR="00A01F75" w:rsidRDefault="00A01F75">
      <w:r>
        <w:separator/>
      </w:r>
    </w:p>
  </w:footnote>
  <w:footnote w:type="continuationSeparator" w:id="0">
    <w:p w14:paraId="6D864956" w14:textId="77777777" w:rsidR="00A01F75" w:rsidRDefault="00A0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01CB9" w:rsidRPr="005001AC" w:rsidRDefault="00301CB9" w:rsidP="005001AC">
    <w:pPr>
      <w:jc w:val="right"/>
      <w:rPr>
        <w:sz w:val="20"/>
      </w:rPr>
    </w:pPr>
  </w:p>
  <w:p w14:paraId="3CD866EE" w14:textId="77777777" w:rsidR="00301CB9" w:rsidRDefault="00301C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F3DEC"/>
    <w:multiLevelType w:val="hybridMultilevel"/>
    <w:tmpl w:val="592426E6"/>
    <w:lvl w:ilvl="0" w:tplc="33C0CCB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36C05"/>
    <w:multiLevelType w:val="hybridMultilevel"/>
    <w:tmpl w:val="1F2EA426"/>
    <w:lvl w:ilvl="0" w:tplc="B5E6B87C">
      <w:start w:val="1"/>
      <w:numFmt w:val="upperLetter"/>
      <w:lvlText w:val="%1)"/>
      <w:lvlJc w:val="left"/>
      <w:pPr>
        <w:ind w:left="136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F6A6987"/>
    <w:multiLevelType w:val="hybridMultilevel"/>
    <w:tmpl w:val="E5F0A8C4"/>
    <w:lvl w:ilvl="0" w:tplc="94F898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801B3"/>
    <w:multiLevelType w:val="hybridMultilevel"/>
    <w:tmpl w:val="A91876F4"/>
    <w:lvl w:ilvl="0" w:tplc="60F62C0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C6020A"/>
    <w:multiLevelType w:val="hybridMultilevel"/>
    <w:tmpl w:val="C5F4C80A"/>
    <w:lvl w:ilvl="0" w:tplc="C6BA53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7885"/>
    <w:multiLevelType w:val="hybridMultilevel"/>
    <w:tmpl w:val="CD0E2978"/>
    <w:lvl w:ilvl="0" w:tplc="5C7A52B8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6458663">
    <w:abstractNumId w:val="9"/>
  </w:num>
  <w:num w:numId="2" w16cid:durableId="470169526">
    <w:abstractNumId w:val="7"/>
  </w:num>
  <w:num w:numId="3" w16cid:durableId="630476561">
    <w:abstractNumId w:val="6"/>
  </w:num>
  <w:num w:numId="4" w16cid:durableId="101415376">
    <w:abstractNumId w:val="5"/>
  </w:num>
  <w:num w:numId="5" w16cid:durableId="1198353324">
    <w:abstractNumId w:val="4"/>
  </w:num>
  <w:num w:numId="6" w16cid:durableId="38629842">
    <w:abstractNumId w:val="8"/>
  </w:num>
  <w:num w:numId="7" w16cid:durableId="541863602">
    <w:abstractNumId w:val="3"/>
  </w:num>
  <w:num w:numId="8" w16cid:durableId="807865755">
    <w:abstractNumId w:val="2"/>
  </w:num>
  <w:num w:numId="9" w16cid:durableId="867107092">
    <w:abstractNumId w:val="1"/>
  </w:num>
  <w:num w:numId="10" w16cid:durableId="1263493346">
    <w:abstractNumId w:val="0"/>
  </w:num>
  <w:num w:numId="11" w16cid:durableId="1152211164">
    <w:abstractNumId w:val="14"/>
  </w:num>
  <w:num w:numId="12" w16cid:durableId="1939172220">
    <w:abstractNumId w:val="10"/>
  </w:num>
  <w:num w:numId="13" w16cid:durableId="405690669">
    <w:abstractNumId w:val="12"/>
  </w:num>
  <w:num w:numId="14" w16cid:durableId="1358311443">
    <w:abstractNumId w:val="13"/>
  </w:num>
  <w:num w:numId="15" w16cid:durableId="902909611">
    <w:abstractNumId w:val="15"/>
  </w:num>
  <w:num w:numId="16" w16cid:durableId="1492478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1277"/>
    <w:rsid w:val="00015F74"/>
    <w:rsid w:val="00042F9C"/>
    <w:rsid w:val="000507D1"/>
    <w:rsid w:val="00065EBD"/>
    <w:rsid w:val="00073E7A"/>
    <w:rsid w:val="00083B44"/>
    <w:rsid w:val="000850DC"/>
    <w:rsid w:val="00095D40"/>
    <w:rsid w:val="000A5496"/>
    <w:rsid w:val="000B4371"/>
    <w:rsid w:val="000C2771"/>
    <w:rsid w:val="000D2D14"/>
    <w:rsid w:val="000D46F4"/>
    <w:rsid w:val="000E7A9B"/>
    <w:rsid w:val="000F0DCE"/>
    <w:rsid w:val="000F44AD"/>
    <w:rsid w:val="000F6BE3"/>
    <w:rsid w:val="00106E49"/>
    <w:rsid w:val="00112C5B"/>
    <w:rsid w:val="00114193"/>
    <w:rsid w:val="00115226"/>
    <w:rsid w:val="00115A38"/>
    <w:rsid w:val="0011687B"/>
    <w:rsid w:val="00124F82"/>
    <w:rsid w:val="001316F3"/>
    <w:rsid w:val="00150C9A"/>
    <w:rsid w:val="00154742"/>
    <w:rsid w:val="0016337A"/>
    <w:rsid w:val="00164269"/>
    <w:rsid w:val="001659A9"/>
    <w:rsid w:val="0018560D"/>
    <w:rsid w:val="0019354C"/>
    <w:rsid w:val="00193678"/>
    <w:rsid w:val="001A1909"/>
    <w:rsid w:val="001A1BDE"/>
    <w:rsid w:val="001B2F57"/>
    <w:rsid w:val="001B3CC4"/>
    <w:rsid w:val="001B5ADF"/>
    <w:rsid w:val="001C56C1"/>
    <w:rsid w:val="001D2892"/>
    <w:rsid w:val="001D79E7"/>
    <w:rsid w:val="001F0353"/>
    <w:rsid w:val="001F0876"/>
    <w:rsid w:val="001F167C"/>
    <w:rsid w:val="001F5E91"/>
    <w:rsid w:val="00201D7D"/>
    <w:rsid w:val="00203B20"/>
    <w:rsid w:val="0020476C"/>
    <w:rsid w:val="0020481C"/>
    <w:rsid w:val="002077B9"/>
    <w:rsid w:val="0022207D"/>
    <w:rsid w:val="00230F73"/>
    <w:rsid w:val="00241E25"/>
    <w:rsid w:val="00243745"/>
    <w:rsid w:val="00262D72"/>
    <w:rsid w:val="00266D36"/>
    <w:rsid w:val="002848A7"/>
    <w:rsid w:val="00294FBB"/>
    <w:rsid w:val="002A49C9"/>
    <w:rsid w:val="002A7A81"/>
    <w:rsid w:val="002B3205"/>
    <w:rsid w:val="002B5064"/>
    <w:rsid w:val="002C030F"/>
    <w:rsid w:val="002E51E9"/>
    <w:rsid w:val="002F3F72"/>
    <w:rsid w:val="00301CB9"/>
    <w:rsid w:val="00301CC5"/>
    <w:rsid w:val="00305561"/>
    <w:rsid w:val="00331D75"/>
    <w:rsid w:val="0033227D"/>
    <w:rsid w:val="00341555"/>
    <w:rsid w:val="00355362"/>
    <w:rsid w:val="00356947"/>
    <w:rsid w:val="00363E44"/>
    <w:rsid w:val="00395E86"/>
    <w:rsid w:val="003A2FD8"/>
    <w:rsid w:val="003A6A21"/>
    <w:rsid w:val="003B40E6"/>
    <w:rsid w:val="003E04E8"/>
    <w:rsid w:val="003E74FB"/>
    <w:rsid w:val="003F6E14"/>
    <w:rsid w:val="00405336"/>
    <w:rsid w:val="00437FF7"/>
    <w:rsid w:val="00440C01"/>
    <w:rsid w:val="00442084"/>
    <w:rsid w:val="00450784"/>
    <w:rsid w:val="004571D5"/>
    <w:rsid w:val="00461C0B"/>
    <w:rsid w:val="00461D81"/>
    <w:rsid w:val="0046356B"/>
    <w:rsid w:val="00477182"/>
    <w:rsid w:val="004779CB"/>
    <w:rsid w:val="004A548C"/>
    <w:rsid w:val="004D7108"/>
    <w:rsid w:val="004E42D8"/>
    <w:rsid w:val="004E7BA2"/>
    <w:rsid w:val="004F3F4C"/>
    <w:rsid w:val="004F7EDF"/>
    <w:rsid w:val="005001AC"/>
    <w:rsid w:val="00504EE7"/>
    <w:rsid w:val="005157D2"/>
    <w:rsid w:val="005214B0"/>
    <w:rsid w:val="00523A7B"/>
    <w:rsid w:val="00527D71"/>
    <w:rsid w:val="005520A8"/>
    <w:rsid w:val="005607DD"/>
    <w:rsid w:val="005923DC"/>
    <w:rsid w:val="005A558C"/>
    <w:rsid w:val="005C2D1A"/>
    <w:rsid w:val="005E03BE"/>
    <w:rsid w:val="005E28F8"/>
    <w:rsid w:val="005E50CC"/>
    <w:rsid w:val="005E5578"/>
    <w:rsid w:val="005E6513"/>
    <w:rsid w:val="005F245C"/>
    <w:rsid w:val="006023E0"/>
    <w:rsid w:val="00614340"/>
    <w:rsid w:val="00622961"/>
    <w:rsid w:val="00651114"/>
    <w:rsid w:val="006556FD"/>
    <w:rsid w:val="00664560"/>
    <w:rsid w:val="00670299"/>
    <w:rsid w:val="006737A1"/>
    <w:rsid w:val="00687709"/>
    <w:rsid w:val="00691985"/>
    <w:rsid w:val="006A1B64"/>
    <w:rsid w:val="006E7A62"/>
    <w:rsid w:val="007108F5"/>
    <w:rsid w:val="00713E5B"/>
    <w:rsid w:val="00717B5E"/>
    <w:rsid w:val="007402FC"/>
    <w:rsid w:val="007411A1"/>
    <w:rsid w:val="00742E24"/>
    <w:rsid w:val="00756C47"/>
    <w:rsid w:val="00760E2D"/>
    <w:rsid w:val="00793072"/>
    <w:rsid w:val="007E2451"/>
    <w:rsid w:val="00807D35"/>
    <w:rsid w:val="00812953"/>
    <w:rsid w:val="0082180D"/>
    <w:rsid w:val="008218C4"/>
    <w:rsid w:val="00821F38"/>
    <w:rsid w:val="00827662"/>
    <w:rsid w:val="00867A98"/>
    <w:rsid w:val="00870867"/>
    <w:rsid w:val="00871395"/>
    <w:rsid w:val="008805E9"/>
    <w:rsid w:val="00885C9B"/>
    <w:rsid w:val="00896B7D"/>
    <w:rsid w:val="008A3E4D"/>
    <w:rsid w:val="008D5D2A"/>
    <w:rsid w:val="008E06BB"/>
    <w:rsid w:val="00914B63"/>
    <w:rsid w:val="009154B3"/>
    <w:rsid w:val="009354F3"/>
    <w:rsid w:val="009447DC"/>
    <w:rsid w:val="00961BA5"/>
    <w:rsid w:val="00962547"/>
    <w:rsid w:val="00971619"/>
    <w:rsid w:val="009743A9"/>
    <w:rsid w:val="00995D15"/>
    <w:rsid w:val="0099794E"/>
    <w:rsid w:val="009A5287"/>
    <w:rsid w:val="009B2AC5"/>
    <w:rsid w:val="009B7984"/>
    <w:rsid w:val="009C789F"/>
    <w:rsid w:val="009D1645"/>
    <w:rsid w:val="009D69A6"/>
    <w:rsid w:val="009F4BED"/>
    <w:rsid w:val="009F7D93"/>
    <w:rsid w:val="00A01F75"/>
    <w:rsid w:val="00A316BB"/>
    <w:rsid w:val="00A3403B"/>
    <w:rsid w:val="00A51A12"/>
    <w:rsid w:val="00A538E8"/>
    <w:rsid w:val="00A627D4"/>
    <w:rsid w:val="00A63A8F"/>
    <w:rsid w:val="00A642B1"/>
    <w:rsid w:val="00A65EB3"/>
    <w:rsid w:val="00A74AAD"/>
    <w:rsid w:val="00A74DA2"/>
    <w:rsid w:val="00A8589A"/>
    <w:rsid w:val="00A926FC"/>
    <w:rsid w:val="00AA09BF"/>
    <w:rsid w:val="00AA5F21"/>
    <w:rsid w:val="00AB399E"/>
    <w:rsid w:val="00AC59D0"/>
    <w:rsid w:val="00AD16B1"/>
    <w:rsid w:val="00AD499C"/>
    <w:rsid w:val="00AE260D"/>
    <w:rsid w:val="00B36869"/>
    <w:rsid w:val="00B43B31"/>
    <w:rsid w:val="00B47CFA"/>
    <w:rsid w:val="00B526D5"/>
    <w:rsid w:val="00B57F00"/>
    <w:rsid w:val="00B60AC1"/>
    <w:rsid w:val="00B63A13"/>
    <w:rsid w:val="00B77B2A"/>
    <w:rsid w:val="00B80340"/>
    <w:rsid w:val="00B82C22"/>
    <w:rsid w:val="00B85F30"/>
    <w:rsid w:val="00B93DBA"/>
    <w:rsid w:val="00B9440A"/>
    <w:rsid w:val="00BB10B1"/>
    <w:rsid w:val="00BB2D2A"/>
    <w:rsid w:val="00BB4EFC"/>
    <w:rsid w:val="00BC3E04"/>
    <w:rsid w:val="00BD58CF"/>
    <w:rsid w:val="00BE137B"/>
    <w:rsid w:val="00BE55E5"/>
    <w:rsid w:val="00BF0C92"/>
    <w:rsid w:val="00BF33EC"/>
    <w:rsid w:val="00C04CC1"/>
    <w:rsid w:val="00C2646F"/>
    <w:rsid w:val="00C37748"/>
    <w:rsid w:val="00C4096C"/>
    <w:rsid w:val="00C50C6D"/>
    <w:rsid w:val="00C600D9"/>
    <w:rsid w:val="00C72D82"/>
    <w:rsid w:val="00C81F2B"/>
    <w:rsid w:val="00C83CF1"/>
    <w:rsid w:val="00C92B22"/>
    <w:rsid w:val="00CC1255"/>
    <w:rsid w:val="00CC1384"/>
    <w:rsid w:val="00CC65CE"/>
    <w:rsid w:val="00CC743F"/>
    <w:rsid w:val="00CD3720"/>
    <w:rsid w:val="00CF1848"/>
    <w:rsid w:val="00CF5C2F"/>
    <w:rsid w:val="00D04BCF"/>
    <w:rsid w:val="00D143D9"/>
    <w:rsid w:val="00D152E1"/>
    <w:rsid w:val="00D25561"/>
    <w:rsid w:val="00D27FAE"/>
    <w:rsid w:val="00D301EC"/>
    <w:rsid w:val="00D379F4"/>
    <w:rsid w:val="00D37E1E"/>
    <w:rsid w:val="00D41B24"/>
    <w:rsid w:val="00D5009B"/>
    <w:rsid w:val="00D50F39"/>
    <w:rsid w:val="00D5511B"/>
    <w:rsid w:val="00D766F1"/>
    <w:rsid w:val="00DA0B55"/>
    <w:rsid w:val="00DD1384"/>
    <w:rsid w:val="00E0285B"/>
    <w:rsid w:val="00E040DB"/>
    <w:rsid w:val="00E05487"/>
    <w:rsid w:val="00E134F6"/>
    <w:rsid w:val="00E257C8"/>
    <w:rsid w:val="00E41512"/>
    <w:rsid w:val="00E4519A"/>
    <w:rsid w:val="00E474CA"/>
    <w:rsid w:val="00E61878"/>
    <w:rsid w:val="00E678C9"/>
    <w:rsid w:val="00E71011"/>
    <w:rsid w:val="00E853D5"/>
    <w:rsid w:val="00E94622"/>
    <w:rsid w:val="00E9773B"/>
    <w:rsid w:val="00EA6F42"/>
    <w:rsid w:val="00EC074D"/>
    <w:rsid w:val="00EC13A3"/>
    <w:rsid w:val="00EC7C85"/>
    <w:rsid w:val="00F125EE"/>
    <w:rsid w:val="00F12E98"/>
    <w:rsid w:val="00F14507"/>
    <w:rsid w:val="00F22029"/>
    <w:rsid w:val="00F36223"/>
    <w:rsid w:val="00F4150B"/>
    <w:rsid w:val="00F515FB"/>
    <w:rsid w:val="00F630EA"/>
    <w:rsid w:val="00F7007E"/>
    <w:rsid w:val="00F73193"/>
    <w:rsid w:val="00F74F95"/>
    <w:rsid w:val="00F80705"/>
    <w:rsid w:val="00F86533"/>
    <w:rsid w:val="00F96128"/>
    <w:rsid w:val="00FA0411"/>
    <w:rsid w:val="00FA1481"/>
    <w:rsid w:val="00FC4691"/>
    <w:rsid w:val="00FD540F"/>
    <w:rsid w:val="00FD7C57"/>
    <w:rsid w:val="00FE32AF"/>
    <w:rsid w:val="00FF04E3"/>
    <w:rsid w:val="00FF266F"/>
    <w:rsid w:val="00FF310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AC1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table" w:styleId="PlainTable2">
    <w:name w:val="Plain Table 2"/>
    <w:basedOn w:val="TableNormal"/>
    <w:uiPriority w:val="42"/>
    <w:rsid w:val="00962547"/>
    <w:rPr>
      <w:rFonts w:asciiTheme="minorHAnsi" w:eastAsiaTheme="minorHAnsi" w:hAnsiTheme="minorHAnsi" w:cstheme="minorBidi"/>
      <w:sz w:val="22"/>
      <w:szCs w:val="22"/>
      <w:lang w:val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E474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link w:val="Normal1Char"/>
    <w:rsid w:val="00E474CA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customStyle="1" w:styleId="Normal1Char">
    <w:name w:val="Normal1 Char"/>
    <w:basedOn w:val="DefaultParagraphFont"/>
    <w:link w:val="Normal1"/>
    <w:rsid w:val="00E474CA"/>
    <w:rPr>
      <w:rFonts w:ascii="Arial" w:eastAsia="Arial" w:hAnsi="Arial" w:cs="Arial"/>
      <w:sz w:val="22"/>
      <w:szCs w:val="22"/>
      <w:lang w:val="es-ES" w:eastAsia="es-ES"/>
    </w:rPr>
  </w:style>
  <w:style w:type="character" w:styleId="Emphasis">
    <w:name w:val="Emphasis"/>
    <w:basedOn w:val="DefaultParagraphFont"/>
    <w:uiPriority w:val="20"/>
    <w:qFormat/>
    <w:rsid w:val="00E474CA"/>
    <w:rPr>
      <w:i/>
      <w:iCs/>
    </w:rPr>
  </w:style>
  <w:style w:type="paragraph" w:styleId="Revision">
    <w:name w:val="Revision"/>
    <w:hidden/>
    <w:uiPriority w:val="99"/>
    <w:semiHidden/>
    <w:rsid w:val="0022207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3F4C"/>
    <w:rPr>
      <w:color w:val="605E5C"/>
      <w:shd w:val="clear" w:color="auto" w:fill="E1DFDD"/>
    </w:rPr>
  </w:style>
  <w:style w:type="character" w:styleId="LineNumber">
    <w:name w:val="line number"/>
    <w:basedOn w:val="DefaultParagraphFont"/>
    <w:semiHidden/>
    <w:unhideWhenUsed/>
    <w:rsid w:val="005E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sell@iconcologia.net" TargetMode="Externa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o_peng@njucm.edu.cn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0ACF-3AE7-4A65-98B5-9A94B4BD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1442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9358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Stephanie Davis</cp:lastModifiedBy>
  <cp:revision>2</cp:revision>
  <cp:lastPrinted>2021-09-20T08:50:00Z</cp:lastPrinted>
  <dcterms:created xsi:type="dcterms:W3CDTF">2024-03-21T09:47:00Z</dcterms:created>
  <dcterms:modified xsi:type="dcterms:W3CDTF">2024-03-21T09:47:00Z</dcterms:modified>
</cp:coreProperties>
</file>