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9D" w:rsidRPr="00F37D28" w:rsidRDefault="00B60A9D" w:rsidP="00B60A9D">
      <w:pPr>
        <w:spacing w:line="480" w:lineRule="auto"/>
        <w:contextualSpacing/>
        <w:rPr>
          <w:rFonts w:eastAsia="微软雅黑" w:cs="Times New Roman"/>
          <w:sz w:val="24"/>
          <w:szCs w:val="24"/>
        </w:rPr>
      </w:pPr>
      <w:bookmarkStart w:id="0" w:name="_GoBack"/>
      <w:r w:rsidRPr="00F37D28">
        <w:rPr>
          <w:rFonts w:eastAsia="微软雅黑" w:cs="Times New Roman" w:hint="eastAsia"/>
          <w:b/>
          <w:bCs/>
          <w:sz w:val="24"/>
          <w:szCs w:val="24"/>
        </w:rPr>
        <w:t>Supplement</w:t>
      </w:r>
      <w:r w:rsidRPr="00F37D28">
        <w:rPr>
          <w:rFonts w:eastAsia="微软雅黑" w:cs="Times New Roman"/>
          <w:b/>
          <w:bCs/>
          <w:sz w:val="24"/>
          <w:szCs w:val="24"/>
        </w:rPr>
        <w:t xml:space="preserve"> Table 1. </w:t>
      </w:r>
      <w:r w:rsidRPr="00F37D28">
        <w:rPr>
          <w:rFonts w:eastAsia="微软雅黑" w:cs="Times New Roman"/>
          <w:kern w:val="0"/>
          <w:sz w:val="24"/>
          <w:szCs w:val="24"/>
        </w:rPr>
        <w:t>Distribution of answers in the Knowledge dimension.</w:t>
      </w:r>
    </w:p>
    <w:tbl>
      <w:tblPr>
        <w:tblW w:w="5000" w:type="pct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2049"/>
        <w:gridCol w:w="1909"/>
      </w:tblGrid>
      <w:tr w:rsidR="00B60A9D" w:rsidRPr="00F37D28" w:rsidTr="00485C9F">
        <w:trPr>
          <w:trHeight w:val="371"/>
        </w:trPr>
        <w:tc>
          <w:tcPr>
            <w:tcW w:w="4316" w:type="pct"/>
            <w:tcBorders>
              <w:top w:val="single" w:sz="4" w:space="0" w:color="auto"/>
            </w:tcBorders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kern w:val="0"/>
                <w:sz w:val="24"/>
                <w:szCs w:val="24"/>
              </w:rPr>
              <w:t>Knowledge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kern w:val="0"/>
                <w:sz w:val="24"/>
                <w:szCs w:val="24"/>
              </w:rPr>
              <w:t>Correct/Know</w:t>
            </w:r>
          </w:p>
        </w:tc>
      </w:tr>
      <w:tr w:rsidR="00B60A9D" w:rsidRPr="00F37D28" w:rsidTr="00485C9F">
        <w:trPr>
          <w:trHeight w:val="371"/>
        </w:trPr>
        <w:tc>
          <w:tcPr>
            <w:tcW w:w="4316" w:type="pct"/>
            <w:tcBorders>
              <w:top w:val="single" w:sz="4" w:space="0" w:color="auto"/>
            </w:tcBorders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1. Dabigatran and Rivaroxaban have a lower risk of causing intracerebral haemorrhage than Warfarin.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223(41.6)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2. Intracerebral haemorrhage is one of the serious and even fatal complications for patients taking anticoagulants.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411(76.68)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3. Strokes can be divided into haemorrhagic strokes, with haemorrhagic strokes are also known as intracerebral haemorrhage (suffusion of blood on the brain), and ischaemic strokes.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229(42.72)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 Which of the following triggers of intracerebral haemorrhage do you know?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4.1 Emotional stress, mental stimulation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443(82.65)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4.2 Overworking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307(57.28)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4.3 Alcohol abuse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394(73.51)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4.4 Overexertion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275(51.31)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4.5 Climate change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169(31.53)</w:t>
            </w:r>
          </w:p>
        </w:tc>
      </w:tr>
      <w:tr w:rsidR="00B60A9D" w:rsidRPr="00F37D28" w:rsidTr="00485C9F">
        <w:trPr>
          <w:trHeight w:val="380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5. During the period of taking oral anticoagulants, if the following clinical manifestations occur, it might be a symptom of intracerebral haemorrhage and the emergency clinic or ambulance should be called immediately: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335(62.5)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lastRenderedPageBreak/>
              <w:t>5.1 Severe headache. For patients taking oral anticoagulants, the sudden onset of severe headache should be taken seriously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251(46.83)</w:t>
            </w:r>
          </w:p>
        </w:tc>
      </w:tr>
      <w:tr w:rsidR="00B60A9D" w:rsidRPr="00F37D28" w:rsidTr="00485C9F">
        <w:trPr>
          <w:trHeight w:val="352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5.2 Nausea and vomiting. Especially projectile vomiting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357(66.6)</w:t>
            </w:r>
          </w:p>
        </w:tc>
      </w:tr>
      <w:tr w:rsidR="00B60A9D" w:rsidRPr="00F37D28" w:rsidTr="00485C9F">
        <w:trPr>
          <w:trHeight w:val="366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5.3 Hemiplegia. For patients taking oral anticoagulants, the sudden onset of weakness in one limb, or deflection of mouth angle should be taken seriously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388(72.39)</w:t>
            </w:r>
          </w:p>
        </w:tc>
      </w:tr>
      <w:tr w:rsidR="00B60A9D" w:rsidRPr="00F37D28" w:rsidTr="00485C9F">
        <w:trPr>
          <w:trHeight w:val="366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5.4 Seizures. Studies have shown that intracerebral haemorrhage may lead to seizures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303(56.53)</w:t>
            </w:r>
          </w:p>
        </w:tc>
      </w:tr>
      <w:tr w:rsidR="00B60A9D" w:rsidRPr="00F37D28" w:rsidTr="00485C9F">
        <w:trPr>
          <w:trHeight w:val="366"/>
        </w:trPr>
        <w:tc>
          <w:tcPr>
            <w:tcW w:w="4316" w:type="pct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6. During the period of taking oral anticoagulants, avoid injury and contact your doctor immediately if there are signs of bleeding, such as blood in the stool or in a dark brown color; persistent bleeding from the gums, nose or other sites; dark red or brown urine; excessive menstruation, etc.</w:t>
            </w:r>
          </w:p>
        </w:tc>
        <w:tc>
          <w:tcPr>
            <w:tcW w:w="684" w:type="pct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161(30.04) </w:t>
            </w: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</w:t>
            </w:r>
          </w:p>
        </w:tc>
      </w:tr>
    </w:tbl>
    <w:p w:rsidR="00B60A9D" w:rsidRPr="00F37D28" w:rsidRDefault="00B60A9D" w:rsidP="00B60A9D">
      <w:pPr>
        <w:spacing w:line="480" w:lineRule="auto"/>
        <w:contextualSpacing/>
        <w:rPr>
          <w:rFonts w:eastAsia="微软雅黑" w:cs="Times New Roman"/>
          <w:sz w:val="24"/>
          <w:szCs w:val="24"/>
        </w:rPr>
      </w:pPr>
      <w:r w:rsidRPr="00F37D28">
        <w:rPr>
          <w:rFonts w:eastAsia="微软雅黑" w:cs="Times New Roman"/>
          <w:sz w:val="24"/>
          <w:szCs w:val="24"/>
        </w:rPr>
        <w:t>* Number of people who responded that they know.</w:t>
      </w:r>
    </w:p>
    <w:p w:rsidR="00B60A9D" w:rsidRPr="00F37D28" w:rsidRDefault="00B60A9D" w:rsidP="00B60A9D">
      <w:pPr>
        <w:spacing w:line="480" w:lineRule="auto"/>
        <w:contextualSpacing/>
        <w:rPr>
          <w:rFonts w:eastAsia="微软雅黑" w:cs="Times New Roman"/>
          <w:sz w:val="24"/>
          <w:szCs w:val="24"/>
        </w:rPr>
      </w:pPr>
      <w:r w:rsidRPr="00F37D28">
        <w:rPr>
          <w:rFonts w:eastAsia="微软雅黑" w:cs="Times New Roman"/>
          <w:sz w:val="24"/>
          <w:szCs w:val="24"/>
        </w:rPr>
        <w:br w:type="page"/>
      </w:r>
    </w:p>
    <w:p w:rsidR="00B60A9D" w:rsidRPr="00F37D28" w:rsidRDefault="00B60A9D" w:rsidP="00B60A9D">
      <w:pPr>
        <w:spacing w:line="480" w:lineRule="auto"/>
        <w:contextualSpacing/>
        <w:rPr>
          <w:rFonts w:eastAsia="微软雅黑" w:cs="Times New Roman"/>
          <w:sz w:val="24"/>
          <w:szCs w:val="24"/>
        </w:rPr>
      </w:pPr>
      <w:r w:rsidRPr="00F37D28">
        <w:rPr>
          <w:rFonts w:eastAsia="微软雅黑" w:cs="Times New Roman" w:hint="eastAsia"/>
          <w:b/>
          <w:bCs/>
          <w:sz w:val="24"/>
          <w:szCs w:val="24"/>
        </w:rPr>
        <w:lastRenderedPageBreak/>
        <w:t>Supplement</w:t>
      </w:r>
      <w:r w:rsidRPr="00F37D28">
        <w:rPr>
          <w:rFonts w:eastAsia="微软雅黑" w:cs="Times New Roman"/>
          <w:b/>
          <w:bCs/>
          <w:sz w:val="24"/>
          <w:szCs w:val="24"/>
        </w:rPr>
        <w:t xml:space="preserve"> Table 2. </w:t>
      </w:r>
      <w:r w:rsidRPr="00F37D28">
        <w:rPr>
          <w:rFonts w:eastAsia="微软雅黑" w:cs="Times New Roman"/>
          <w:kern w:val="0"/>
          <w:sz w:val="24"/>
          <w:szCs w:val="24"/>
        </w:rPr>
        <w:t>Distribution of answers in the Attitude dimension.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1"/>
        <w:gridCol w:w="1393"/>
        <w:gridCol w:w="1396"/>
        <w:gridCol w:w="1396"/>
        <w:gridCol w:w="1396"/>
        <w:gridCol w:w="1256"/>
      </w:tblGrid>
      <w:tr w:rsidR="00B60A9D" w:rsidRPr="00F37D28" w:rsidTr="00485C9F">
        <w:trPr>
          <w:trHeight w:val="270"/>
        </w:trPr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Strongly agree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Agree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Neutral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Disagree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Strongly disagree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1. Intracerebral haemorrhage is a very critical condition and early recognition of the premonitory symptoms is very important.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173(32.28)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152(28.36)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31(5.78)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113(21.08)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67(12.5)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2. How important do you think it is to regularly monitor coagulation index during the period of taking oral anticoagulants to prevent intracerebral haemorrhage.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141(26.31)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142(26.49)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117(21.83)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85(15.86)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51(9.51)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3. How important do you think it is to keep an optimistic and calm mood during the period of taking oral anticoagulants to prevent intracerebral haemorrhage.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156(29.1)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138(25.75)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111(20.71)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88(16.42)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43(8.02)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 How important do you think the cessation of smoking is for prevention of intracerebral haemorrhage.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157(29.29)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144(26.87)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72(13.43)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121(22.57)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42(7.84)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lastRenderedPageBreak/>
              <w:t>5. How important do you think that restriction of alcohol consumption is for prevention of intracerebral haemorrhage.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138(25.75)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185(34.51)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27(5.04)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129(24.07)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57(10.63)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eastAsia="微软雅黑" w:cs="Times New Roman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6. Do you think that oral anticoagulant medication should continue as prescribed for disease treatment with regular dosing and scheduling despite some dreaded complications such as intracerebral haemorrhage.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113(21.08)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137(25.56)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155(28.92)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88(16.42)</w:t>
            </w:r>
          </w:p>
        </w:tc>
        <w:tc>
          <w:tcPr>
            <w:tcW w:w="45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43(8.02)</w:t>
            </w:r>
          </w:p>
        </w:tc>
      </w:tr>
      <w:tr w:rsidR="00B60A9D" w:rsidRPr="00F37D28" w:rsidTr="00485C9F">
        <w:trPr>
          <w:trHeight w:val="270"/>
        </w:trPr>
        <w:tc>
          <w:tcPr>
            <w:tcW w:w="2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7. Do you think it is very important to take oral anticoagulants on time and in the required dosage as prescribed by your doctor?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156(29.1)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164(30.6)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33(6.16)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131(24.44)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52(9.7)</w:t>
            </w:r>
          </w:p>
        </w:tc>
      </w:tr>
    </w:tbl>
    <w:p w:rsidR="00B60A9D" w:rsidRPr="00F37D28" w:rsidRDefault="00B60A9D" w:rsidP="00B60A9D">
      <w:pPr>
        <w:spacing w:line="480" w:lineRule="auto"/>
        <w:contextualSpacing/>
        <w:rPr>
          <w:rFonts w:cs="Times New Roman"/>
          <w:sz w:val="24"/>
          <w:szCs w:val="24"/>
        </w:rPr>
        <w:sectPr w:rsidR="00B60A9D" w:rsidRPr="00F37D28" w:rsidSect="00B60A9D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B60A9D" w:rsidRPr="00F37D28" w:rsidRDefault="00B60A9D" w:rsidP="00B60A9D">
      <w:pPr>
        <w:spacing w:line="480" w:lineRule="auto"/>
        <w:contextualSpacing/>
        <w:rPr>
          <w:rFonts w:eastAsia="微软雅黑" w:cs="Times New Roman"/>
          <w:sz w:val="24"/>
          <w:szCs w:val="24"/>
        </w:rPr>
      </w:pPr>
      <w:r w:rsidRPr="00F37D28">
        <w:rPr>
          <w:rFonts w:eastAsia="微软雅黑" w:cs="Times New Roman" w:hint="eastAsia"/>
          <w:b/>
          <w:bCs/>
          <w:sz w:val="24"/>
          <w:szCs w:val="24"/>
        </w:rPr>
        <w:lastRenderedPageBreak/>
        <w:t>Supplement</w:t>
      </w:r>
      <w:r w:rsidRPr="00F37D28">
        <w:rPr>
          <w:rFonts w:eastAsia="微软雅黑" w:cs="Times New Roman"/>
          <w:b/>
          <w:bCs/>
          <w:sz w:val="24"/>
          <w:szCs w:val="24"/>
        </w:rPr>
        <w:t xml:space="preserve"> Table 3.</w:t>
      </w:r>
      <w:r w:rsidRPr="00F37D28">
        <w:rPr>
          <w:rFonts w:eastAsia="微软雅黑" w:cs="Times New Roman"/>
          <w:sz w:val="24"/>
          <w:szCs w:val="24"/>
        </w:rPr>
        <w:t xml:space="preserve"> </w:t>
      </w:r>
      <w:r w:rsidRPr="00F37D28">
        <w:rPr>
          <w:rFonts w:eastAsia="微软雅黑" w:cs="Times New Roman"/>
          <w:kern w:val="0"/>
          <w:sz w:val="24"/>
          <w:szCs w:val="24"/>
        </w:rPr>
        <w:t>Distribution of answers in the Practice dimension.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11"/>
        <w:gridCol w:w="1410"/>
        <w:gridCol w:w="1407"/>
        <w:gridCol w:w="1410"/>
        <w:gridCol w:w="1407"/>
        <w:gridCol w:w="1413"/>
      </w:tblGrid>
      <w:tr w:rsidR="00B60A9D" w:rsidRPr="00F37D28" w:rsidTr="00485C9F">
        <w:trPr>
          <w:trHeight w:val="270"/>
        </w:trPr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Very consistent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Consistent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Neutral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Less consistent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rPr>
                <w:rFonts w:eastAsia="微软雅黑" w:cs="Times New Roman"/>
                <w:b/>
                <w:kern w:val="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Very inconsistent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1. You adhere to regular follow-up visits as prescribed by your doctor while taking oral anticoagulants.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131(24.44)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143(26.68)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127(23.69)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97(18.1)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38(7.09)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2. You adhere to regular check-ups as prescribed by your doctor so that your doctor can adjust the dosage of anticoagulants in time.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133(24.81)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162(30.22)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92(17.16)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114(21.27)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35(6.53)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3. You keep a positive mind and try to keep yourself calm and happy.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143(26.68)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155(28.92)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116(21.64)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92(17.16)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30(5.6)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4. You take care to keep a good lifestyle and avoid overworking.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137(25.56)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171(31.9)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110(20.52)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89(16.6)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29(5.41)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5. You keep a daily record of the dosage of oral anticoagulants and inform your doctor at your follow-up visit.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158(29.48)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163(30.41)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84(15.67)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85(15.86)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46(8.58)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6. You are careful not to strain too hard to pass stools, eat plenty of vegetables and fruits, and administer a laxative if necessary.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170(31.72)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154(28.73)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36(6.72)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118(22.01)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58(10.82)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lastRenderedPageBreak/>
              <w:t>7. You will seek medical attention promptly if you suddenly experience severe headache, nausea and vomiting, or numbness in your limbs.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141(26.31)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209(38.99)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29(5.41)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119(22.2)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38(7.09)</w:t>
            </w:r>
          </w:p>
        </w:tc>
      </w:tr>
      <w:tr w:rsidR="00B60A9D" w:rsidRPr="00F37D28" w:rsidTr="00485C9F">
        <w:trPr>
          <w:trHeight w:val="270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eastAsia="微软雅黑" w:cs="Times New Roman"/>
                <w:sz w:val="24"/>
                <w:szCs w:val="24"/>
              </w:rPr>
              <w:t>8. You will take the initiative to consult your doctor about precautions for anticoagulation treatment.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133(24.81)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143(26.68)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113(21.08)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111(20.71)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A9D" w:rsidRPr="00F37D28" w:rsidRDefault="00B60A9D" w:rsidP="00485C9F">
            <w:pPr>
              <w:spacing w:line="480" w:lineRule="auto"/>
              <w:contextualSpacing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37D28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36(6.72)</w:t>
            </w:r>
          </w:p>
        </w:tc>
      </w:tr>
    </w:tbl>
    <w:p w:rsidR="00B60A9D" w:rsidRPr="00F37D28" w:rsidRDefault="00B60A9D" w:rsidP="00B60A9D">
      <w:pPr>
        <w:spacing w:line="480" w:lineRule="auto"/>
        <w:contextualSpacing/>
        <w:rPr>
          <w:rStyle w:val="a5"/>
          <w:rFonts w:cs="Times New Roman"/>
          <w:sz w:val="24"/>
          <w:szCs w:val="24"/>
        </w:rPr>
      </w:pPr>
    </w:p>
    <w:bookmarkEnd w:id="0"/>
    <w:p w:rsidR="000A0488" w:rsidRPr="00F37D28" w:rsidRDefault="000A0488">
      <w:pPr>
        <w:rPr>
          <w:sz w:val="24"/>
          <w:szCs w:val="24"/>
        </w:rPr>
      </w:pPr>
    </w:p>
    <w:sectPr w:rsidR="000A0488" w:rsidRPr="00F37D28" w:rsidSect="00B60A9D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D2" w:rsidRDefault="000006D2" w:rsidP="00B60A9D">
      <w:r>
        <w:separator/>
      </w:r>
    </w:p>
  </w:endnote>
  <w:endnote w:type="continuationSeparator" w:id="0">
    <w:p w:rsidR="000006D2" w:rsidRDefault="000006D2" w:rsidP="00B6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D2" w:rsidRDefault="000006D2" w:rsidP="00B60A9D">
      <w:r>
        <w:separator/>
      </w:r>
    </w:p>
  </w:footnote>
  <w:footnote w:type="continuationSeparator" w:id="0">
    <w:p w:rsidR="000006D2" w:rsidRDefault="000006D2" w:rsidP="00B6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B"/>
    <w:rsid w:val="000006D2"/>
    <w:rsid w:val="000A0488"/>
    <w:rsid w:val="000F13DB"/>
    <w:rsid w:val="002E7532"/>
    <w:rsid w:val="00477044"/>
    <w:rsid w:val="00900256"/>
    <w:rsid w:val="00B60A9D"/>
    <w:rsid w:val="00E6041F"/>
    <w:rsid w:val="00F3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5648C5-67DF-4507-BD51-C7052A5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9D"/>
    <w:pPr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A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A9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A9D"/>
    <w:rPr>
      <w:sz w:val="18"/>
      <w:szCs w:val="18"/>
    </w:rPr>
  </w:style>
  <w:style w:type="character" w:styleId="a5">
    <w:name w:val="annotation reference"/>
    <w:basedOn w:val="a0"/>
    <w:uiPriority w:val="99"/>
    <w:unhideWhenUsed/>
    <w:qFormat/>
    <w:rsid w:val="00B60A9D"/>
    <w:rPr>
      <w:sz w:val="21"/>
      <w:szCs w:val="21"/>
    </w:rPr>
  </w:style>
  <w:style w:type="character" w:styleId="a6">
    <w:name w:val="line number"/>
    <w:basedOn w:val="a0"/>
    <w:uiPriority w:val="99"/>
    <w:semiHidden/>
    <w:unhideWhenUsed/>
    <w:rsid w:val="00B6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2023-10-30T03:58:00Z</dcterms:created>
  <dcterms:modified xsi:type="dcterms:W3CDTF">2023-11-16T09:03:00Z</dcterms:modified>
</cp:coreProperties>
</file>