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D254" w14:textId="77777777" w:rsidR="00380627" w:rsidRPr="00710359" w:rsidRDefault="00710359">
      <w:pPr>
        <w:spacing w:line="480" w:lineRule="auto"/>
        <w:rPr>
          <w:rFonts w:ascii="TimesNewRomanPSMT" w:hAnsi="TimesNewRomanPSMT" w:hint="eastAsia"/>
          <w:color w:val="000000"/>
        </w:rPr>
      </w:pPr>
      <w:r w:rsidRPr="00710359">
        <w:rPr>
          <w:rFonts w:ascii="TimesNewRomanPSMT" w:hAnsi="TimesNewRomanPSMT"/>
          <w:b/>
          <w:bCs/>
          <w:color w:val="000000"/>
        </w:rPr>
        <w:t>Manuscript title:</w:t>
      </w:r>
      <w:r w:rsidRPr="00710359">
        <w:rPr>
          <w:rFonts w:ascii="TimesNewRomanPSMT" w:hAnsi="TimesNewRomanPSMT"/>
          <w:color w:val="000000"/>
        </w:rPr>
        <w:t xml:space="preserve"> </w:t>
      </w:r>
      <w:bookmarkStart w:id="0" w:name="_Hlk159538586"/>
      <w:r w:rsidRPr="00710359">
        <w:rPr>
          <w:rFonts w:ascii="Times New Roman" w:hAnsi="Times New Roman" w:hint="eastAsia"/>
          <w:color w:val="000000"/>
        </w:rPr>
        <w:t>H</w:t>
      </w:r>
      <w:r w:rsidRPr="00710359">
        <w:rPr>
          <w:rFonts w:ascii="Times New Roman" w:hAnsi="Times New Roman"/>
          <w:color w:val="000000"/>
        </w:rPr>
        <w:t xml:space="preserve">epatic </w:t>
      </w:r>
      <w:r w:rsidRPr="00710359">
        <w:rPr>
          <w:rFonts w:ascii="Times New Roman" w:eastAsiaTheme="minorEastAsia" w:hAnsi="Times New Roman"/>
          <w:color w:val="000000"/>
        </w:rPr>
        <w:t>arterial</w:t>
      </w:r>
      <w:r w:rsidRPr="00710359">
        <w:rPr>
          <w:rFonts w:ascii="Times New Roman" w:hAnsi="Times New Roman"/>
          <w:color w:val="000000"/>
        </w:rPr>
        <w:t xml:space="preserve"> infusion chemotherapy</w:t>
      </w:r>
      <w:r w:rsidRPr="00710359">
        <w:rPr>
          <w:rFonts w:ascii="Times New Roman" w:eastAsia="Georgia" w:hAnsi="Times New Roman"/>
          <w:color w:val="000000"/>
        </w:rPr>
        <w:t xml:space="preserve"> </w:t>
      </w:r>
      <w:r w:rsidRPr="00710359">
        <w:rPr>
          <w:rFonts w:ascii="Times New Roman" w:eastAsiaTheme="minorEastAsia" w:hAnsi="Times New Roman"/>
          <w:color w:val="000000"/>
        </w:rPr>
        <w:t>vs</w:t>
      </w:r>
      <w:r w:rsidRPr="00710359">
        <w:rPr>
          <w:rFonts w:ascii="Times New Roman" w:eastAsia="Georgia" w:hAnsi="Times New Roman"/>
          <w:color w:val="000000"/>
        </w:rPr>
        <w:t xml:space="preserve">. </w:t>
      </w:r>
      <w:r w:rsidRPr="00710359">
        <w:rPr>
          <w:rFonts w:ascii="Times New Roman" w:hAnsi="Times New Roman"/>
          <w:color w:val="000000"/>
        </w:rPr>
        <w:t xml:space="preserve">transcatheter arterial chemoembolization </w:t>
      </w:r>
      <w:r w:rsidRPr="00710359">
        <w:rPr>
          <w:rFonts w:ascii="Times New Roman" w:eastAsia="Georgia" w:hAnsi="Times New Roman"/>
          <w:color w:val="000000"/>
          <w:lang w:eastAsia="zh-Hans"/>
        </w:rPr>
        <w:t>as</w:t>
      </w:r>
      <w:r w:rsidRPr="00710359">
        <w:rPr>
          <w:rFonts w:ascii="Times New Roman" w:eastAsia="Georgia" w:hAnsi="Times New Roman"/>
          <w:color w:val="000000"/>
        </w:rPr>
        <w:t xml:space="preserve"> adjuvant therapy following surgery for MVI-positive hepatocellular carcinoma: a multicenter </w:t>
      </w:r>
      <w:r w:rsidRPr="00710359">
        <w:rPr>
          <w:rFonts w:ascii="Times New Roman" w:hAnsi="Times New Roman"/>
          <w:color w:val="000000"/>
        </w:rPr>
        <w:t xml:space="preserve">propensity </w:t>
      </w:r>
      <w:proofErr w:type="gramStart"/>
      <w:r w:rsidRPr="00710359">
        <w:rPr>
          <w:rFonts w:ascii="Times New Roman" w:hAnsi="Times New Roman"/>
          <w:color w:val="000000"/>
        </w:rPr>
        <w:t>score</w:t>
      </w:r>
      <w:proofErr w:type="gramEnd"/>
      <w:r w:rsidRPr="00710359">
        <w:rPr>
          <w:rFonts w:ascii="Times New Roman" w:hAnsi="Times New Roman"/>
          <w:color w:val="000000"/>
        </w:rPr>
        <w:t xml:space="preserve"> matching analysis</w:t>
      </w:r>
      <w:bookmarkEnd w:id="0"/>
    </w:p>
    <w:p w14:paraId="3033DF72" w14:textId="77777777" w:rsidR="00380627" w:rsidRPr="00710359" w:rsidRDefault="00710359">
      <w:pPr>
        <w:spacing w:line="480" w:lineRule="auto"/>
        <w:rPr>
          <w:rFonts w:ascii="TimesNewRomanPSMT" w:hAnsi="TimesNewRomanPSMT" w:hint="eastAsia"/>
          <w:color w:val="000000"/>
          <w:sz w:val="28"/>
          <w:szCs w:val="28"/>
          <w:vertAlign w:val="superscript"/>
        </w:rPr>
      </w:pPr>
      <w:r w:rsidRPr="00710359">
        <w:rPr>
          <w:rFonts w:ascii="TimesNewRomanPSMT" w:hAnsi="TimesNewRomanPSMT"/>
          <w:b/>
          <w:bCs/>
          <w:color w:val="000000"/>
        </w:rPr>
        <w:t xml:space="preserve">List of authors: </w:t>
      </w:r>
      <w:r w:rsidRPr="00710359">
        <w:rPr>
          <w:rFonts w:ascii="TimesNewRomanPSMT" w:hAnsi="TimesNewRomanPSMT" w:hint="eastAsia"/>
          <w:color w:val="000000"/>
        </w:rPr>
        <w:t xml:space="preserve">Yuhua Wen, </w:t>
      </w:r>
      <w:proofErr w:type="spellStart"/>
      <w:r w:rsidRPr="00710359">
        <w:rPr>
          <w:rFonts w:ascii="TimesNewRomanPSMT" w:hAnsi="TimesNewRomanPSMT" w:hint="eastAsia"/>
          <w:color w:val="000000"/>
        </w:rPr>
        <w:t>Lianghe</w:t>
      </w:r>
      <w:proofErr w:type="spellEnd"/>
      <w:r w:rsidRPr="00710359">
        <w:rPr>
          <w:rFonts w:ascii="TimesNewRomanPSMT" w:hAnsi="TimesNewRomanPSMT" w:hint="eastAsia"/>
          <w:color w:val="000000"/>
        </w:rPr>
        <w:t xml:space="preserve"> Lu,</w:t>
      </w:r>
      <w:r w:rsidRPr="00710359">
        <w:rPr>
          <w:rFonts w:ascii="TimesNewRomanPSMT" w:hAnsi="TimesNewRomanPSMT"/>
          <w:color w:val="000000"/>
        </w:rPr>
        <w:t xml:space="preserve"> </w:t>
      </w:r>
      <w:r w:rsidRPr="00710359">
        <w:rPr>
          <w:rFonts w:ascii="TimesNewRomanPSMT" w:hAnsi="TimesNewRomanPSMT" w:hint="eastAsia"/>
          <w:color w:val="000000"/>
        </w:rPr>
        <w:t xml:space="preserve">Jie Mei, Yihong Ling, </w:t>
      </w:r>
      <w:proofErr w:type="spellStart"/>
      <w:r w:rsidRPr="00710359">
        <w:rPr>
          <w:rFonts w:ascii="TimesNewRomanPSMT" w:hAnsi="TimesNewRomanPSMT" w:hint="eastAsia"/>
          <w:color w:val="000000"/>
        </w:rPr>
        <w:t>Renguo</w:t>
      </w:r>
      <w:proofErr w:type="spellEnd"/>
      <w:r w:rsidRPr="00710359">
        <w:rPr>
          <w:rFonts w:ascii="TimesNewRomanPSMT" w:hAnsi="TimesNewRomanPSMT" w:hint="eastAsia"/>
          <w:color w:val="000000"/>
        </w:rPr>
        <w:t xml:space="preserve"> Guan, </w:t>
      </w:r>
      <w:proofErr w:type="spellStart"/>
      <w:r w:rsidRPr="00710359">
        <w:rPr>
          <w:rFonts w:ascii="TimesNewRomanPSMT" w:hAnsi="TimesNewRomanPSMT" w:hint="eastAsia"/>
          <w:color w:val="000000"/>
        </w:rPr>
        <w:t>Wenping</w:t>
      </w:r>
      <w:proofErr w:type="spellEnd"/>
      <w:r w:rsidRPr="00710359">
        <w:rPr>
          <w:rFonts w:ascii="TimesNewRomanPSMT" w:hAnsi="TimesNewRomanPSMT" w:hint="eastAsia"/>
          <w:color w:val="000000"/>
        </w:rPr>
        <w:t xml:space="preserve"> Lin, Wei </w:t>
      </w:r>
      <w:proofErr w:type="spellStart"/>
      <w:r w:rsidRPr="00710359">
        <w:rPr>
          <w:rFonts w:ascii="TimesNewRomanPSMT" w:hAnsi="TimesNewRomanPSMT" w:hint="eastAsia"/>
          <w:color w:val="000000"/>
        </w:rPr>
        <w:t>Wei</w:t>
      </w:r>
      <w:proofErr w:type="spellEnd"/>
      <w:r w:rsidRPr="00710359">
        <w:rPr>
          <w:rFonts w:ascii="TimesNewRomanPSMT" w:hAnsi="TimesNewRomanPSMT" w:hint="eastAsia"/>
          <w:color w:val="000000"/>
        </w:rPr>
        <w:t xml:space="preserve">, </w:t>
      </w:r>
      <w:proofErr w:type="spellStart"/>
      <w:r w:rsidRPr="00710359">
        <w:rPr>
          <w:rFonts w:ascii="TimesNewRomanPSMT" w:hAnsi="TimesNewRomanPSMT" w:hint="eastAsia"/>
          <w:color w:val="000000"/>
        </w:rPr>
        <w:t>Rongping</w:t>
      </w:r>
      <w:proofErr w:type="spellEnd"/>
      <w:r w:rsidRPr="00710359">
        <w:rPr>
          <w:rFonts w:ascii="TimesNewRomanPSMT" w:hAnsi="TimesNewRomanPSMT" w:hint="eastAsia"/>
          <w:color w:val="000000"/>
        </w:rPr>
        <w:t xml:space="preserve"> Guo</w:t>
      </w:r>
    </w:p>
    <w:p w14:paraId="510FE6DD" w14:textId="77777777" w:rsidR="00380627" w:rsidRPr="00710359" w:rsidRDefault="00380627">
      <w:pPr>
        <w:spacing w:line="480" w:lineRule="auto"/>
        <w:rPr>
          <w:rFonts w:ascii="TimesNewRomanPSMT" w:hAnsi="TimesNewRomanPSMT" w:hint="eastAsia"/>
          <w:color w:val="000000"/>
          <w:vertAlign w:val="superscript"/>
        </w:rPr>
      </w:pPr>
    </w:p>
    <w:p w14:paraId="4B7D3D67" w14:textId="77777777" w:rsidR="00380627" w:rsidRPr="00710359" w:rsidRDefault="00710359">
      <w:pPr>
        <w:spacing w:line="480" w:lineRule="auto"/>
        <w:rPr>
          <w:rFonts w:ascii="Times New Roman" w:eastAsia="DengXian" w:hAnsi="Times New Roman"/>
          <w:color w:val="000000"/>
        </w:rPr>
      </w:pPr>
      <w:r w:rsidRPr="00710359">
        <w:rPr>
          <w:rFonts w:ascii="Times" w:hAnsi="Times" w:cs="Arial"/>
          <w:color w:val="000000"/>
        </w:rPr>
        <w:t>Supplementary T</w:t>
      </w:r>
      <w:r w:rsidRPr="00710359">
        <w:rPr>
          <w:rFonts w:ascii="Times New Roman" w:eastAsia="DengXian" w:hAnsi="Times New Roman"/>
          <w:color w:val="000000"/>
        </w:rPr>
        <w:t xml:space="preserve">able 1. The </w:t>
      </w:r>
      <w:r w:rsidRPr="00710359">
        <w:rPr>
          <w:rFonts w:ascii="Times New Roman" w:eastAsia="DengXian" w:hAnsi="Times New Roman" w:hint="eastAsia"/>
          <w:color w:val="000000"/>
        </w:rPr>
        <w:t xml:space="preserve">baseline </w:t>
      </w:r>
      <w:r w:rsidRPr="00710359">
        <w:rPr>
          <w:rFonts w:ascii="Times New Roman" w:eastAsia="DengXian" w:hAnsi="Times New Roman"/>
          <w:color w:val="000000"/>
        </w:rPr>
        <w:t xml:space="preserve">characteristics of HCC patients with MVI among different </w:t>
      </w:r>
      <w:r w:rsidRPr="00710359">
        <w:rPr>
          <w:rFonts w:ascii="Times New Roman" w:eastAsia="DengXian" w:hAnsi="Times New Roman" w:hint="eastAsia"/>
          <w:color w:val="000000"/>
        </w:rPr>
        <w:t xml:space="preserve">adjuvant </w:t>
      </w:r>
      <w:r w:rsidRPr="00710359">
        <w:rPr>
          <w:rFonts w:ascii="Times New Roman" w:eastAsia="DengXian" w:hAnsi="Times New Roman"/>
          <w:color w:val="000000"/>
        </w:rPr>
        <w:t>treatment groups before</w:t>
      </w:r>
      <w:r w:rsidRPr="00710359">
        <w:rPr>
          <w:rFonts w:ascii="Times New Roman" w:eastAsia="DengXian" w:hAnsi="Times New Roman" w:hint="eastAsia"/>
          <w:color w:val="000000"/>
        </w:rPr>
        <w:t xml:space="preserve"> and after</w:t>
      </w:r>
      <w:r w:rsidRPr="00710359">
        <w:rPr>
          <w:rFonts w:ascii="Times New Roman" w:eastAsia="DengXian" w:hAnsi="Times New Roman"/>
          <w:color w:val="000000"/>
        </w:rPr>
        <w:t xml:space="preserve"> PSM.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1091"/>
        <w:gridCol w:w="1196"/>
        <w:gridCol w:w="876"/>
        <w:gridCol w:w="986"/>
        <w:gridCol w:w="1091"/>
        <w:gridCol w:w="689"/>
      </w:tblGrid>
      <w:tr w:rsidR="00380627" w:rsidRPr="00710359" w14:paraId="02C7CE28" w14:textId="77777777">
        <w:trPr>
          <w:trHeight w:val="9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A9691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Variable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4326F6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Before PSM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E9860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After PSM</w:t>
            </w:r>
          </w:p>
        </w:tc>
      </w:tr>
      <w:tr w:rsidR="00380627" w:rsidRPr="00710359" w14:paraId="042CDD51" w14:textId="77777777">
        <w:trPr>
          <w:trHeight w:val="29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3C81B7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49114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HAIC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02828A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TACE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AB9AE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i/>
                <w:iCs/>
                <w:color w:val="000000"/>
              </w:rPr>
              <w:t>P</w:t>
            </w:r>
            <w:r w:rsidRPr="00710359">
              <w:rPr>
                <w:rFonts w:ascii="Times New Roman" w:eastAsia="DengXian" w:hAnsi="Times New Roman" w:hint="eastAsia"/>
                <w:i/>
                <w:i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56277C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HAIC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999F5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TACE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8310E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i/>
                <w:iCs/>
                <w:color w:val="000000"/>
              </w:rPr>
              <w:t>P</w:t>
            </w:r>
            <w:r w:rsidRPr="00710359">
              <w:rPr>
                <w:rFonts w:ascii="Times New Roman" w:eastAsia="DengXian" w:hAnsi="Times New Roman" w:hint="eastAsia"/>
                <w:i/>
                <w:iCs/>
                <w:color w:val="000000"/>
              </w:rPr>
              <w:t xml:space="preserve"> </w:t>
            </w:r>
          </w:p>
        </w:tc>
      </w:tr>
      <w:tr w:rsidR="00380627" w:rsidRPr="00710359" w14:paraId="527D9A1A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32D0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2BBF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1871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2699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A84F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ABE5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59AB9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2A61CE3D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DAAB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A1A9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A3DD0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2283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C61D3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1B1D1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F9AC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0.309</w:t>
            </w:r>
          </w:p>
        </w:tc>
      </w:tr>
      <w:tr w:rsidR="00380627" w:rsidRPr="00710359" w14:paraId="23A911E3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1BD0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C5D6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136 (86.6)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047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109 (94.0)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2315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C1C6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81 (88.0)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FCB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86 (93.5)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E4CE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060C47DC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EE6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8F2E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21 (13.4)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C595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 (6.0)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B75E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80ED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 (12.0)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D3C3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 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C1773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3E6895C6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D756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E9A69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67061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228F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A122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813A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6B63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0.052</w:t>
            </w:r>
          </w:p>
        </w:tc>
      </w:tr>
      <w:tr w:rsidR="00380627" w:rsidRPr="00710359" w14:paraId="4216276D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69F3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6524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141 (89.8)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0279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112 (96.6)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BC0F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6C05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81 (88.0)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D7FC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89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BDBA6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1570BAB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35C4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t>＞</w:t>
            </w:r>
            <w:r w:rsidRPr="00710359">
              <w:rPr>
                <w:rFonts w:ascii="Times New Roman" w:eastAsia="DengXian" w:hAnsi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9292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16 (10.2)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B961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 (3.4)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954D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93C5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 (12.0)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D775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 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A10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33541322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795C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HBsAg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AF540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F63E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9667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EE9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A37B9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8B3B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0.496</w:t>
            </w:r>
          </w:p>
        </w:tc>
      </w:tr>
      <w:tr w:rsidR="00380627" w:rsidRPr="00710359" w14:paraId="4585763A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EBF1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6AB7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20 (12.7)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D4F6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14 (12.1)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BBAF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1924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13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6100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B82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FAF54FF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5628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22F4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137 (87.3)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DC81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102 (87.9)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2AEEB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D31A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79 (85.9)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5D98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83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733E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6409DE3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B54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ALT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3E56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53EA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114A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36820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E5258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9AEB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1.000</w:t>
            </w:r>
          </w:p>
        </w:tc>
      </w:tr>
      <w:tr w:rsidR="00380627" w:rsidRPr="00710359" w14:paraId="6E92496B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5ED8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≤40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6024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101 (64.3)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2140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61 (52.6)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7B0F5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C5B0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54 (58.7)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C117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54 (58.7)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64BA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2BBE7E75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78DB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lastRenderedPageBreak/>
              <w:t>＞</w:t>
            </w:r>
            <w:r w:rsidRPr="00710359">
              <w:rPr>
                <w:rFonts w:ascii="Times New Roman" w:eastAsia="DengXian" w:hAnsi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3E16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56 (35.7)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9CF2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55 (47.4)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CFC9B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3C6A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38 (41.3)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9211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38 (41.3)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6D46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155BBFB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2A9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proofErr w:type="spellStart"/>
            <w:r w:rsidRPr="00710359">
              <w:rPr>
                <w:rFonts w:ascii="Times New Roman" w:eastAsia="DengXian" w:hAnsi="Times New Roman"/>
                <w:color w:val="000000"/>
              </w:rPr>
              <w:t>Tbil</w:t>
            </w:r>
            <w:proofErr w:type="spellEnd"/>
            <w:r w:rsidRPr="00710359">
              <w:rPr>
                <w:rFonts w:ascii="Times New Roman" w:eastAsia="DengXian" w:hAnsi="Times New Roman"/>
                <w:color w:val="000000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CC5C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B9AB1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A2B7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C37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22F8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4DA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0.644</w:t>
            </w:r>
          </w:p>
        </w:tc>
      </w:tr>
      <w:tr w:rsidR="00380627" w:rsidRPr="00710359" w14:paraId="0316D4C3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5949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≤20.5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2FE1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142 (90.4)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97A1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102 (87.9)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E7D41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814D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83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410A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80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F0E5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6E2B55B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D01B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t>＞</w:t>
            </w:r>
            <w:r w:rsidRPr="00710359">
              <w:rPr>
                <w:rFonts w:ascii="Times New Roman" w:eastAsia="DengXian" w:hAnsi="Times New Roman"/>
                <w:color w:val="000000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7071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15 (9.6)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8171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14 (12.1)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B5C8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941D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0BC8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12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DBA58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05C0426A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459C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ALBI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4C21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7D3C9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4AC8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56B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B642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D2D5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0.062</w:t>
            </w:r>
          </w:p>
        </w:tc>
      </w:tr>
      <w:tr w:rsidR="00380627" w:rsidRPr="00710359" w14:paraId="564484C4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082A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 w:hint="eastAsia"/>
                <w:color w:val="00000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0DF3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127 (80.9)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1053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81 (69.8)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1276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27FC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75 (81.5)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BCBF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62 (67.4)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C3C5E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57F6033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629E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 w:hint="eastAsia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2247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30 (19.1)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E914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35 (30.2)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7F74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7531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17 (18.5)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C48F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30 (32.6)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805D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2EACEEDE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55E13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AFP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6A843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1F65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60C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F341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F6414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F0C6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0.075</w:t>
            </w:r>
          </w:p>
        </w:tc>
      </w:tr>
      <w:tr w:rsidR="00380627" w:rsidRPr="00710359" w14:paraId="31B02395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48DB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≤400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E9CB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88 (56.1)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F31D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57 (49.1)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897CB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1C8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57 (62.0)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7B32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44 (47.8)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08A8E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06BB0DCB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1D53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t>＞</w:t>
            </w:r>
            <w:r w:rsidRPr="00710359">
              <w:rPr>
                <w:rFonts w:ascii="Times New Roman" w:eastAsia="DengXian" w:hAnsi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E2AE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69 (43.9)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18E8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59 (50.9)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6A9D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F59A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35 (38.0)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02C5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48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123E6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558AB92B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CD30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Number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7D4D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8DC2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35EB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5B7C6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7F561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D6AE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1.000</w:t>
            </w:r>
          </w:p>
        </w:tc>
      </w:tr>
      <w:tr w:rsidR="00380627" w:rsidRPr="00710359" w14:paraId="575FC0A5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E88A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Solitary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C527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114 (72.6)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39D9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100 (86.2)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21428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C1C1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80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DBAB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80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04EE6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15D7C4D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E53C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Multiple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0F15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43 (27.4)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6FCE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16 (13.8)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11E8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C2CF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12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6652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12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3B6C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4DA521EC" w14:textId="77777777">
        <w:trPr>
          <w:trHeight w:val="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6353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Tumor diameter</w:t>
            </w:r>
            <w:r w:rsidRPr="00710359">
              <w:rPr>
                <w:rFonts w:ascii="Times New Roman" w:eastAsia="DengXian" w:hAnsi="Times New Roman" w:hint="eastAsia"/>
                <w:color w:val="000000"/>
              </w:rPr>
              <w:t xml:space="preserve"> </w:t>
            </w:r>
            <w:r w:rsidRPr="00710359">
              <w:rPr>
                <w:rFonts w:ascii="Times New Roman" w:eastAsia="DengXian" w:hAnsi="Times New Roman"/>
                <w:color w:val="000000"/>
              </w:rPr>
              <w:t>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3FD5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7FD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474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801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A1AAD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E2A9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1.000</w:t>
            </w:r>
          </w:p>
        </w:tc>
      </w:tr>
      <w:tr w:rsidR="00380627" w:rsidRPr="00710359" w14:paraId="00641CFA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33BC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t>＜</w:t>
            </w:r>
            <w:r w:rsidRPr="00710359">
              <w:rPr>
                <w:rFonts w:ascii="Times New Roman" w:eastAsia="DengXian" w:hAnsi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8B0A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132 (84.1)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E10C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83 (71.6)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72DE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A232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66 (71.7)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2AC3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65 (70.7)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4894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1E33F624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859B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≥10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7AD5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25 (15.9)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17FE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33 (28.4)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49B9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174B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26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7D5F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27 (29.3)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9439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32245A4C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6929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 w:hint="eastAsia"/>
                <w:color w:val="000000"/>
              </w:rPr>
              <w:t>C</w:t>
            </w:r>
            <w:r w:rsidRPr="00710359">
              <w:rPr>
                <w:rFonts w:ascii="Times New Roman" w:eastAsia="DengXian" w:hAnsi="Times New Roman"/>
                <w:color w:val="000000"/>
              </w:rPr>
              <w:t>irrhosis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206E4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F2B7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3A83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8DEA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1BD7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EB5E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0.103</w:t>
            </w:r>
          </w:p>
        </w:tc>
      </w:tr>
      <w:tr w:rsidR="00380627" w:rsidRPr="00710359" w14:paraId="0B6408C2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8DC1E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141D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78 (49.7)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6BD6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72 (62.1)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BEC88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036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44 (47.8)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4A89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56 (60.9)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532A0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1A277DA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0ABC8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ADF0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79 (50.3)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C469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44 (37.9)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E2B7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7194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48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17B7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36 (39.1)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AEA7C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864306C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CDA1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Resection margin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83DF0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CEAE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C0A56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5797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14CDA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E2EC0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1.000</w:t>
            </w:r>
          </w:p>
        </w:tc>
      </w:tr>
      <w:tr w:rsidR="00380627" w:rsidRPr="00710359" w14:paraId="172FD49D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293A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DengXian" w:eastAsia="DengXian" w:hAnsi="DengXian"/>
                <w:color w:val="000000"/>
              </w:rPr>
              <w:t>＜</w:t>
            </w:r>
            <w:r w:rsidRPr="00710359">
              <w:rPr>
                <w:rFonts w:ascii="Times New Roman" w:eastAsia="DengXi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811A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25 (15.9)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A7AF9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49 (42.2)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CA8F5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7447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25 (27.2)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A74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25 (27.2)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C2BF9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632808B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46C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≥1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32B0A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132 (84.1)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6D8B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67 (57.8)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44277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6973D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67 (72.8)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4C7F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67 (72.8)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92408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1C43EF38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2661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lastRenderedPageBreak/>
              <w:t>Child-Pugh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2BB1F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17466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B2241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DF01A" w14:textId="77777777" w:rsidR="00380627" w:rsidRPr="00710359" w:rsidRDefault="00380627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10324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252E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NA</w:t>
            </w:r>
          </w:p>
        </w:tc>
      </w:tr>
      <w:tr w:rsidR="00380627" w:rsidRPr="00710359" w14:paraId="0C9D474D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CF5C2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CF914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155 (98.7)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C59CC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116 (100.0)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D9F4D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5560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91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1B9D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92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30D2D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  <w:tr w:rsidR="00380627" w:rsidRPr="00710359" w14:paraId="16912681" w14:textId="77777777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C5012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CB21F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2 (1.3)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E3F6C5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 (0.0)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B7EDA2E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84DEDF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1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66C16B" w14:textId="77777777" w:rsidR="00380627" w:rsidRPr="00710359" w:rsidRDefault="00710359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/>
                <w:color w:val="000000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116E662" w14:textId="77777777" w:rsidR="00380627" w:rsidRPr="00710359" w:rsidRDefault="00380627">
            <w:pPr>
              <w:spacing w:line="480" w:lineRule="auto"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</w:tr>
    </w:tbl>
    <w:p w14:paraId="597EE1BA" w14:textId="77777777" w:rsidR="00380627" w:rsidRPr="00710359" w:rsidRDefault="00710359">
      <w:pPr>
        <w:spacing w:line="480" w:lineRule="auto"/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73A6859E" w14:textId="77777777" w:rsidR="00380627" w:rsidRPr="00710359" w:rsidRDefault="00710359">
      <w:pPr>
        <w:spacing w:line="480" w:lineRule="auto"/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5660F190" w14:textId="77777777" w:rsidR="00380627" w:rsidRPr="00710359" w:rsidRDefault="00710359">
      <w:pPr>
        <w:spacing w:line="480" w:lineRule="auto"/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60200231" w14:textId="77777777" w:rsidR="00380627" w:rsidRPr="00710359" w:rsidRDefault="00710359">
      <w:pPr>
        <w:rPr>
          <w:rFonts w:ascii="Times New Roman" w:hAnsi="Times New Roman"/>
          <w:color w:val="000000"/>
          <w:sz w:val="18"/>
          <w:szCs w:val="18"/>
        </w:rPr>
      </w:pPr>
      <w:r w:rsidRPr="00710359">
        <w:rPr>
          <w:rFonts w:ascii="Times New Roman" w:eastAsia="Cambria" w:hAnsi="Times New Roman"/>
          <w:color w:val="000000"/>
          <w:sz w:val="18"/>
          <w:szCs w:val="18"/>
        </w:rPr>
        <w:t>Bold values indicate statistical significance (</w:t>
      </w:r>
      <w:r w:rsidRPr="00710359">
        <w:rPr>
          <w:rStyle w:val="15"/>
          <w:rFonts w:ascii="Times New Roman" w:eastAsia="Cambria" w:hAnsi="Times New Roman" w:hint="default"/>
          <w:color w:val="000000"/>
          <w:sz w:val="18"/>
          <w:szCs w:val="18"/>
        </w:rPr>
        <w:t>P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 xml:space="preserve"> &lt; 0.05). HCC, hepatocellular carcinoma; PSM, propensity score matching;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 xml:space="preserve"> a-HAIC, adjuvant </w:t>
      </w:r>
      <w:r w:rsidRPr="00710359">
        <w:rPr>
          <w:rFonts w:ascii="Times" w:hAnsi="Times"/>
          <w:color w:val="000000"/>
          <w:sz w:val="18"/>
          <w:szCs w:val="18"/>
        </w:rPr>
        <w:t>hepatic artery infusion chemotherapy</w:t>
      </w:r>
      <w:r w:rsidRPr="00710359">
        <w:rPr>
          <w:rFonts w:ascii="Times" w:hAnsi="Times" w:cs="Times" w:hint="eastAsia"/>
          <w:color w:val="000000"/>
          <w:sz w:val="18"/>
          <w:szCs w:val="18"/>
        </w:rPr>
        <w:t xml:space="preserve">; a-TACE, adjuvant </w:t>
      </w:r>
      <w:r w:rsidRPr="00710359">
        <w:rPr>
          <w:rFonts w:ascii="Times" w:hAnsi="Times"/>
          <w:color w:val="000000"/>
          <w:sz w:val="18"/>
          <w:szCs w:val="18"/>
        </w:rPr>
        <w:t>transcatheter arterial chemoembolization</w:t>
      </w:r>
      <w:r w:rsidRPr="00710359">
        <w:rPr>
          <w:rFonts w:ascii="Times" w:hAnsi="Times" w:cs="Times" w:hint="eastAsia"/>
          <w:color w:val="000000"/>
          <w:sz w:val="18"/>
          <w:szCs w:val="18"/>
        </w:rPr>
        <w:t xml:space="preserve">; 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HBsAg, hepatitis B surface antigen; ALT, alanine aminotransferase; TBIL, total serum bilirubin; ALB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I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 xml:space="preserve">, 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A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lbumin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-Bilirubin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; AFP, alpha-fetoprotein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.</w:t>
      </w:r>
    </w:p>
    <w:p w14:paraId="47010CAF" w14:textId="77777777" w:rsidR="00380627" w:rsidRPr="00710359" w:rsidRDefault="00710359">
      <w:pPr>
        <w:rPr>
          <w:rFonts w:ascii="Times New Roman" w:hAnsi="Times New Roman"/>
          <w:color w:val="000000"/>
          <w:sz w:val="18"/>
          <w:szCs w:val="18"/>
        </w:rPr>
      </w:pPr>
      <w:r w:rsidRPr="00710359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0E506B38" w14:textId="77777777" w:rsidR="00380627" w:rsidRPr="00710359" w:rsidRDefault="00710359">
      <w:pPr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3E2E0E6C" w14:textId="77777777" w:rsidR="00380627" w:rsidRPr="00710359" w:rsidRDefault="00710359">
      <w:pPr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07EC1F3A" w14:textId="77777777" w:rsidR="00380627" w:rsidRPr="00710359" w:rsidRDefault="00710359">
      <w:pPr>
        <w:spacing w:line="480" w:lineRule="auto"/>
        <w:rPr>
          <w:rFonts w:ascii="Times New Roman" w:hAnsi="Times New Roman"/>
          <w:color w:val="000000"/>
        </w:rPr>
      </w:pPr>
      <w:r w:rsidRPr="00710359">
        <w:rPr>
          <w:rFonts w:ascii="Times New Roman" w:hAnsi="Times New Roman"/>
          <w:color w:val="000000"/>
        </w:rPr>
        <w:t xml:space="preserve"> </w:t>
      </w:r>
    </w:p>
    <w:p w14:paraId="0876AD52" w14:textId="77777777" w:rsidR="00380627" w:rsidRPr="00710359" w:rsidRDefault="00380627">
      <w:pPr>
        <w:widowControl/>
        <w:rPr>
          <w:rFonts w:ascii="TimesNewRomanPSMT" w:hAnsi="TimesNewRomanPSMT" w:hint="eastAsia"/>
          <w:color w:val="000000"/>
          <w:sz w:val="28"/>
          <w:szCs w:val="28"/>
        </w:rPr>
        <w:sectPr w:rsidR="00380627" w:rsidRPr="00710359" w:rsidSect="00C95BFA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E3CD93" w14:textId="77777777" w:rsidR="00380627" w:rsidRPr="00710359" w:rsidRDefault="00710359">
      <w:pPr>
        <w:widowControl/>
        <w:jc w:val="center"/>
        <w:rPr>
          <w:rFonts w:ascii="Times New Roman" w:hAnsi="Times New Roman"/>
          <w:color w:val="000000"/>
          <w:kern w:val="0"/>
        </w:rPr>
      </w:pPr>
      <w:r w:rsidRPr="00710359">
        <w:rPr>
          <w:rFonts w:ascii="Times New Roman" w:hAnsi="Times New Roman" w:hint="eastAsia"/>
          <w:color w:val="000000"/>
          <w:kern w:val="0"/>
        </w:rPr>
        <w:lastRenderedPageBreak/>
        <w:t>Supplement T</w:t>
      </w:r>
      <w:r w:rsidRPr="00710359">
        <w:rPr>
          <w:rFonts w:ascii="Times New Roman" w:hAnsi="Times New Roman"/>
          <w:color w:val="000000"/>
          <w:kern w:val="0"/>
        </w:rPr>
        <w:t xml:space="preserve">able </w:t>
      </w:r>
      <w:r w:rsidRPr="00710359">
        <w:rPr>
          <w:rFonts w:ascii="Times New Roman" w:hAnsi="Times New Roman" w:hint="eastAsia"/>
          <w:color w:val="000000"/>
          <w:kern w:val="0"/>
        </w:rPr>
        <w:t>2</w:t>
      </w:r>
      <w:r w:rsidRPr="00710359">
        <w:rPr>
          <w:rFonts w:ascii="Times New Roman" w:hAnsi="Times New Roman"/>
          <w:color w:val="000000"/>
          <w:kern w:val="0"/>
        </w:rPr>
        <w:t xml:space="preserve">. </w:t>
      </w:r>
      <w:r w:rsidRPr="00710359">
        <w:rPr>
          <w:rFonts w:ascii="Times New Roman" w:hAnsi="Times New Roman" w:hint="eastAsia"/>
          <w:color w:val="000000"/>
          <w:kern w:val="0"/>
        </w:rPr>
        <w:t>Univariate and m</w:t>
      </w:r>
      <w:r w:rsidRPr="00710359">
        <w:rPr>
          <w:rFonts w:ascii="Times New Roman" w:hAnsi="Times New Roman"/>
          <w:color w:val="000000"/>
          <w:kern w:val="0"/>
        </w:rPr>
        <w:t xml:space="preserve">ultivariate analysis for </w:t>
      </w:r>
      <w:r w:rsidRPr="00710359">
        <w:rPr>
          <w:rFonts w:ascii="Times New Roman" w:hAnsi="Times New Roman" w:hint="eastAsia"/>
          <w:color w:val="000000"/>
          <w:kern w:val="0"/>
        </w:rPr>
        <w:t xml:space="preserve">DFS and </w:t>
      </w:r>
      <w:r w:rsidRPr="00710359">
        <w:rPr>
          <w:rFonts w:ascii="Times New Roman" w:hAnsi="Times New Roman"/>
          <w:color w:val="000000"/>
          <w:kern w:val="0"/>
        </w:rPr>
        <w:t>OS in HCC patients with MVI</w:t>
      </w:r>
      <w:r w:rsidRPr="00710359">
        <w:rPr>
          <w:rFonts w:ascii="Times New Roman" w:hAnsi="Times New Roman" w:hint="eastAsia"/>
          <w:color w:val="000000"/>
          <w:kern w:val="0"/>
        </w:rPr>
        <w:t xml:space="preserve"> in adjuvant treatment and control group</w:t>
      </w:r>
      <w:r w:rsidRPr="00710359">
        <w:rPr>
          <w:rFonts w:ascii="Times New Roman" w:hAnsi="Times New Roman"/>
          <w:color w:val="000000"/>
          <w:kern w:val="0"/>
        </w:rPr>
        <w:t xml:space="preserve"> </w:t>
      </w:r>
      <w:r w:rsidRPr="00710359">
        <w:rPr>
          <w:rFonts w:ascii="Times New Roman" w:hAnsi="Times New Roman" w:hint="eastAsia"/>
          <w:color w:val="000000"/>
          <w:kern w:val="0"/>
        </w:rPr>
        <w:t>before PSM.</w:t>
      </w:r>
    </w:p>
    <w:p w14:paraId="7D524F60" w14:textId="77777777" w:rsidR="00380627" w:rsidRPr="00710359" w:rsidRDefault="00710359">
      <w:pPr>
        <w:widowControl/>
        <w:rPr>
          <w:rFonts w:ascii="Times New Roman" w:hAnsi="Times New Roman"/>
          <w:color w:val="000000"/>
          <w:kern w:val="0"/>
        </w:rPr>
      </w:pPr>
      <w:r w:rsidRPr="00710359">
        <w:rPr>
          <w:rFonts w:ascii="Times New Roman" w:hAnsi="Times New Roman" w:hint="eastAsia"/>
          <w:color w:val="000000"/>
          <w:kern w:val="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387"/>
        <w:gridCol w:w="936"/>
        <w:gridCol w:w="955"/>
        <w:gridCol w:w="936"/>
        <w:gridCol w:w="771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380627" w:rsidRPr="00710359" w14:paraId="5D15C75D" w14:textId="77777777">
        <w:trPr>
          <w:trHeight w:val="937"/>
          <w:jc w:val="center"/>
        </w:trPr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BC00F2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7D337C" w14:textId="77777777" w:rsidR="00380627" w:rsidRPr="00710359" w:rsidRDefault="00380627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5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2CE14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eastAsia="DengXian" w:hAnsi="Times New Roman" w:hint="eastAsia"/>
                <w:color w:val="000000"/>
                <w:kern w:val="0"/>
              </w:rPr>
              <w:t xml:space="preserve"> DFS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CB5AB3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63732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 xml:space="preserve"> OS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46396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380627" w:rsidRPr="00710359" w14:paraId="12954199" w14:textId="77777777">
        <w:trPr>
          <w:trHeight w:val="937"/>
          <w:jc w:val="center"/>
        </w:trPr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78E209D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Cohort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85FB1C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Variables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FF0D01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Univariate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A2C32B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26205D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Multivariate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7B45E29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8D2496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Univariate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C1523A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7C5CB3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Multivariate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FD32DE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380627" w:rsidRPr="00710359" w14:paraId="4E4DA380" w14:textId="77777777">
        <w:trPr>
          <w:trHeight w:val="937"/>
          <w:jc w:val="center"/>
        </w:trPr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0240F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83B215" w14:textId="77777777" w:rsidR="00380627" w:rsidRPr="00710359" w:rsidRDefault="00380627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537B6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0B178CC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95%CI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373ED9F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i/>
                <w:iCs/>
                <w:color w:val="000000"/>
              </w:rPr>
              <w:t>P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6FB97E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62BD5C0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95%CI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B40712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i/>
                <w:iCs/>
                <w:color w:val="000000"/>
              </w:rPr>
              <w:t>P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78022D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C58220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95%CI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1DCE61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i/>
                <w:iCs/>
                <w:color w:val="000000"/>
              </w:rPr>
              <w:t>P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83476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568D63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95%CI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D7AE26F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710359">
              <w:rPr>
                <w:rFonts w:ascii="Times New Roman" w:hAnsi="Times New Roman" w:hint="eastAsia"/>
                <w:i/>
                <w:iCs/>
                <w:color w:val="000000"/>
              </w:rPr>
              <w:t>P</w:t>
            </w:r>
          </w:p>
        </w:tc>
      </w:tr>
      <w:tr w:rsidR="00380627" w:rsidRPr="00710359" w14:paraId="5AAF19B8" w14:textId="77777777">
        <w:trPr>
          <w:trHeight w:val="937"/>
          <w:jc w:val="center"/>
        </w:trPr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8643EA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After PSM (n=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549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E8166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Gender</w:t>
            </w:r>
            <w:r w:rsidRPr="00710359">
              <w:rPr>
                <w:rFonts w:ascii="Times New Roman" w:hAnsi="Times New Roman" w:hint="eastAsia"/>
                <w:color w:val="000000"/>
              </w:rPr>
              <w:t xml:space="preserve"> (</w:t>
            </w:r>
            <w:r w:rsidRPr="00710359">
              <w:rPr>
                <w:rFonts w:ascii="Times New Roman" w:hAnsi="Times New Roman"/>
                <w:color w:val="000000"/>
              </w:rPr>
              <w:t>Male/</w:t>
            </w:r>
          </w:p>
          <w:p w14:paraId="02AFBE84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Female</w:t>
            </w:r>
            <w:r w:rsidRPr="00710359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2C8CA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</w:rPr>
              <w:t>776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1D573C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0.530-1.135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A884D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0.191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FD297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2C695D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D2D1ED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CC5353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1.</w:t>
            </w:r>
            <w:r w:rsidRPr="00710359">
              <w:rPr>
                <w:rFonts w:ascii="Times New Roman" w:hAnsi="Times New Roman" w:hint="eastAsia"/>
                <w:color w:val="000000"/>
              </w:rPr>
              <w:t>143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A59C60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0.718-1.820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6CE737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0.573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EF08BE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2F19BE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FB7B1E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  <w:tr w:rsidR="00380627" w:rsidRPr="00710359" w14:paraId="2EB7FDA5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904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E6F08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Age (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&gt;/≤ 65 years)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63AF5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0.99</w:t>
            </w:r>
            <w:r w:rsidRPr="0071035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0938E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0.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989</w:t>
            </w: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-1.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9A485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0.657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97EC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14087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569A4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26FF4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</w:rPr>
              <w:t>824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DA009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0.597-1.139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13C2E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0.242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E926A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3E751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DDD19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77FEE926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A7C8E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936B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HBsAg (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Absent/</w:t>
            </w:r>
          </w:p>
          <w:p w14:paraId="7214F03B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Present)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0FAE6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1.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61FF2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0.899-1.753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714F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0.182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BE135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B6B52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1040D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549B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1.070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95635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0.690-1.658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D049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0.762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6372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E974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E5CE7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71A173FD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351D7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76278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Tumor diameter</w:t>
            </w:r>
            <w:r w:rsidRPr="00710359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710359">
              <w:rPr>
                <w:rFonts w:ascii="Times New Roman" w:hAnsi="Times New Roman"/>
                <w:color w:val="000000"/>
              </w:rPr>
              <w:t>(</w:t>
            </w:r>
            <w:r w:rsidRPr="00710359">
              <w:rPr>
                <w:color w:val="000000"/>
              </w:rPr>
              <w:t>＜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/</w:t>
            </w:r>
            <w:r w:rsidRPr="00710359">
              <w:rPr>
                <w:rFonts w:ascii="Times New Roman" w:hAnsi="Times New Roman"/>
                <w:color w:val="000000"/>
              </w:rPr>
              <w:t>≥10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cm)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98CBC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1.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8B494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1.188-1.962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47905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373D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1.347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F8302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1.039-1.748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181E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21C4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2.196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43B4C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1.594-3.025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3821C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37285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1.795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2605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1.289-2.498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4F2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</w:rPr>
              <w:t>0.001</w:t>
            </w:r>
          </w:p>
        </w:tc>
      </w:tr>
      <w:tr w:rsidR="00380627" w:rsidRPr="00710359" w14:paraId="23AA6EA0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BB588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0FBA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Number</w:t>
            </w:r>
            <w:r w:rsidRPr="00710359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710359">
              <w:rPr>
                <w:rFonts w:ascii="Times New Roman" w:hAnsi="Times New Roman"/>
                <w:color w:val="000000"/>
              </w:rPr>
              <w:t>(single/multiple)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82CF0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1.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0A8EA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0.937-1.575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CD58D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0.141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95312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4B302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4028E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2EF96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1.161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E0A8F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0.809-1.668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7EB3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0.418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7599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51A6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29066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5127D4B4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2B43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93FE8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</w:rPr>
              <w:t>Resection margin (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&gt;/≤ 1cm)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58683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1.235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64AA0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0.994-1.532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99958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0.056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C87CD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2C493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C13F7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6DF64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0.746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4F87C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0.549-1.013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DA23D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0.061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5B4F0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0632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9900A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7CE1127F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7EE03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29CCB" w14:textId="77777777" w:rsidR="00380627" w:rsidRPr="00710359" w:rsidRDefault="007103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 xml:space="preserve">ALBI (grade 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I/II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5D7F6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1.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517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AD309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1.185-1.941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EAB81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6464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330DD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1.164-1.945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6800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5C0A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1.866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9E11F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1.345-2.587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E34E8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08F89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eastAsia="DengXi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1.5542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F39CA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1.096-2.170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8A4A5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0.013</w:t>
            </w:r>
          </w:p>
        </w:tc>
      </w:tr>
      <w:tr w:rsidR="00380627" w:rsidRPr="00710359" w14:paraId="66CE8256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F9A0E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5F81B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AFP (&gt;/≤400 ng/ml)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C08AA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eastAsia="Lucida Console" w:hAnsi="Times New Roman" w:cs="Times New Roman"/>
                <w:color w:val="000000"/>
                <w:sz w:val="21"/>
                <w:szCs w:val="21"/>
              </w:rPr>
              <w:t>1.</w:t>
            </w: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527F7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1.027-1.578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B1023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0.027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6EDA6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1.331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7D877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1.073-1.651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81AEE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E042A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1.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281B9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0.879-1.582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74E1A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0.271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C289D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01D4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5DFFC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5AEBC01A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B1B80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AB372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Cirrhosis (Absent/Present)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3143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1.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164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BB9A1" w14:textId="77777777" w:rsidR="00380627" w:rsidRPr="00710359" w:rsidRDefault="00710359">
            <w:pPr>
              <w:pStyle w:val="HTMLPreformatted"/>
              <w:widowControl/>
              <w:shd w:val="clear" w:color="auto" w:fill="FFFFFF"/>
              <w:wordWrap w:val="0"/>
              <w:spacing w:line="240" w:lineRule="atLeast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1035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0.939-1.442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D3720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eastAsia="DengXi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0.165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86DB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6BE74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55D68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D1C98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1.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EEDCC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0.843-1.515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5B19A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 w:hint="eastAsia"/>
                <w:color w:val="000000"/>
              </w:rPr>
              <w:t>0.414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B62F3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FBD74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AEF5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:rsidR="00380627" w:rsidRPr="00710359" w14:paraId="19BB1528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580C9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A629B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T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 xml:space="preserve">ype </w:t>
            </w:r>
            <w:r w:rsidRPr="00710359">
              <w:rPr>
                <w:rFonts w:ascii="Times New Roman" w:hAnsi="Times New Roman"/>
                <w:color w:val="000000"/>
                <w:kern w:val="0"/>
              </w:rPr>
              <w:t>of treatment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5A800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B0414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86BAD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7A1B8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3C977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4A7DB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85D4A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FCCD5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1BF0E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B2DFD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01BB3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3853C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3B746E14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76883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14048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Control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BEA10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F54D5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6543C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A4801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2FC5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7781" w14:textId="77777777" w:rsidR="00380627" w:rsidRPr="00710359" w:rsidRDefault="00380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748A8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B4918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0057E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FA291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C6ED1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40F1B" w14:textId="77777777" w:rsidR="00380627" w:rsidRPr="00710359" w:rsidRDefault="0038062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0627" w:rsidRPr="00710359" w14:paraId="7A89FAA6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FC510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7E1CE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a-TACE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EAAB9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717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86408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0.553-0.929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2652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FE96E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635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AED63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0.487-0.828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1D34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3C666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 xml:space="preserve">1.232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F3575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0.895-1.695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2B3D3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99C31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1.045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9C50F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0.751-1.453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D8AC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0.795</w:t>
            </w:r>
          </w:p>
        </w:tc>
      </w:tr>
      <w:tr w:rsidR="00380627" w:rsidRPr="00710359" w14:paraId="3BCBE334" w14:textId="77777777">
        <w:trPr>
          <w:trHeight w:val="937"/>
          <w:jc w:val="center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61AD0A" w14:textId="77777777" w:rsidR="00380627" w:rsidRPr="00710359" w:rsidRDefault="003806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38207E" w14:textId="77777777" w:rsidR="00380627" w:rsidRPr="00710359" w:rsidRDefault="00710359"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</w:rPr>
              <w:t>a-HAIC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4433CAA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461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7B3D1E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0.348-0.609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E48F5F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5D29CB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>0.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470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193B5E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0.356-0.622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F077132" w14:textId="77777777" w:rsidR="00380627" w:rsidRPr="00710359" w:rsidRDefault="0071035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8E6227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0.313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586DF3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0.191-0.512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7EDFD0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D5D14E9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0.325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F833A4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color w:val="000000"/>
                <w:kern w:val="0"/>
              </w:rPr>
              <w:t>0.198-0.531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E2044E" w14:textId="77777777" w:rsidR="00380627" w:rsidRPr="00710359" w:rsidRDefault="0071035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</w:rPr>
            </w:pPr>
            <w:r w:rsidRPr="00710359">
              <w:rPr>
                <w:rFonts w:ascii="Times New Roman" w:hAnsi="Times New Roman" w:hint="eastAsia"/>
                <w:b/>
                <w:bCs/>
                <w:color w:val="000000"/>
                <w:kern w:val="0"/>
              </w:rPr>
              <w:t>0.000</w:t>
            </w:r>
          </w:p>
        </w:tc>
      </w:tr>
    </w:tbl>
    <w:p w14:paraId="17D80494" w14:textId="77777777" w:rsidR="00380627" w:rsidRPr="00710359" w:rsidRDefault="00710359">
      <w:pPr>
        <w:rPr>
          <w:rFonts w:ascii="DengXian" w:eastAsia="DengXian" w:hAnsi="DengXian"/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55346E91" w14:textId="77777777" w:rsidR="00380627" w:rsidRPr="00710359" w:rsidRDefault="00710359">
      <w:pPr>
        <w:rPr>
          <w:rFonts w:ascii="Times New Roman" w:hAnsi="Times New Roman"/>
          <w:color w:val="000000"/>
          <w:sz w:val="18"/>
          <w:szCs w:val="18"/>
        </w:rPr>
      </w:pPr>
      <w:r w:rsidRPr="00710359">
        <w:rPr>
          <w:rFonts w:ascii="Times New Roman" w:eastAsia="Cambria" w:hAnsi="Times New Roman"/>
          <w:color w:val="000000"/>
          <w:sz w:val="18"/>
          <w:szCs w:val="18"/>
        </w:rPr>
        <w:t>Bold values indicate statistical significance (</w:t>
      </w:r>
      <w:r w:rsidRPr="00710359">
        <w:rPr>
          <w:rStyle w:val="15"/>
          <w:rFonts w:ascii="Times New Roman" w:eastAsia="Cambria" w:hAnsi="Times New Roman" w:hint="default"/>
          <w:color w:val="000000"/>
          <w:sz w:val="18"/>
          <w:szCs w:val="18"/>
        </w:rPr>
        <w:t>P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 xml:space="preserve"> &lt; 0.05). HCC, hepatocellular carcinoma; PSM, propensity score matching;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 xml:space="preserve"> a-HAIC, adjuvant </w:t>
      </w:r>
      <w:r w:rsidRPr="00710359">
        <w:rPr>
          <w:rFonts w:ascii="Times" w:hAnsi="Times"/>
          <w:color w:val="000000"/>
          <w:sz w:val="18"/>
          <w:szCs w:val="18"/>
        </w:rPr>
        <w:t>hepatic artery infusion chemotherapy</w:t>
      </w:r>
      <w:r w:rsidRPr="00710359">
        <w:rPr>
          <w:rFonts w:ascii="Times" w:hAnsi="Times" w:cs="Times" w:hint="eastAsia"/>
          <w:color w:val="000000"/>
          <w:sz w:val="18"/>
          <w:szCs w:val="18"/>
        </w:rPr>
        <w:t xml:space="preserve">; a-TACE, adjuvant </w:t>
      </w:r>
      <w:r w:rsidRPr="00710359">
        <w:rPr>
          <w:rFonts w:ascii="Times" w:hAnsi="Times"/>
          <w:color w:val="000000"/>
          <w:sz w:val="18"/>
          <w:szCs w:val="18"/>
        </w:rPr>
        <w:t>transcatheter arterial chemoembolization</w:t>
      </w:r>
      <w:r w:rsidRPr="00710359">
        <w:rPr>
          <w:rFonts w:ascii="Times" w:hAnsi="Times" w:cs="Times" w:hint="eastAsia"/>
          <w:color w:val="000000"/>
          <w:sz w:val="18"/>
          <w:szCs w:val="18"/>
        </w:rPr>
        <w:t xml:space="preserve">; 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HBsAg, hepatitis B surface antigen;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 xml:space="preserve"> 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ALB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I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 xml:space="preserve">, 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A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lbumin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-Bilirubin</w:t>
      </w:r>
      <w:r w:rsidRPr="00710359">
        <w:rPr>
          <w:rFonts w:ascii="Times New Roman" w:eastAsia="Cambria" w:hAnsi="Times New Roman"/>
          <w:color w:val="000000"/>
          <w:sz w:val="18"/>
          <w:szCs w:val="18"/>
        </w:rPr>
        <w:t>; AFP, alpha-fetoprotein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 xml:space="preserve">; DFS, </w:t>
      </w:r>
      <w:r w:rsidRPr="00710359">
        <w:rPr>
          <w:rFonts w:ascii="Times New Roman" w:eastAsia="Segoe UI" w:hAnsi="Times New Roman"/>
          <w:color w:val="000000"/>
          <w:sz w:val="18"/>
          <w:szCs w:val="18"/>
        </w:rPr>
        <w:t>disease-free survival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; OS,</w:t>
      </w:r>
      <w:r w:rsidRPr="00710359">
        <w:rPr>
          <w:rFonts w:ascii="Times New Roman" w:eastAsia="Segoe UI" w:hAnsi="Times New Roman"/>
          <w:color w:val="000000"/>
          <w:sz w:val="18"/>
          <w:szCs w:val="18"/>
        </w:rPr>
        <w:t xml:space="preserve"> overall survival</w:t>
      </w:r>
      <w:r w:rsidRPr="00710359">
        <w:rPr>
          <w:rFonts w:ascii="Times New Roman" w:hAnsi="Times New Roman" w:hint="eastAsia"/>
          <w:color w:val="000000"/>
          <w:sz w:val="18"/>
          <w:szCs w:val="18"/>
        </w:rPr>
        <w:t>.</w:t>
      </w:r>
    </w:p>
    <w:p w14:paraId="5782917B" w14:textId="77777777" w:rsidR="00380627" w:rsidRPr="00710359" w:rsidRDefault="00710359">
      <w:pPr>
        <w:rPr>
          <w:rFonts w:ascii="DengXian" w:eastAsia="DengXian" w:hAnsi="DengXian"/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47140F99" w14:textId="77777777" w:rsidR="00380627" w:rsidRPr="00710359" w:rsidRDefault="00710359">
      <w:pPr>
        <w:rPr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67A73A58" w14:textId="77777777" w:rsidR="00380627" w:rsidRPr="00710359" w:rsidRDefault="00710359">
      <w:pPr>
        <w:rPr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1576330A" w14:textId="77777777" w:rsidR="00380627" w:rsidRPr="00710359" w:rsidRDefault="00710359">
      <w:pPr>
        <w:rPr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7290BDC7" w14:textId="77777777" w:rsidR="00380627" w:rsidRPr="00710359" w:rsidRDefault="00710359">
      <w:pPr>
        <w:rPr>
          <w:color w:val="000000"/>
        </w:rPr>
      </w:pPr>
      <w:r w:rsidRPr="00710359">
        <w:rPr>
          <w:rFonts w:hint="eastAsia"/>
          <w:color w:val="000000"/>
        </w:rPr>
        <w:t xml:space="preserve"> </w:t>
      </w:r>
    </w:p>
    <w:p w14:paraId="4ED8B2A9" w14:textId="77777777" w:rsidR="003A4B9C" w:rsidRPr="00710359" w:rsidRDefault="003A4B9C" w:rsidP="003A4B9C">
      <w:pPr>
        <w:widowControl/>
        <w:spacing w:line="480" w:lineRule="auto"/>
        <w:rPr>
          <w:rFonts w:ascii="TimesNewRomanPSMT" w:hAnsi="TimesNewRomanPSMT" w:hint="eastAsia"/>
          <w:color w:val="000000"/>
        </w:rPr>
        <w:sectPr w:rsidR="003A4B9C" w:rsidRPr="00710359" w:rsidSect="00C95B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10359">
        <w:rPr>
          <w:rFonts w:ascii="TimesNewRomanPSMT" w:hAnsi="TimesNewRomanPSMT"/>
          <w:color w:val="000000"/>
        </w:rPr>
        <w:t>Figure S1. The Kaplan-Meier survival analysis for subgroups of HCC patients with different tumor diameters.</w:t>
      </w:r>
    </w:p>
    <w:p w14:paraId="35CD6F82" w14:textId="4DD31A45" w:rsidR="00380627" w:rsidRPr="00710359" w:rsidRDefault="00380627">
      <w:pPr>
        <w:rPr>
          <w:color w:val="000000"/>
        </w:rPr>
      </w:pPr>
    </w:p>
    <w:p w14:paraId="79E11D13" w14:textId="4C255272" w:rsidR="003A4B9C" w:rsidRPr="00710359" w:rsidRDefault="00710359">
      <w:pPr>
        <w:widowControl/>
        <w:spacing w:line="480" w:lineRule="auto"/>
        <w:rPr>
          <w:rFonts w:ascii="TimesNewRomanPSMT" w:hAnsi="TimesNewRomanPSMT" w:hint="eastAsia"/>
          <w:color w:val="000000"/>
        </w:rPr>
      </w:pPr>
      <w:r w:rsidRPr="00710359">
        <w:rPr>
          <w:rFonts w:ascii="TimesNewRomanPSMT" w:hAnsi="TimesNewRomanPSMT"/>
          <w:noProof/>
          <w:color w:val="000000"/>
        </w:rPr>
        <w:drawing>
          <wp:inline distT="0" distB="0" distL="0" distR="0" wp14:anchorId="095473CB" wp14:editId="07EADBBC">
            <wp:extent cx="5274310" cy="5004435"/>
            <wp:effectExtent l="0" t="0" r="2540" b="5715"/>
            <wp:docPr id="1914921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2185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2688" w14:textId="49BAABBD" w:rsidR="00380627" w:rsidRPr="00710359" w:rsidRDefault="00F5517C">
      <w:pPr>
        <w:widowControl/>
        <w:spacing w:line="480" w:lineRule="auto"/>
        <w:rPr>
          <w:rFonts w:ascii="Times New Roman" w:hAnsi="Times New Roman"/>
          <w:color w:val="000000"/>
        </w:rPr>
      </w:pPr>
      <w:r w:rsidRPr="00F5517C">
        <w:rPr>
          <w:rFonts w:ascii="TimesNewRomanPSMT" w:eastAsiaTheme="minorEastAsia" w:hAnsi="TimesNewRomanPSMT"/>
          <w:color w:val="000000"/>
        </w:rPr>
        <w:t>Supplementary Figure</w:t>
      </w:r>
      <w:r w:rsidRPr="00F5517C">
        <w:rPr>
          <w:rFonts w:ascii="TimesNewRomanPSMT" w:eastAsiaTheme="minorEastAsia" w:hAnsi="TimesNewRomanPSMT"/>
          <w:color w:val="000000"/>
          <w:sz w:val="30"/>
          <w:szCs w:val="30"/>
        </w:rPr>
        <w:t xml:space="preserve"> </w:t>
      </w:r>
      <w:r w:rsidRPr="00A754B3">
        <w:rPr>
          <w:rFonts w:ascii="TimesNewRomanPSMT" w:eastAsiaTheme="minorEastAsia" w:hAnsi="TimesNewRomanPSMT"/>
          <w:color w:val="000000"/>
        </w:rPr>
        <w:t>1</w:t>
      </w:r>
      <w:r w:rsidR="00710359" w:rsidRPr="00710359">
        <w:rPr>
          <w:rFonts w:ascii="TimesNewRomanPSMT" w:hAnsi="TimesNewRomanPSMT"/>
          <w:color w:val="000000"/>
        </w:rPr>
        <w:t>. The Kaplan-Meier survival analysis for subgroups of HCC patients with different tumor diameters.</w:t>
      </w:r>
      <w:r w:rsidR="00710359" w:rsidRPr="00710359">
        <w:rPr>
          <w:rStyle w:val="CommentReference"/>
          <w:rFonts w:hint="eastAsia"/>
          <w:color w:val="000000"/>
        </w:rPr>
        <w:t xml:space="preserve"> </w:t>
      </w:r>
      <w:r w:rsidR="00710359" w:rsidRPr="00710359">
        <w:rPr>
          <w:rFonts w:ascii="Times New Roman" w:hAnsi="Times New Roman"/>
          <w:color w:val="000000"/>
        </w:rPr>
        <w:t xml:space="preserve">The analysis of </w:t>
      </w:r>
      <w:r w:rsidR="00710359" w:rsidRPr="00710359">
        <w:rPr>
          <w:rFonts w:ascii="Times New Roman" w:hAnsi="Times New Roman" w:hint="eastAsia"/>
          <w:color w:val="000000"/>
        </w:rPr>
        <w:t>DFS</w:t>
      </w:r>
      <w:r w:rsidR="00710359" w:rsidRPr="00710359">
        <w:rPr>
          <w:rFonts w:ascii="Times New Roman" w:hAnsi="Times New Roman"/>
          <w:color w:val="000000"/>
        </w:rPr>
        <w:t xml:space="preserve"> and </w:t>
      </w:r>
      <w:r w:rsidR="00710359" w:rsidRPr="00710359">
        <w:rPr>
          <w:rFonts w:ascii="Times New Roman" w:hAnsi="Times New Roman" w:hint="eastAsia"/>
          <w:color w:val="000000"/>
        </w:rPr>
        <w:t>OS</w:t>
      </w:r>
      <w:r w:rsidR="00710359" w:rsidRPr="00710359">
        <w:rPr>
          <w:rFonts w:ascii="Times New Roman" w:hAnsi="Times New Roman"/>
          <w:color w:val="000000"/>
        </w:rPr>
        <w:t xml:space="preserve"> among HCC patients with different tumor diameters.</w:t>
      </w:r>
      <w:r w:rsidR="00710359" w:rsidRPr="00710359">
        <w:rPr>
          <w:rFonts w:ascii="Times New Roman" w:hAnsi="Times New Roman" w:hint="eastAsia"/>
          <w:color w:val="000000"/>
        </w:rPr>
        <w:t xml:space="preserve"> In the </w:t>
      </w:r>
      <w:bookmarkStart w:id="1" w:name="OLE_LINK28"/>
      <w:r w:rsidR="00710359" w:rsidRPr="00710359">
        <w:rPr>
          <w:rFonts w:ascii="Times New Roman" w:hAnsi="Times New Roman"/>
          <w:color w:val="000000"/>
        </w:rPr>
        <w:t>tumor diameter &lt;10cm</w:t>
      </w:r>
      <w:r w:rsidR="00710359" w:rsidRPr="00710359">
        <w:rPr>
          <w:rFonts w:ascii="Times New Roman" w:hAnsi="Times New Roman" w:hint="eastAsia"/>
          <w:color w:val="000000"/>
        </w:rPr>
        <w:t xml:space="preserve"> group</w:t>
      </w:r>
      <w:bookmarkEnd w:id="1"/>
      <w:r w:rsidR="00710359" w:rsidRPr="00710359">
        <w:rPr>
          <w:rFonts w:ascii="Times New Roman" w:hAnsi="Times New Roman" w:hint="eastAsia"/>
          <w:color w:val="000000"/>
        </w:rPr>
        <w:t>, Kaplan-Meier curves of DFS (</w:t>
      </w:r>
      <w:r w:rsidR="00710359" w:rsidRPr="00710359">
        <w:rPr>
          <w:rFonts w:ascii="Times New Roman" w:hAnsi="Times New Roman"/>
          <w:color w:val="000000"/>
        </w:rPr>
        <w:t>A</w:t>
      </w:r>
      <w:r w:rsidR="00710359" w:rsidRPr="00710359">
        <w:rPr>
          <w:rFonts w:ascii="Times New Roman" w:hAnsi="Times New Roman" w:hint="eastAsia"/>
          <w:color w:val="000000"/>
        </w:rPr>
        <w:t>) and OS (</w:t>
      </w:r>
      <w:r w:rsidR="00710359" w:rsidRPr="00710359">
        <w:rPr>
          <w:rFonts w:ascii="Times New Roman" w:hAnsi="Times New Roman"/>
          <w:color w:val="000000"/>
        </w:rPr>
        <w:t>B</w:t>
      </w:r>
      <w:r w:rsidR="00710359" w:rsidRPr="00710359">
        <w:rPr>
          <w:rFonts w:ascii="Times New Roman" w:hAnsi="Times New Roman" w:hint="eastAsia"/>
          <w:color w:val="000000"/>
        </w:rPr>
        <w:t>) between a-HAIC, a-</w:t>
      </w:r>
      <w:proofErr w:type="gramStart"/>
      <w:r w:rsidR="00710359" w:rsidRPr="00710359">
        <w:rPr>
          <w:rFonts w:ascii="Times New Roman" w:hAnsi="Times New Roman" w:hint="eastAsia"/>
          <w:color w:val="000000"/>
        </w:rPr>
        <w:t>TACE</w:t>
      </w:r>
      <w:proofErr w:type="gramEnd"/>
      <w:r w:rsidR="00710359" w:rsidRPr="00710359">
        <w:rPr>
          <w:rFonts w:ascii="Times New Roman" w:hAnsi="Times New Roman" w:hint="eastAsia"/>
          <w:color w:val="000000"/>
        </w:rPr>
        <w:t xml:space="preserve"> and control </w:t>
      </w:r>
      <w:r w:rsidR="00710359" w:rsidRPr="00710359">
        <w:rPr>
          <w:rFonts w:ascii="Times New Roman" w:hAnsi="Times New Roman"/>
          <w:color w:val="000000"/>
        </w:rPr>
        <w:t>group. In</w:t>
      </w:r>
      <w:r w:rsidR="00710359" w:rsidRPr="00710359">
        <w:rPr>
          <w:rFonts w:ascii="Times New Roman" w:hAnsi="Times New Roman" w:hint="eastAsia"/>
          <w:color w:val="000000"/>
        </w:rPr>
        <w:t xml:space="preserve"> the </w:t>
      </w:r>
      <w:r w:rsidR="00710359" w:rsidRPr="00710359">
        <w:rPr>
          <w:rFonts w:ascii="Times New Roman" w:hAnsi="Times New Roman"/>
          <w:color w:val="000000"/>
        </w:rPr>
        <w:t xml:space="preserve">tumor diameter </w:t>
      </w:r>
      <w:r w:rsidR="00710359" w:rsidRPr="00710359">
        <w:rPr>
          <w:rFonts w:ascii="Times New Roman" w:hAnsi="Times New Roman" w:hint="eastAsia"/>
          <w:color w:val="000000"/>
        </w:rPr>
        <w:t>≥</w:t>
      </w:r>
      <w:r w:rsidR="00710359" w:rsidRPr="00710359">
        <w:rPr>
          <w:rFonts w:ascii="Times New Roman" w:hAnsi="Times New Roman"/>
          <w:color w:val="000000"/>
        </w:rPr>
        <w:t>10cm</w:t>
      </w:r>
      <w:r w:rsidR="00710359" w:rsidRPr="00710359">
        <w:rPr>
          <w:rFonts w:ascii="Times New Roman" w:hAnsi="Times New Roman" w:hint="eastAsia"/>
          <w:color w:val="000000"/>
        </w:rPr>
        <w:t xml:space="preserve"> group, Kaplan-Meier curves of DFS (C) and OS (</w:t>
      </w:r>
      <w:r w:rsidR="00710359" w:rsidRPr="00710359">
        <w:rPr>
          <w:rFonts w:ascii="Times New Roman" w:hAnsi="Times New Roman"/>
          <w:color w:val="000000"/>
        </w:rPr>
        <w:t>D</w:t>
      </w:r>
      <w:r w:rsidR="00710359" w:rsidRPr="00710359">
        <w:rPr>
          <w:rFonts w:ascii="Times New Roman" w:hAnsi="Times New Roman" w:hint="eastAsia"/>
          <w:color w:val="000000"/>
        </w:rPr>
        <w:t>) between a-HAIC, a-</w:t>
      </w:r>
      <w:proofErr w:type="gramStart"/>
      <w:r w:rsidR="00710359" w:rsidRPr="00710359">
        <w:rPr>
          <w:rFonts w:ascii="Times New Roman" w:hAnsi="Times New Roman" w:hint="eastAsia"/>
          <w:color w:val="000000"/>
        </w:rPr>
        <w:t>TACE</w:t>
      </w:r>
      <w:proofErr w:type="gramEnd"/>
      <w:r w:rsidR="00710359" w:rsidRPr="00710359">
        <w:rPr>
          <w:rFonts w:ascii="Times New Roman" w:hAnsi="Times New Roman" w:hint="eastAsia"/>
          <w:color w:val="000000"/>
        </w:rPr>
        <w:t xml:space="preserve"> and control group. DFS, </w:t>
      </w:r>
      <w:r w:rsidR="00710359" w:rsidRPr="00710359">
        <w:rPr>
          <w:rFonts w:ascii="Times New Roman" w:eastAsia="Segoe UI" w:hAnsi="Times New Roman"/>
          <w:color w:val="000000"/>
        </w:rPr>
        <w:t>disease-free survival</w:t>
      </w:r>
      <w:r w:rsidR="00710359" w:rsidRPr="00710359">
        <w:rPr>
          <w:rFonts w:ascii="Times New Roman" w:hAnsi="Times New Roman" w:hint="eastAsia"/>
          <w:color w:val="000000"/>
        </w:rPr>
        <w:t>; OS,</w:t>
      </w:r>
      <w:r w:rsidR="00710359" w:rsidRPr="00710359">
        <w:rPr>
          <w:rFonts w:ascii="Times New Roman" w:eastAsia="Segoe UI" w:hAnsi="Times New Roman"/>
          <w:color w:val="000000"/>
        </w:rPr>
        <w:t xml:space="preserve"> overall survival</w:t>
      </w:r>
      <w:r w:rsidR="00710359" w:rsidRPr="00710359">
        <w:rPr>
          <w:rFonts w:ascii="Times New Roman" w:hAnsi="Times New Roman" w:hint="eastAsia"/>
          <w:color w:val="000000"/>
        </w:rPr>
        <w:t xml:space="preserve">; HCC, hepatocellular carcinoma; a-HAIC, adjuvant </w:t>
      </w:r>
      <w:r w:rsidR="00710359" w:rsidRPr="00710359">
        <w:rPr>
          <w:rFonts w:ascii="Times" w:hAnsi="Times"/>
          <w:color w:val="000000"/>
          <w:lang w:bidi="ar"/>
        </w:rPr>
        <w:t>hepatic artery infusion chemotherapy</w:t>
      </w:r>
      <w:r w:rsidR="00710359" w:rsidRPr="00710359">
        <w:rPr>
          <w:rFonts w:ascii="Times" w:hAnsi="Times" w:hint="eastAsia"/>
          <w:color w:val="000000"/>
          <w:lang w:bidi="ar"/>
        </w:rPr>
        <w:t xml:space="preserve">; a-TACE, adjuvant </w:t>
      </w:r>
      <w:r w:rsidR="00710359" w:rsidRPr="00710359">
        <w:rPr>
          <w:rFonts w:ascii="Times" w:hAnsi="Times"/>
          <w:color w:val="000000"/>
          <w:lang w:bidi="ar"/>
        </w:rPr>
        <w:t>transcatheter arterial chemoembolization</w:t>
      </w:r>
      <w:r w:rsidR="00710359" w:rsidRPr="00710359">
        <w:rPr>
          <w:rFonts w:ascii="Times New Roman" w:hAnsi="Times New Roman" w:hint="eastAsia"/>
          <w:color w:val="000000"/>
        </w:rPr>
        <w:t>.</w:t>
      </w:r>
    </w:p>
    <w:p w14:paraId="515709C2" w14:textId="77777777" w:rsidR="003A4B9C" w:rsidRPr="00710359" w:rsidRDefault="003A4B9C">
      <w:pPr>
        <w:widowControl/>
        <w:spacing w:line="480" w:lineRule="auto"/>
        <w:rPr>
          <w:rFonts w:ascii="TimesNewRomanPSMT" w:hAnsi="TimesNewRomanPSMT" w:hint="eastAsia"/>
          <w:color w:val="000000"/>
        </w:rPr>
      </w:pPr>
    </w:p>
    <w:sectPr w:rsidR="003A4B9C" w:rsidRPr="0071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4C7B" w14:textId="77777777" w:rsidR="00C95BFA" w:rsidRDefault="00C95BFA" w:rsidP="003A4B9C">
      <w:r>
        <w:separator/>
      </w:r>
    </w:p>
  </w:endnote>
  <w:endnote w:type="continuationSeparator" w:id="0">
    <w:p w14:paraId="3BC3AFE5" w14:textId="77777777" w:rsidR="00C95BFA" w:rsidRDefault="00C95BFA" w:rsidP="003A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40AA" w14:textId="0CF6040B" w:rsidR="003A4B9C" w:rsidRDefault="003A4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5D257" wp14:editId="30F005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501749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C2424" w14:textId="52336C78" w:rsidR="003A4B9C" w:rsidRPr="003A4B9C" w:rsidRDefault="003A4B9C" w:rsidP="003A4B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4B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5D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4EC2424" w14:textId="52336C78" w:rsidR="003A4B9C" w:rsidRPr="003A4B9C" w:rsidRDefault="003A4B9C" w:rsidP="003A4B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4B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A8E5" w14:textId="2AB94B47" w:rsidR="003A4B9C" w:rsidRDefault="003A4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89B78B" wp14:editId="3FD8DD49">
              <wp:simplePos x="11430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51529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E296A" w14:textId="33B77630" w:rsidR="003A4B9C" w:rsidRPr="003A4B9C" w:rsidRDefault="003A4B9C" w:rsidP="003A4B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4B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9B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8EE296A" w14:textId="33B77630" w:rsidR="003A4B9C" w:rsidRPr="003A4B9C" w:rsidRDefault="003A4B9C" w:rsidP="003A4B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4B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48E8" w14:textId="6C18565E" w:rsidR="003A4B9C" w:rsidRDefault="003A4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B6498F" wp14:editId="7B53AB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2811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D5E00" w14:textId="2C7BD701" w:rsidR="003A4B9C" w:rsidRPr="003A4B9C" w:rsidRDefault="003A4B9C" w:rsidP="003A4B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4B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649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92D5E00" w14:textId="2C7BD701" w:rsidR="003A4B9C" w:rsidRPr="003A4B9C" w:rsidRDefault="003A4B9C" w:rsidP="003A4B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4B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6248" w14:textId="77777777" w:rsidR="00C95BFA" w:rsidRDefault="00C95BFA" w:rsidP="003A4B9C">
      <w:r>
        <w:separator/>
      </w:r>
    </w:p>
  </w:footnote>
  <w:footnote w:type="continuationSeparator" w:id="0">
    <w:p w14:paraId="0297B0DA" w14:textId="77777777" w:rsidR="00C95BFA" w:rsidRDefault="00C95BFA" w:rsidP="003A4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3YTQ2NmEwNDVhMDIzZGE1ZjVmZDRlZWUyYzcyMDMifQ=="/>
  </w:docVars>
  <w:rsids>
    <w:rsidRoot w:val="00BF0DA8"/>
    <w:rsid w:val="00123565"/>
    <w:rsid w:val="0027154B"/>
    <w:rsid w:val="00380627"/>
    <w:rsid w:val="003A4B9C"/>
    <w:rsid w:val="004E483F"/>
    <w:rsid w:val="00507738"/>
    <w:rsid w:val="00710359"/>
    <w:rsid w:val="00A754B3"/>
    <w:rsid w:val="00BF0DA8"/>
    <w:rsid w:val="00C638CB"/>
    <w:rsid w:val="00C95BFA"/>
    <w:rsid w:val="00EB0DC9"/>
    <w:rsid w:val="00F5517C"/>
    <w:rsid w:val="11C85480"/>
    <w:rsid w:val="624D14DC"/>
    <w:rsid w:val="6AA40B50"/>
    <w:rsid w:val="79D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6654"/>
  <w15:docId w15:val="{F7480B64-1BB7-49CA-9398-F472937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pPr>
      <w:jc w:val="left"/>
    </w:pPr>
  </w:style>
  <w:style w:type="paragraph" w:styleId="HTMLPreformatted">
    <w:name w:val="HTML Preformatted"/>
    <w:basedOn w:val="Normal"/>
    <w:link w:val="HTMLPreformattedChar"/>
    <w:autoRedefine/>
    <w:uiPriority w:val="99"/>
    <w:unhideWhenUsed/>
    <w:qFormat/>
    <w:pPr>
      <w:jc w:val="left"/>
    </w:pPr>
    <w:rPr>
      <w:rFonts w:ascii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15">
    <w:name w:val="15"/>
    <w:basedOn w:val="DefaultParagraphFont"/>
    <w:autoRedefine/>
    <w:rPr>
      <w:rFonts w:ascii="MingLiU" w:eastAsia="MingLiU" w:hAnsi="MingLiU" w:hint="eastAsia"/>
      <w:i/>
    </w:rPr>
  </w:style>
  <w:style w:type="character" w:customStyle="1" w:styleId="HTMLPreformattedChar">
    <w:name w:val="HTML Preformatted Char"/>
    <w:basedOn w:val="DefaultParagraphFont"/>
    <w:link w:val="HTMLPreformatted"/>
    <w:autoRedefine/>
    <w:uiPriority w:val="99"/>
    <w:qFormat/>
    <w:rPr>
      <w:rFonts w:ascii="SimSun" w:eastAsia="SimSun" w:hAnsi="SimSun" w:cs="SimSun"/>
      <w:kern w:val="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rFonts w:ascii="Calibri" w:eastAsia="SimSun" w:hAnsi="Calibri" w:cs="Times New Roman"/>
      <w:szCs w:val="21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ascii="Calibri" w:eastAsia="SimSun" w:hAnsi="Calibri" w:cs="Times New Roman"/>
      <w:b/>
      <w:bCs/>
      <w:szCs w:val="21"/>
    </w:rPr>
  </w:style>
  <w:style w:type="paragraph" w:customStyle="1" w:styleId="Revision1">
    <w:name w:val="Revision1"/>
    <w:autoRedefine/>
    <w:hidden/>
    <w:uiPriority w:val="99"/>
    <w:semiHidden/>
    <w:qFormat/>
    <w:rPr>
      <w:rFonts w:ascii="Calibri" w:eastAsia="SimSun" w:hAnsi="Calibri" w:cs="Times New Roman"/>
      <w:kern w:val="2"/>
      <w:sz w:val="21"/>
      <w:szCs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A4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9C"/>
    <w:rPr>
      <w:rFonts w:ascii="Calibri" w:eastAsia="SimSun" w:hAnsi="Calibri" w:cs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709779834@qq.com</dc:creator>
  <cp:lastModifiedBy>Khanapur, Soumya</cp:lastModifiedBy>
  <cp:revision>4</cp:revision>
  <dcterms:created xsi:type="dcterms:W3CDTF">2024-03-12T17:48:00Z</dcterms:created>
  <dcterms:modified xsi:type="dcterms:W3CDTF">2024-03-14T21:30:00Z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910CF2E4A30F40FEAF4868FE542388CD_13</vt:lpwstr>
  </property>
  <property fmtid="{D5CDD505-2E9C-101B-9397-08002B2CF9AE}" pid="4" name="ClassificationContentMarkingFooterShapeIds">
    <vt:lpwstr>8d9e93,1ad51fce,e04263c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2024-03-12T17:37:52Z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2dd244be-b62e-40b8-9949-41f9bad5d2ab</vt:lpwstr>
  </property>
  <property fmtid="{D5CDD505-2E9C-101B-9397-08002B2CF9AE}" pid="13" name="MSIP_Label_2bbab825-a111-45e4-86a1-18cee0005896_ContentBits">
    <vt:lpwstr>2</vt:lpwstr>
  </property>
</Properties>
</file>