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5CA83" w14:textId="77777777" w:rsidR="001B6C26" w:rsidRDefault="00485DC6">
      <w:pPr>
        <w:spacing w:line="480" w:lineRule="auto"/>
        <w:rPr>
          <w:rStyle w:val="CommentReference"/>
          <w:rFonts w:ascii="Arial" w:hAnsi="Arial" w:cs="Arial"/>
          <w:b/>
          <w:bCs/>
          <w:caps/>
          <w:sz w:val="24"/>
          <w:szCs w:val="24"/>
          <w:lang w:val="en-US"/>
        </w:rPr>
      </w:pPr>
      <w:r>
        <w:rPr>
          <w:rFonts w:ascii="Arial" w:eastAsia="PMingLiU" w:hAnsi="Arial" w:cs="Arial"/>
          <w:b/>
          <w:bCs/>
          <w:caps/>
          <w:lang w:eastAsia="zh-TW"/>
        </w:rPr>
        <w:t>S</w:t>
      </w:r>
      <w:r>
        <w:rPr>
          <w:rFonts w:ascii="Arial" w:hAnsi="Arial" w:cs="Arial"/>
          <w:b/>
          <w:bCs/>
          <w:caps/>
        </w:rPr>
        <w:t>upplementary information</w:t>
      </w:r>
    </w:p>
    <w:p w14:paraId="48C1D7B4" w14:textId="77777777" w:rsidR="005B006A" w:rsidRDefault="005B006A" w:rsidP="005B006A">
      <w:pPr>
        <w:spacing w:before="240" w:line="480" w:lineRule="auto"/>
        <w:rPr>
          <w:rFonts w:ascii="Arial" w:hAnsi="Arial" w:cs="Arial"/>
          <w:color w:val="000000"/>
          <w:szCs w:val="24"/>
          <w:lang w:val="en-US"/>
        </w:rPr>
      </w:pPr>
      <w:r>
        <w:rPr>
          <w:rFonts w:ascii="Arial" w:hAnsi="Arial" w:cs="Arial"/>
          <w:b/>
          <w:bCs/>
          <w:color w:val="000000"/>
          <w:szCs w:val="24"/>
          <w:lang w:val="en-US"/>
        </w:rPr>
        <w:t xml:space="preserve">PDADMAC/ALGINATE-COATED GOLD NANOROD FOR ERADICATION OF </w:t>
      </w:r>
      <w:r>
        <w:rPr>
          <w:rFonts w:ascii="Arial" w:hAnsi="Arial" w:cs="Arial"/>
          <w:b/>
          <w:bCs/>
          <w:i/>
          <w:iCs/>
          <w:color w:val="000000"/>
          <w:szCs w:val="24"/>
          <w:lang w:val="en-US"/>
        </w:rPr>
        <w:t>STAPHYLOCOCCUS AUREUS</w:t>
      </w:r>
      <w:r>
        <w:rPr>
          <w:rFonts w:ascii="Arial" w:hAnsi="Arial" w:cs="Arial"/>
          <w:b/>
          <w:bCs/>
          <w:color w:val="000000"/>
          <w:szCs w:val="24"/>
          <w:lang w:val="en-US"/>
        </w:rPr>
        <w:t xml:space="preserve"> BIOFILMS</w:t>
      </w:r>
    </w:p>
    <w:p w14:paraId="28F37AD2" w14:textId="33D92E66" w:rsidR="00C87074" w:rsidRDefault="005B006A" w:rsidP="00C87074">
      <w:pPr>
        <w:spacing w:line="480" w:lineRule="auto"/>
        <w:rPr>
          <w:rFonts w:ascii="Arial" w:hAnsi="Arial" w:cs="Arial"/>
          <w:b/>
          <w:bCs/>
          <w:color w:val="000000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Cs w:val="24"/>
          <w:lang w:val="en-US"/>
        </w:rPr>
        <w:t>Malarmugila</w:t>
      </w:r>
      <w:proofErr w:type="spellEnd"/>
      <w:r w:rsidR="00C87074">
        <w:rPr>
          <w:rFonts w:ascii="Arial" w:hAnsi="Arial" w:cs="Arial"/>
          <w:b/>
          <w:bCs/>
          <w:color w:val="000000"/>
          <w:szCs w:val="24"/>
          <w:lang w:val="en-US"/>
        </w:rPr>
        <w:t xml:space="preserve"> Manimaran</w:t>
      </w:r>
      <w:proofErr w:type="gramStart"/>
      <w:r w:rsidR="00C87074">
        <w:rPr>
          <w:rFonts w:ascii="Arial" w:hAnsi="Arial" w:cs="Arial"/>
          <w:b/>
          <w:bCs/>
          <w:color w:val="000000"/>
          <w:szCs w:val="24"/>
          <w:vertAlign w:val="superscript"/>
          <w:lang w:val="en-US"/>
        </w:rPr>
        <w:t>1,a</w:t>
      </w:r>
      <w:proofErr w:type="gramEnd"/>
      <w:r w:rsidR="00C87074">
        <w:rPr>
          <w:rFonts w:ascii="Arial" w:hAnsi="Arial" w:cs="Arial"/>
          <w:b/>
          <w:bCs/>
          <w:color w:val="000000"/>
          <w:szCs w:val="24"/>
          <w:lang w:val="en-US"/>
        </w:rPr>
        <w:t xml:space="preserve">, , Yin </w:t>
      </w:r>
      <w:proofErr w:type="spellStart"/>
      <w:r w:rsidR="00C87074">
        <w:rPr>
          <w:rFonts w:ascii="Arial" w:hAnsi="Arial" w:cs="Arial"/>
          <w:b/>
          <w:bCs/>
          <w:color w:val="000000"/>
          <w:szCs w:val="24"/>
          <w:lang w:val="en-US"/>
        </w:rPr>
        <w:t>Yin</w:t>
      </w:r>
      <w:proofErr w:type="spellEnd"/>
      <w:r w:rsidR="00C87074">
        <w:rPr>
          <w:rFonts w:ascii="Arial" w:hAnsi="Arial" w:cs="Arial"/>
          <w:b/>
          <w:bCs/>
          <w:color w:val="000000"/>
          <w:szCs w:val="24"/>
          <w:lang w:val="en-US"/>
        </w:rPr>
        <w:t xml:space="preserve"> Teo</w:t>
      </w:r>
      <w:r w:rsidR="00C87074">
        <w:rPr>
          <w:rFonts w:ascii="Arial" w:hAnsi="Arial" w:cs="Arial"/>
          <w:b/>
          <w:bCs/>
          <w:color w:val="000000"/>
          <w:szCs w:val="24"/>
          <w:vertAlign w:val="superscript"/>
        </w:rPr>
        <w:t>2</w:t>
      </w:r>
      <w:r w:rsidR="00C87074">
        <w:rPr>
          <w:rFonts w:ascii="Arial" w:hAnsi="Arial" w:cs="Arial"/>
          <w:b/>
          <w:bCs/>
          <w:color w:val="000000"/>
          <w:szCs w:val="24"/>
          <w:lang w:val="en-US"/>
        </w:rPr>
        <w:t>, James Chen Yong Kah</w:t>
      </w:r>
      <w:r w:rsidR="00C87074">
        <w:rPr>
          <w:rFonts w:ascii="Arial" w:hAnsi="Arial" w:cs="Arial"/>
          <w:b/>
          <w:bCs/>
          <w:color w:val="000000"/>
          <w:szCs w:val="24"/>
          <w:vertAlign w:val="superscript"/>
          <w:lang w:val="en-US"/>
        </w:rPr>
        <w:t>3</w:t>
      </w:r>
      <w:r w:rsidR="00C87074">
        <w:rPr>
          <w:rFonts w:ascii="Arial" w:hAnsi="Arial" w:cs="Arial"/>
          <w:b/>
          <w:bCs/>
          <w:color w:val="000000"/>
          <w:szCs w:val="24"/>
          <w:lang w:val="en-US"/>
        </w:rPr>
        <w:t>, Adilet Beishenaliev</w:t>
      </w:r>
      <w:r w:rsidR="00C87074">
        <w:rPr>
          <w:rFonts w:ascii="Arial" w:hAnsi="Arial" w:cs="Arial"/>
          <w:b/>
          <w:bCs/>
          <w:color w:val="000000"/>
          <w:szCs w:val="24"/>
          <w:vertAlign w:val="superscript"/>
          <w:lang w:val="en-US"/>
        </w:rPr>
        <w:t>1</w:t>
      </w:r>
      <w:r w:rsidR="00C87074">
        <w:rPr>
          <w:rFonts w:ascii="Arial" w:hAnsi="Arial" w:cs="Arial"/>
          <w:b/>
          <w:bCs/>
          <w:color w:val="000000"/>
          <w:szCs w:val="24"/>
          <w:lang w:val="en-US"/>
        </w:rPr>
        <w:t>, Yean Leng Loke</w:t>
      </w:r>
      <w:r w:rsidR="00C87074">
        <w:rPr>
          <w:rFonts w:ascii="Arial" w:hAnsi="Arial" w:cs="Arial"/>
          <w:b/>
          <w:bCs/>
          <w:color w:val="000000"/>
          <w:szCs w:val="24"/>
          <w:vertAlign w:val="superscript"/>
          <w:lang w:val="en-US" w:eastAsia="zh-CN"/>
        </w:rPr>
        <w:t>2</w:t>
      </w:r>
      <w:r w:rsidR="00C87074">
        <w:rPr>
          <w:rFonts w:ascii="Arial" w:hAnsi="Arial" w:cs="Arial"/>
          <w:b/>
          <w:bCs/>
          <w:color w:val="000000"/>
          <w:szCs w:val="24"/>
          <w:lang w:val="en-US"/>
        </w:rPr>
        <w:t xml:space="preserve">, </w:t>
      </w:r>
      <w:proofErr w:type="spellStart"/>
      <w:r w:rsidR="00C87074">
        <w:rPr>
          <w:rFonts w:ascii="Arial" w:hAnsi="Arial" w:cs="Arial"/>
          <w:b/>
          <w:bCs/>
          <w:color w:val="000000"/>
          <w:szCs w:val="24"/>
          <w:lang w:val="en-US"/>
        </w:rPr>
        <w:t>Yiing</w:t>
      </w:r>
      <w:proofErr w:type="spellEnd"/>
      <w:r w:rsidR="00C87074">
        <w:rPr>
          <w:rFonts w:ascii="Arial" w:hAnsi="Arial" w:cs="Arial"/>
          <w:b/>
          <w:bCs/>
          <w:color w:val="000000"/>
          <w:szCs w:val="24"/>
          <w:lang w:val="en-US"/>
        </w:rPr>
        <w:t xml:space="preserve"> Yee Foo</w:t>
      </w:r>
      <w:r w:rsidR="00C87074">
        <w:rPr>
          <w:rFonts w:ascii="Arial" w:hAnsi="Arial" w:cs="Arial"/>
          <w:b/>
          <w:bCs/>
          <w:color w:val="000000"/>
          <w:szCs w:val="24"/>
          <w:vertAlign w:val="superscript"/>
          <w:lang w:val="en-US"/>
        </w:rPr>
        <w:t>1</w:t>
      </w:r>
      <w:r w:rsidR="00C87074">
        <w:rPr>
          <w:rFonts w:ascii="Arial" w:hAnsi="Arial" w:cs="Arial"/>
          <w:b/>
          <w:bCs/>
          <w:color w:val="000000"/>
          <w:szCs w:val="24"/>
          <w:lang w:val="en-US"/>
        </w:rPr>
        <w:t>, Shiow-Fern Ng</w:t>
      </w:r>
      <w:r w:rsidR="00C87074">
        <w:rPr>
          <w:rFonts w:ascii="Arial" w:hAnsi="Arial" w:cs="Arial"/>
          <w:b/>
          <w:bCs/>
          <w:color w:val="000000"/>
          <w:szCs w:val="24"/>
          <w:vertAlign w:val="superscript"/>
          <w:lang w:val="en-US"/>
        </w:rPr>
        <w:t>4</w:t>
      </w:r>
      <w:r w:rsidR="00C87074">
        <w:rPr>
          <w:rFonts w:ascii="Arial" w:hAnsi="Arial" w:cs="Arial"/>
          <w:b/>
          <w:bCs/>
          <w:color w:val="000000"/>
          <w:szCs w:val="24"/>
          <w:lang w:val="en-US"/>
        </w:rPr>
        <w:t>, Chin Fei Chee</w:t>
      </w:r>
      <w:r w:rsidR="00C87074">
        <w:rPr>
          <w:rFonts w:ascii="Arial" w:hAnsi="Arial" w:cs="Arial"/>
          <w:b/>
          <w:bCs/>
          <w:color w:val="000000"/>
          <w:szCs w:val="24"/>
          <w:vertAlign w:val="superscript"/>
          <w:lang w:val="en-US"/>
        </w:rPr>
        <w:t>5</w:t>
      </w:r>
      <w:r w:rsidR="00C87074">
        <w:rPr>
          <w:rFonts w:ascii="Arial" w:hAnsi="Arial" w:cs="Arial"/>
          <w:b/>
          <w:bCs/>
          <w:color w:val="000000"/>
          <w:szCs w:val="24"/>
          <w:lang w:val="en-US"/>
        </w:rPr>
        <w:t>, Sek Peng Chin</w:t>
      </w:r>
      <w:r w:rsidR="00C87074">
        <w:rPr>
          <w:rFonts w:ascii="Arial" w:hAnsi="Arial" w:cs="Arial"/>
          <w:b/>
          <w:bCs/>
          <w:color w:val="000000"/>
          <w:szCs w:val="24"/>
          <w:vertAlign w:val="superscript"/>
          <w:lang w:val="en-US"/>
        </w:rPr>
        <w:t>6</w:t>
      </w:r>
      <w:r w:rsidR="00C87074">
        <w:rPr>
          <w:rFonts w:ascii="Arial" w:hAnsi="Arial" w:cs="Arial"/>
          <w:b/>
          <w:bCs/>
          <w:color w:val="000000"/>
          <w:szCs w:val="24"/>
          <w:lang w:val="en-US"/>
        </w:rPr>
        <w:t>, Farid Nazeer Faruqu</w:t>
      </w:r>
      <w:r w:rsidR="00C87074">
        <w:rPr>
          <w:rFonts w:ascii="Arial" w:hAnsi="Arial" w:cs="Arial"/>
          <w:b/>
          <w:bCs/>
          <w:color w:val="000000"/>
          <w:szCs w:val="24"/>
          <w:vertAlign w:val="superscript"/>
          <w:lang w:val="en-US"/>
        </w:rPr>
        <w:t>1</w:t>
      </w:r>
      <w:r w:rsidR="00C87074">
        <w:rPr>
          <w:rFonts w:ascii="Arial" w:hAnsi="Arial" w:cs="Arial"/>
          <w:b/>
          <w:bCs/>
          <w:color w:val="000000"/>
          <w:szCs w:val="24"/>
          <w:lang w:val="en-US"/>
        </w:rPr>
        <w:t xml:space="preserve">, </w:t>
      </w:r>
      <w:r w:rsidR="00C87074">
        <w:rPr>
          <w:rFonts w:ascii="Arial" w:eastAsia="PMingLiU" w:hAnsi="Arial" w:cs="Arial"/>
          <w:b/>
          <w:bCs/>
          <w:color w:val="000000"/>
          <w:szCs w:val="24"/>
          <w:lang w:val="en-US" w:eastAsia="zh-TW"/>
        </w:rPr>
        <w:t>Chia-Yu Chang</w:t>
      </w:r>
      <w:r w:rsidR="00C87074">
        <w:rPr>
          <w:rFonts w:ascii="Arial" w:eastAsia="PMingLiU" w:hAnsi="Arial" w:cs="Arial"/>
          <w:b/>
          <w:bCs/>
          <w:color w:val="000000"/>
          <w:szCs w:val="24"/>
          <w:vertAlign w:val="superscript"/>
          <w:lang w:val="en-US" w:eastAsia="zh-TW"/>
        </w:rPr>
        <w:t>7</w:t>
      </w:r>
      <w:r w:rsidR="00C87074">
        <w:rPr>
          <w:rFonts w:ascii="PMingLiU" w:eastAsia="PMingLiU" w:hAnsi="PMingLiU" w:cs="Arial"/>
          <w:b/>
          <w:bCs/>
          <w:color w:val="000000"/>
          <w:szCs w:val="24"/>
          <w:lang w:val="en-US" w:eastAsia="zh-TW"/>
        </w:rPr>
        <w:t xml:space="preserve">, </w:t>
      </w:r>
      <w:r w:rsidR="00C87074">
        <w:rPr>
          <w:rFonts w:ascii="Arial" w:hAnsi="Arial" w:cs="Arial"/>
          <w:b/>
          <w:bCs/>
          <w:color w:val="000000"/>
          <w:szCs w:val="24"/>
          <w:lang w:val="en-US"/>
        </w:rPr>
        <w:t>Misni Misran</w:t>
      </w:r>
      <w:r w:rsidR="00C87074">
        <w:rPr>
          <w:rFonts w:ascii="Arial" w:hAnsi="Arial" w:cs="Arial"/>
          <w:b/>
          <w:bCs/>
          <w:color w:val="000000"/>
          <w:szCs w:val="24"/>
          <w:vertAlign w:val="superscript"/>
          <w:lang w:val="en-US"/>
        </w:rPr>
        <w:t>2</w:t>
      </w:r>
      <w:r w:rsidR="00C87074">
        <w:rPr>
          <w:rFonts w:ascii="Arial" w:hAnsi="Arial" w:cs="Arial"/>
          <w:b/>
          <w:bCs/>
          <w:color w:val="000000"/>
          <w:szCs w:val="24"/>
          <w:lang w:val="en-US"/>
        </w:rPr>
        <w:t>, Lip Yong Chung</w:t>
      </w:r>
      <w:r w:rsidR="00C87074">
        <w:rPr>
          <w:rFonts w:ascii="Arial" w:hAnsi="Arial" w:cs="Arial"/>
          <w:b/>
          <w:bCs/>
          <w:color w:val="000000"/>
          <w:szCs w:val="24"/>
          <w:vertAlign w:val="superscript"/>
          <w:lang w:val="en-US"/>
        </w:rPr>
        <w:t>6</w:t>
      </w:r>
      <w:r w:rsidR="00C87074">
        <w:rPr>
          <w:rFonts w:ascii="Arial" w:hAnsi="Arial" w:cs="Arial"/>
          <w:b/>
          <w:bCs/>
          <w:color w:val="000000"/>
          <w:szCs w:val="24"/>
          <w:lang w:val="en-US"/>
        </w:rPr>
        <w:t>, Bey Fen Leo</w:t>
      </w:r>
      <w:r w:rsidR="00C87074">
        <w:rPr>
          <w:rFonts w:ascii="Arial" w:hAnsi="Arial" w:cs="Arial"/>
          <w:b/>
          <w:bCs/>
          <w:color w:val="000000"/>
          <w:szCs w:val="24"/>
          <w:vertAlign w:val="superscript"/>
          <w:lang w:val="en-US"/>
        </w:rPr>
        <w:t>8,a</w:t>
      </w:r>
      <w:r w:rsidR="00C87074">
        <w:rPr>
          <w:rFonts w:ascii="Arial" w:hAnsi="Arial" w:cs="Arial"/>
          <w:b/>
          <w:bCs/>
          <w:color w:val="000000"/>
          <w:szCs w:val="24"/>
          <w:lang w:val="en-US"/>
        </w:rPr>
        <w:t>, Shih-Hwa Chiou</w:t>
      </w:r>
      <w:r w:rsidR="00C87074">
        <w:rPr>
          <w:rFonts w:ascii="Arial" w:hAnsi="Arial" w:cs="Arial"/>
          <w:b/>
          <w:bCs/>
          <w:color w:val="000000"/>
          <w:szCs w:val="24"/>
          <w:vertAlign w:val="superscript"/>
          <w:lang w:val="en-US"/>
        </w:rPr>
        <w:t>9,10</w:t>
      </w:r>
      <w:r w:rsidR="00C87074">
        <w:rPr>
          <w:rFonts w:ascii="Arial" w:hAnsi="Arial" w:cs="Arial"/>
          <w:b/>
          <w:bCs/>
          <w:color w:val="000000"/>
          <w:szCs w:val="24"/>
          <w:lang w:val="en-US"/>
        </w:rPr>
        <w:t>, Chia-Ching Chang</w:t>
      </w:r>
      <w:r w:rsidR="00C87074">
        <w:rPr>
          <w:rFonts w:ascii="Arial" w:hAnsi="Arial" w:cs="Arial"/>
          <w:b/>
          <w:bCs/>
          <w:color w:val="000000"/>
          <w:szCs w:val="24"/>
          <w:vertAlign w:val="superscript"/>
          <w:lang w:val="en-US"/>
        </w:rPr>
        <w:t>7,11,12,13,</w:t>
      </w:r>
      <w:r w:rsidR="00C87074">
        <w:rPr>
          <w:rFonts w:ascii="Arial" w:hAnsi="Arial" w:cs="Arial"/>
          <w:b/>
          <w:bCs/>
          <w:color w:val="000000"/>
          <w:szCs w:val="24"/>
          <w:lang w:val="en-US"/>
        </w:rPr>
        <w:t>*, Sun Tee Tay</w:t>
      </w:r>
      <w:r w:rsidR="00C87074">
        <w:rPr>
          <w:rFonts w:ascii="Arial" w:hAnsi="Arial" w:cs="Arial"/>
          <w:b/>
          <w:bCs/>
          <w:color w:val="000000"/>
          <w:szCs w:val="24"/>
          <w:vertAlign w:val="superscript"/>
          <w:lang w:val="en-US"/>
        </w:rPr>
        <w:t>14</w:t>
      </w:r>
      <w:r w:rsidR="00C87074">
        <w:rPr>
          <w:rFonts w:ascii="Arial" w:hAnsi="Arial" w:cs="Arial"/>
          <w:b/>
          <w:bCs/>
          <w:color w:val="000000"/>
          <w:szCs w:val="24"/>
          <w:lang w:val="en-US"/>
        </w:rPr>
        <w:t xml:space="preserve">, </w:t>
      </w:r>
      <w:proofErr w:type="spellStart"/>
      <w:r w:rsidR="00C87074">
        <w:rPr>
          <w:rFonts w:ascii="Arial" w:hAnsi="Arial" w:cs="Arial"/>
          <w:b/>
          <w:bCs/>
          <w:color w:val="000000"/>
          <w:szCs w:val="24"/>
          <w:lang w:val="en-US"/>
        </w:rPr>
        <w:t>Lik</w:t>
      </w:r>
      <w:proofErr w:type="spellEnd"/>
      <w:r w:rsidR="00C87074">
        <w:rPr>
          <w:rFonts w:ascii="Arial" w:hAnsi="Arial" w:cs="Arial"/>
          <w:b/>
          <w:bCs/>
          <w:color w:val="000000"/>
          <w:szCs w:val="24"/>
          <w:lang w:val="en-US"/>
        </w:rPr>
        <w:t xml:space="preserve"> Voon Kiew</w:t>
      </w:r>
      <w:r w:rsidR="00C87074">
        <w:rPr>
          <w:rFonts w:ascii="Arial" w:hAnsi="Arial" w:cs="Arial"/>
          <w:b/>
          <w:bCs/>
          <w:color w:val="000000"/>
          <w:szCs w:val="24"/>
          <w:vertAlign w:val="superscript"/>
          <w:lang w:val="en-US"/>
        </w:rPr>
        <w:t>1,7</w:t>
      </w:r>
      <w:r w:rsidR="00C87074">
        <w:rPr>
          <w:rFonts w:ascii="Arial" w:hAnsi="Arial" w:cs="Arial"/>
          <w:b/>
          <w:bCs/>
          <w:color w:val="000000"/>
          <w:szCs w:val="24"/>
          <w:lang w:val="en-US"/>
        </w:rPr>
        <w:t xml:space="preserve">* </w:t>
      </w:r>
    </w:p>
    <w:p w14:paraId="1FBB997E" w14:textId="77777777" w:rsidR="00C87074" w:rsidRDefault="00C87074" w:rsidP="00C87074">
      <w:pPr>
        <w:spacing w:line="480" w:lineRule="auto"/>
        <w:rPr>
          <w:rFonts w:ascii="Arial" w:hAnsi="Arial" w:cs="Arial"/>
          <w:color w:val="000000"/>
          <w:szCs w:val="24"/>
          <w:lang w:val="en-US"/>
        </w:rPr>
      </w:pPr>
    </w:p>
    <w:p w14:paraId="7AFC2A05" w14:textId="77777777" w:rsidR="00C87074" w:rsidRDefault="00C87074" w:rsidP="00C87074">
      <w:pPr>
        <w:spacing w:line="480" w:lineRule="auto"/>
        <w:rPr>
          <w:rFonts w:ascii="Arial" w:hAnsi="Arial" w:cs="Arial"/>
          <w:i/>
          <w:iCs/>
          <w:color w:val="000000"/>
          <w:szCs w:val="24"/>
          <w:lang w:val="en-US"/>
        </w:rPr>
      </w:pPr>
      <w:r>
        <w:rPr>
          <w:rFonts w:ascii="Arial" w:hAnsi="Arial" w:cs="Arial"/>
          <w:i/>
          <w:iCs/>
          <w:color w:val="000000"/>
          <w:szCs w:val="24"/>
          <w:vertAlign w:val="superscript"/>
          <w:lang w:val="en-US"/>
        </w:rPr>
        <w:t>1</w:t>
      </w:r>
      <w:r>
        <w:rPr>
          <w:rFonts w:ascii="Arial" w:hAnsi="Arial" w:cs="Arial"/>
          <w:i/>
          <w:iCs/>
          <w:color w:val="000000"/>
          <w:szCs w:val="24"/>
          <w:lang w:val="en-US"/>
        </w:rPr>
        <w:t xml:space="preserve">Department of Pharmacology, Faculty of Medicine, </w:t>
      </w:r>
      <w:proofErr w:type="spellStart"/>
      <w:r>
        <w:rPr>
          <w:rFonts w:ascii="Arial" w:hAnsi="Arial" w:cs="Arial"/>
          <w:i/>
          <w:iCs/>
          <w:color w:val="000000"/>
          <w:szCs w:val="24"/>
          <w:lang w:val="en-US"/>
        </w:rPr>
        <w:t>Universiti</w:t>
      </w:r>
      <w:proofErr w:type="spellEnd"/>
      <w:r>
        <w:rPr>
          <w:rFonts w:ascii="Arial" w:hAnsi="Arial" w:cs="Arial"/>
          <w:i/>
          <w:iCs/>
          <w:color w:val="000000"/>
          <w:szCs w:val="24"/>
          <w:lang w:val="en-US"/>
        </w:rPr>
        <w:t xml:space="preserve"> Malaya, Kuala Lumpur, Malaysia</w:t>
      </w:r>
    </w:p>
    <w:p w14:paraId="36E50B50" w14:textId="77777777" w:rsidR="00C87074" w:rsidRDefault="00C87074" w:rsidP="00C87074">
      <w:pPr>
        <w:spacing w:line="480" w:lineRule="auto"/>
        <w:rPr>
          <w:rFonts w:ascii="Arial" w:hAnsi="Arial" w:cs="Arial"/>
          <w:i/>
          <w:iCs/>
          <w:color w:val="000000"/>
          <w:szCs w:val="24"/>
          <w:lang w:val="en-US"/>
        </w:rPr>
      </w:pPr>
      <w:r>
        <w:rPr>
          <w:rFonts w:ascii="Arial" w:hAnsi="Arial" w:cs="Arial"/>
          <w:i/>
          <w:iCs/>
          <w:color w:val="000000"/>
          <w:szCs w:val="24"/>
          <w:vertAlign w:val="superscript"/>
          <w:lang w:val="en-US"/>
        </w:rPr>
        <w:t>2</w:t>
      </w:r>
      <w:r>
        <w:rPr>
          <w:rFonts w:ascii="Arial" w:hAnsi="Arial" w:cs="Arial"/>
          <w:i/>
          <w:iCs/>
          <w:color w:val="000000"/>
          <w:szCs w:val="24"/>
          <w:lang w:val="en-US"/>
        </w:rPr>
        <w:t xml:space="preserve">Department of Chemistry, Faculty of Science, </w:t>
      </w:r>
      <w:proofErr w:type="spellStart"/>
      <w:r>
        <w:rPr>
          <w:rFonts w:ascii="Arial" w:hAnsi="Arial" w:cs="Arial"/>
          <w:i/>
          <w:iCs/>
          <w:color w:val="000000"/>
          <w:szCs w:val="24"/>
          <w:lang w:val="en-US"/>
        </w:rPr>
        <w:t>Universiti</w:t>
      </w:r>
      <w:proofErr w:type="spellEnd"/>
      <w:r>
        <w:rPr>
          <w:rFonts w:ascii="Arial" w:hAnsi="Arial" w:cs="Arial"/>
          <w:i/>
          <w:iCs/>
          <w:color w:val="000000"/>
          <w:szCs w:val="24"/>
          <w:lang w:val="en-US"/>
        </w:rPr>
        <w:t xml:space="preserve"> Malaya, Kuala Lumpur, Malaysia</w:t>
      </w:r>
    </w:p>
    <w:p w14:paraId="0BEFBB88" w14:textId="77777777" w:rsidR="00C87074" w:rsidRDefault="00C87074" w:rsidP="00C87074">
      <w:pPr>
        <w:spacing w:line="480" w:lineRule="auto"/>
        <w:rPr>
          <w:rFonts w:ascii="Arial" w:hAnsi="Arial" w:cs="Arial"/>
          <w:i/>
          <w:iCs/>
          <w:color w:val="000000"/>
          <w:szCs w:val="24"/>
          <w:lang w:val="en-US" w:eastAsia="zh-CN"/>
        </w:rPr>
      </w:pPr>
      <w:r>
        <w:rPr>
          <w:rFonts w:ascii="Arial" w:hAnsi="Arial" w:cs="Arial"/>
          <w:i/>
          <w:iCs/>
          <w:color w:val="000000"/>
          <w:szCs w:val="24"/>
          <w:vertAlign w:val="superscript"/>
          <w:lang w:val="en-US"/>
        </w:rPr>
        <w:t>3</w:t>
      </w:r>
      <w:r>
        <w:rPr>
          <w:rFonts w:ascii="Arial" w:hAnsi="Arial" w:cs="Arial"/>
          <w:i/>
          <w:iCs/>
          <w:color w:val="000000"/>
          <w:szCs w:val="24"/>
          <w:lang w:val="en-US"/>
        </w:rPr>
        <w:t>Department of Biomedical Engineering, College of Design and Engineering, National University of Singapore, Singapore</w:t>
      </w:r>
      <w:r>
        <w:rPr>
          <w:rFonts w:ascii="Arial" w:hAnsi="Arial" w:cs="Arial"/>
          <w:i/>
          <w:iCs/>
          <w:color w:val="000000"/>
          <w:szCs w:val="24"/>
          <w:lang w:val="en-US" w:eastAsia="zh-CN"/>
        </w:rPr>
        <w:t>, Singapore</w:t>
      </w:r>
    </w:p>
    <w:p w14:paraId="06F9FE1E" w14:textId="77777777" w:rsidR="00C87074" w:rsidRDefault="00C87074" w:rsidP="00C87074">
      <w:pPr>
        <w:spacing w:line="480" w:lineRule="auto"/>
        <w:rPr>
          <w:rFonts w:ascii="Arial" w:hAnsi="Arial" w:cs="Arial"/>
          <w:i/>
          <w:iCs/>
          <w:color w:val="000000"/>
          <w:szCs w:val="24"/>
          <w:lang w:val="en-US"/>
        </w:rPr>
      </w:pPr>
      <w:r>
        <w:rPr>
          <w:rFonts w:ascii="Arial" w:hAnsi="Arial" w:cs="Arial"/>
          <w:i/>
          <w:iCs/>
          <w:color w:val="000000"/>
          <w:szCs w:val="24"/>
          <w:vertAlign w:val="superscript"/>
          <w:lang w:val="en-US"/>
        </w:rPr>
        <w:t>4</w:t>
      </w:r>
      <w:r>
        <w:rPr>
          <w:rFonts w:ascii="Arial" w:hAnsi="Arial" w:cs="Arial"/>
          <w:i/>
          <w:iCs/>
          <w:color w:val="000000"/>
          <w:szCs w:val="24"/>
          <w:lang w:val="en-US"/>
        </w:rPr>
        <w:t xml:space="preserve">Centre for Drug Delivery Technology and Vaccine, Faculty of Pharmacy, </w:t>
      </w:r>
      <w:proofErr w:type="spellStart"/>
      <w:r>
        <w:rPr>
          <w:rFonts w:ascii="Arial" w:hAnsi="Arial" w:cs="Arial"/>
          <w:i/>
          <w:iCs/>
          <w:color w:val="000000"/>
          <w:szCs w:val="24"/>
          <w:lang w:val="en-US"/>
        </w:rPr>
        <w:t>Universiti</w:t>
      </w:r>
      <w:proofErr w:type="spellEnd"/>
      <w:r>
        <w:rPr>
          <w:rFonts w:ascii="Arial" w:hAnsi="Arial" w:cs="Arial"/>
          <w:i/>
          <w:iCs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Cs w:val="24"/>
          <w:lang w:val="en-US"/>
        </w:rPr>
        <w:t>Kebangsaan</w:t>
      </w:r>
      <w:proofErr w:type="spellEnd"/>
      <w:r>
        <w:rPr>
          <w:rFonts w:ascii="Arial" w:hAnsi="Arial" w:cs="Arial"/>
          <w:i/>
          <w:iCs/>
          <w:color w:val="000000"/>
          <w:szCs w:val="24"/>
          <w:lang w:val="en-US"/>
        </w:rPr>
        <w:t xml:space="preserve"> Malaysia, Kuala Lumpur, Malaysia</w:t>
      </w:r>
    </w:p>
    <w:p w14:paraId="3F9670BB" w14:textId="77777777" w:rsidR="00C87074" w:rsidRDefault="00C87074" w:rsidP="00C87074">
      <w:pPr>
        <w:spacing w:line="480" w:lineRule="auto"/>
        <w:rPr>
          <w:rFonts w:ascii="Arial" w:hAnsi="Arial" w:cs="Arial"/>
          <w:i/>
          <w:iCs/>
          <w:color w:val="000000"/>
          <w:szCs w:val="24"/>
          <w:lang w:val="en-US"/>
        </w:rPr>
      </w:pPr>
      <w:r>
        <w:rPr>
          <w:rFonts w:ascii="Arial" w:hAnsi="Arial" w:cs="Arial"/>
          <w:i/>
          <w:iCs/>
          <w:color w:val="000000"/>
          <w:szCs w:val="24"/>
          <w:vertAlign w:val="superscript"/>
          <w:lang w:val="en-US"/>
        </w:rPr>
        <w:t>5</w:t>
      </w:r>
      <w:r>
        <w:rPr>
          <w:rFonts w:ascii="Arial" w:hAnsi="Arial" w:cs="Arial"/>
          <w:i/>
          <w:iCs/>
          <w:color w:val="000000"/>
          <w:szCs w:val="24"/>
          <w:lang w:val="en-US"/>
        </w:rPr>
        <w:t xml:space="preserve">Nanotechnology Catalysis Research Centre, </w:t>
      </w:r>
      <w:proofErr w:type="spellStart"/>
      <w:r>
        <w:rPr>
          <w:rFonts w:ascii="Arial" w:hAnsi="Arial" w:cs="Arial"/>
          <w:i/>
          <w:iCs/>
          <w:color w:val="000000"/>
          <w:szCs w:val="24"/>
          <w:lang w:val="en-US"/>
        </w:rPr>
        <w:t>Universiti</w:t>
      </w:r>
      <w:proofErr w:type="spellEnd"/>
      <w:r>
        <w:rPr>
          <w:rFonts w:ascii="Arial" w:hAnsi="Arial" w:cs="Arial"/>
          <w:i/>
          <w:iCs/>
          <w:color w:val="000000"/>
          <w:szCs w:val="24"/>
          <w:lang w:val="en-US"/>
        </w:rPr>
        <w:t xml:space="preserve"> Malaya, Kuala Lumpur, Malaysia</w:t>
      </w:r>
    </w:p>
    <w:p w14:paraId="096F99BE" w14:textId="77777777" w:rsidR="00C87074" w:rsidRDefault="00C87074" w:rsidP="00C87074">
      <w:pPr>
        <w:spacing w:line="480" w:lineRule="auto"/>
        <w:rPr>
          <w:rFonts w:ascii="Arial" w:hAnsi="Arial" w:cs="Arial"/>
          <w:i/>
          <w:iCs/>
          <w:color w:val="000000"/>
          <w:szCs w:val="24"/>
          <w:lang w:val="en-US"/>
        </w:rPr>
      </w:pPr>
      <w:r>
        <w:rPr>
          <w:rFonts w:ascii="Arial" w:hAnsi="Arial" w:cs="Arial"/>
          <w:i/>
          <w:iCs/>
          <w:color w:val="000000"/>
          <w:szCs w:val="24"/>
          <w:vertAlign w:val="superscript"/>
          <w:lang w:val="en-US"/>
        </w:rPr>
        <w:t>6</w:t>
      </w:r>
      <w:r>
        <w:rPr>
          <w:rFonts w:ascii="Arial" w:hAnsi="Arial" w:cs="Arial"/>
          <w:i/>
          <w:iCs/>
          <w:color w:val="000000"/>
          <w:szCs w:val="24"/>
          <w:lang w:val="en-US"/>
        </w:rPr>
        <w:t xml:space="preserve">Department of Pharmaceutical Chemistry, Faculty of Pharmacy, </w:t>
      </w:r>
      <w:proofErr w:type="spellStart"/>
      <w:r>
        <w:rPr>
          <w:rFonts w:ascii="Arial" w:hAnsi="Arial" w:cs="Arial"/>
          <w:i/>
          <w:iCs/>
          <w:color w:val="000000"/>
          <w:szCs w:val="24"/>
          <w:lang w:val="en-US"/>
        </w:rPr>
        <w:t>Universiti</w:t>
      </w:r>
      <w:proofErr w:type="spellEnd"/>
      <w:r>
        <w:rPr>
          <w:rFonts w:ascii="Arial" w:hAnsi="Arial" w:cs="Arial"/>
          <w:i/>
          <w:iCs/>
          <w:color w:val="000000"/>
          <w:szCs w:val="24"/>
          <w:lang w:val="en-US"/>
        </w:rPr>
        <w:t xml:space="preserve"> Malaya, Kuala Lumpur, Malaysia</w:t>
      </w:r>
    </w:p>
    <w:p w14:paraId="1969BF67" w14:textId="77777777" w:rsidR="00C87074" w:rsidRDefault="00C87074" w:rsidP="00C87074">
      <w:pPr>
        <w:spacing w:line="480" w:lineRule="auto"/>
        <w:rPr>
          <w:rFonts w:ascii="Arial" w:hAnsi="Arial" w:cs="Arial"/>
          <w:i/>
          <w:iCs/>
          <w:color w:val="000000"/>
          <w:szCs w:val="24"/>
          <w:lang w:val="en-US"/>
        </w:rPr>
      </w:pPr>
      <w:r>
        <w:rPr>
          <w:rFonts w:ascii="Arial" w:hAnsi="Arial" w:cs="Arial"/>
          <w:i/>
          <w:iCs/>
          <w:color w:val="000000"/>
          <w:szCs w:val="24"/>
          <w:vertAlign w:val="superscript"/>
          <w:lang w:val="en-US"/>
        </w:rPr>
        <w:lastRenderedPageBreak/>
        <w:t>7</w:t>
      </w:r>
      <w:r>
        <w:rPr>
          <w:rFonts w:ascii="Arial" w:hAnsi="Arial" w:cs="Arial"/>
          <w:i/>
          <w:iCs/>
          <w:color w:val="000000"/>
          <w:szCs w:val="24"/>
          <w:lang w:val="en-US"/>
        </w:rPr>
        <w:t xml:space="preserve">Department of Biological Science and Technology, National Yang Ming Chiao Tung University, Hsinchu, Taiwan, Republic of China </w:t>
      </w:r>
    </w:p>
    <w:p w14:paraId="08E0A0CC" w14:textId="77777777" w:rsidR="00C87074" w:rsidRDefault="00C87074" w:rsidP="00C87074">
      <w:pPr>
        <w:spacing w:line="480" w:lineRule="auto"/>
        <w:rPr>
          <w:rFonts w:ascii="Arial" w:hAnsi="Arial" w:cs="Arial"/>
          <w:i/>
          <w:iCs/>
          <w:color w:val="000000"/>
          <w:szCs w:val="24"/>
          <w:lang w:val="en-US"/>
        </w:rPr>
      </w:pPr>
      <w:r>
        <w:rPr>
          <w:rFonts w:ascii="Arial" w:hAnsi="Arial" w:cs="Arial"/>
          <w:i/>
          <w:iCs/>
          <w:color w:val="000000"/>
          <w:szCs w:val="24"/>
          <w:vertAlign w:val="superscript"/>
          <w:lang w:val="en-US"/>
        </w:rPr>
        <w:t>8</w:t>
      </w:r>
      <w:r>
        <w:rPr>
          <w:rFonts w:ascii="Arial" w:hAnsi="Arial" w:cs="Arial"/>
          <w:i/>
          <w:iCs/>
          <w:color w:val="000000"/>
          <w:szCs w:val="24"/>
          <w:lang w:val="en-US"/>
        </w:rPr>
        <w:t xml:space="preserve">Department of Molecular Medicine, Faculty of Medicine, </w:t>
      </w:r>
      <w:proofErr w:type="spellStart"/>
      <w:r>
        <w:rPr>
          <w:rFonts w:ascii="Arial" w:hAnsi="Arial" w:cs="Arial"/>
          <w:i/>
          <w:iCs/>
          <w:color w:val="000000"/>
          <w:szCs w:val="24"/>
          <w:lang w:val="en-US"/>
        </w:rPr>
        <w:t>Universiti</w:t>
      </w:r>
      <w:proofErr w:type="spellEnd"/>
      <w:r>
        <w:rPr>
          <w:rFonts w:ascii="Arial" w:hAnsi="Arial" w:cs="Arial"/>
          <w:i/>
          <w:iCs/>
          <w:color w:val="000000"/>
          <w:szCs w:val="24"/>
          <w:lang w:val="en-US"/>
        </w:rPr>
        <w:t xml:space="preserve"> Malaya, Kuala Lumpur, Malaysia</w:t>
      </w:r>
    </w:p>
    <w:p w14:paraId="2C856570" w14:textId="77777777" w:rsidR="00C87074" w:rsidRDefault="00C87074" w:rsidP="00C87074">
      <w:pPr>
        <w:spacing w:line="480" w:lineRule="auto"/>
        <w:rPr>
          <w:rFonts w:ascii="Arial" w:hAnsi="Arial" w:cs="Arial"/>
          <w:i/>
          <w:iCs/>
          <w:color w:val="000000"/>
          <w:szCs w:val="24"/>
          <w:lang w:val="en-US"/>
        </w:rPr>
      </w:pPr>
      <w:r>
        <w:rPr>
          <w:rFonts w:ascii="Arial" w:hAnsi="Arial" w:cs="Arial"/>
          <w:i/>
          <w:iCs/>
          <w:color w:val="000000"/>
          <w:szCs w:val="24"/>
          <w:vertAlign w:val="superscript"/>
          <w:lang w:val="en-US"/>
        </w:rPr>
        <w:t>9</w:t>
      </w:r>
      <w:r>
        <w:rPr>
          <w:rFonts w:ascii="Arial" w:hAnsi="Arial" w:cs="Arial"/>
          <w:i/>
          <w:iCs/>
          <w:color w:val="000000"/>
          <w:szCs w:val="24"/>
          <w:lang w:val="en-US"/>
        </w:rPr>
        <w:t>Department of Medical Research, Taipei Veterans General Hospital, Taipei, Taiwan, Republic of China</w:t>
      </w:r>
    </w:p>
    <w:p w14:paraId="14913D6D" w14:textId="77777777" w:rsidR="00C87074" w:rsidRDefault="00C87074" w:rsidP="00C87074">
      <w:pPr>
        <w:spacing w:line="480" w:lineRule="auto"/>
        <w:rPr>
          <w:rFonts w:ascii="Arial" w:hAnsi="Arial" w:cs="Arial"/>
          <w:i/>
          <w:iCs/>
          <w:color w:val="000000"/>
          <w:szCs w:val="24"/>
          <w:lang w:val="en-US"/>
        </w:rPr>
      </w:pPr>
      <w:r>
        <w:rPr>
          <w:rFonts w:ascii="Arial" w:hAnsi="Arial" w:cs="Arial"/>
          <w:i/>
          <w:iCs/>
          <w:color w:val="000000"/>
          <w:szCs w:val="24"/>
          <w:vertAlign w:val="superscript"/>
          <w:lang w:val="en-US"/>
        </w:rPr>
        <w:t>10</w:t>
      </w:r>
      <w:r>
        <w:rPr>
          <w:rFonts w:ascii="Arial" w:hAnsi="Arial" w:cs="Arial"/>
          <w:i/>
          <w:iCs/>
          <w:color w:val="000000"/>
          <w:szCs w:val="24"/>
          <w:lang w:val="en-US"/>
        </w:rPr>
        <w:t>Institute of Pharmacology, National Yang Ming Chiao Tung University, Taipei, Taiwan, Republic of China</w:t>
      </w:r>
    </w:p>
    <w:p w14:paraId="22EE39DE" w14:textId="77777777" w:rsidR="00C87074" w:rsidRDefault="00C87074" w:rsidP="00C87074">
      <w:pPr>
        <w:spacing w:line="480" w:lineRule="auto"/>
        <w:rPr>
          <w:rFonts w:ascii="Arial" w:hAnsi="Arial" w:cs="Arial"/>
          <w:i/>
          <w:iCs/>
          <w:color w:val="000000"/>
          <w:szCs w:val="24"/>
          <w:lang w:val="en-US"/>
        </w:rPr>
      </w:pPr>
      <w:r>
        <w:rPr>
          <w:rFonts w:ascii="Arial" w:hAnsi="Arial" w:cs="Arial"/>
          <w:i/>
          <w:iCs/>
          <w:color w:val="000000"/>
          <w:szCs w:val="24"/>
          <w:vertAlign w:val="superscript"/>
          <w:lang w:val="en-US"/>
        </w:rPr>
        <w:t>11</w:t>
      </w:r>
      <w:r>
        <w:rPr>
          <w:rFonts w:ascii="Arial" w:hAnsi="Arial" w:cs="Arial"/>
          <w:i/>
          <w:iCs/>
          <w:color w:val="000000"/>
          <w:szCs w:val="24"/>
          <w:lang w:val="en-US"/>
        </w:rPr>
        <w:t xml:space="preserve">Department of </w:t>
      </w:r>
      <w:proofErr w:type="spellStart"/>
      <w:r>
        <w:rPr>
          <w:rFonts w:ascii="Arial" w:hAnsi="Arial" w:cs="Arial"/>
          <w:i/>
          <w:iCs/>
          <w:color w:val="000000"/>
          <w:szCs w:val="24"/>
          <w:lang w:val="en-US"/>
        </w:rPr>
        <w:t>Electrophysics</w:t>
      </w:r>
      <w:proofErr w:type="spellEnd"/>
      <w:r>
        <w:rPr>
          <w:rFonts w:ascii="Arial" w:hAnsi="Arial" w:cs="Arial"/>
          <w:i/>
          <w:iCs/>
          <w:color w:val="000000"/>
          <w:szCs w:val="24"/>
          <w:lang w:val="en-US"/>
        </w:rPr>
        <w:t>, National Yang Ming Chiao Tung University, Hsinchu, Taiwan, Republic of China</w:t>
      </w:r>
    </w:p>
    <w:p w14:paraId="282EC720" w14:textId="77777777" w:rsidR="00C87074" w:rsidRDefault="00C87074" w:rsidP="00C87074">
      <w:pPr>
        <w:spacing w:line="480" w:lineRule="auto"/>
        <w:rPr>
          <w:rFonts w:ascii="Arial" w:hAnsi="Arial" w:cs="Arial"/>
          <w:i/>
          <w:iCs/>
          <w:color w:val="000000"/>
          <w:szCs w:val="24"/>
          <w:lang w:val="en-US"/>
        </w:rPr>
      </w:pPr>
      <w:r>
        <w:rPr>
          <w:rFonts w:ascii="Arial" w:hAnsi="Arial" w:cs="Arial"/>
          <w:i/>
          <w:iCs/>
          <w:color w:val="000000"/>
          <w:szCs w:val="24"/>
          <w:vertAlign w:val="superscript"/>
          <w:lang w:val="en-US"/>
        </w:rPr>
        <w:t>12</w:t>
      </w:r>
      <w:r>
        <w:rPr>
          <w:rFonts w:ascii="Arial" w:hAnsi="Arial" w:cs="Arial"/>
          <w:i/>
          <w:iCs/>
          <w:color w:val="000000"/>
          <w:szCs w:val="24"/>
          <w:lang w:val="en-US"/>
        </w:rPr>
        <w:t>Center for Intelligent Drug Systems and Smart Bio-devices, National Yang Ming Chiao Tung University, Hsinchu, Taiwan, Republic of China</w:t>
      </w:r>
    </w:p>
    <w:p w14:paraId="2599E96C" w14:textId="77777777" w:rsidR="00C87074" w:rsidRDefault="00C87074" w:rsidP="00C87074">
      <w:pPr>
        <w:spacing w:line="480" w:lineRule="auto"/>
        <w:rPr>
          <w:rFonts w:ascii="Arial" w:hAnsi="Arial" w:cs="Arial"/>
          <w:i/>
          <w:iCs/>
          <w:color w:val="000000"/>
          <w:szCs w:val="24"/>
          <w:lang w:val="en-US"/>
        </w:rPr>
      </w:pPr>
      <w:r>
        <w:rPr>
          <w:rFonts w:ascii="Arial" w:hAnsi="Arial" w:cs="Arial"/>
          <w:i/>
          <w:iCs/>
          <w:color w:val="000000"/>
          <w:szCs w:val="24"/>
          <w:vertAlign w:val="superscript"/>
          <w:lang w:val="en-US"/>
        </w:rPr>
        <w:t>13</w:t>
      </w:r>
      <w:r>
        <w:rPr>
          <w:rFonts w:ascii="Arial" w:hAnsi="Arial" w:cs="Arial"/>
          <w:i/>
          <w:iCs/>
          <w:color w:val="000000"/>
          <w:szCs w:val="24"/>
          <w:lang w:val="en-US"/>
        </w:rPr>
        <w:t xml:space="preserve">Institute of Physics, Academia </w:t>
      </w:r>
      <w:proofErr w:type="spellStart"/>
      <w:r>
        <w:rPr>
          <w:rFonts w:ascii="Arial" w:hAnsi="Arial" w:cs="Arial"/>
          <w:i/>
          <w:iCs/>
          <w:color w:val="000000"/>
          <w:szCs w:val="24"/>
          <w:lang w:val="en-US"/>
        </w:rPr>
        <w:t>Sinica</w:t>
      </w:r>
      <w:proofErr w:type="spellEnd"/>
      <w:r>
        <w:rPr>
          <w:rFonts w:ascii="Arial" w:hAnsi="Arial" w:cs="Arial"/>
          <w:i/>
          <w:iCs/>
          <w:color w:val="000000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Cs w:val="24"/>
          <w:lang w:val="en-US"/>
        </w:rPr>
        <w:t>Nankang</w:t>
      </w:r>
      <w:proofErr w:type="spellEnd"/>
      <w:r>
        <w:rPr>
          <w:rFonts w:ascii="Arial" w:hAnsi="Arial" w:cs="Arial"/>
          <w:i/>
          <w:iCs/>
          <w:color w:val="000000"/>
          <w:szCs w:val="24"/>
          <w:lang w:val="en-US"/>
        </w:rPr>
        <w:t>, Taipei, Taiwan, Republic of China.</w:t>
      </w:r>
    </w:p>
    <w:p w14:paraId="1C9CA310" w14:textId="77777777" w:rsidR="00C87074" w:rsidRDefault="00C87074" w:rsidP="00C87074">
      <w:pPr>
        <w:spacing w:line="480" w:lineRule="auto"/>
        <w:rPr>
          <w:rFonts w:ascii="Arial" w:hAnsi="Arial" w:cs="Arial"/>
          <w:i/>
          <w:iCs/>
          <w:color w:val="000000"/>
          <w:szCs w:val="24"/>
          <w:lang w:val="en-US"/>
        </w:rPr>
      </w:pPr>
      <w:r>
        <w:rPr>
          <w:rFonts w:ascii="Arial" w:hAnsi="Arial" w:cs="Arial"/>
          <w:i/>
          <w:iCs/>
          <w:color w:val="000000"/>
          <w:szCs w:val="24"/>
          <w:vertAlign w:val="superscript"/>
          <w:lang w:val="en-US"/>
        </w:rPr>
        <w:t>14</w:t>
      </w:r>
      <w:r>
        <w:rPr>
          <w:rFonts w:ascii="Arial" w:hAnsi="Arial" w:cs="Arial"/>
          <w:i/>
          <w:iCs/>
          <w:color w:val="000000"/>
          <w:szCs w:val="24"/>
          <w:lang w:val="en-US"/>
        </w:rPr>
        <w:t xml:space="preserve">Department of Medical Microbiology, Faculty of Medicine, </w:t>
      </w:r>
      <w:proofErr w:type="spellStart"/>
      <w:r>
        <w:rPr>
          <w:rFonts w:ascii="Arial" w:hAnsi="Arial" w:cs="Arial"/>
          <w:i/>
          <w:iCs/>
          <w:color w:val="000000"/>
          <w:szCs w:val="24"/>
          <w:lang w:val="en-US"/>
        </w:rPr>
        <w:t>Universiti</w:t>
      </w:r>
      <w:proofErr w:type="spellEnd"/>
      <w:r>
        <w:rPr>
          <w:rFonts w:ascii="Arial" w:hAnsi="Arial" w:cs="Arial"/>
          <w:i/>
          <w:iCs/>
          <w:color w:val="000000"/>
          <w:szCs w:val="24"/>
          <w:lang w:val="en-US"/>
        </w:rPr>
        <w:t xml:space="preserve"> Malaya, Kuala Lumpur, Malaysia</w:t>
      </w:r>
    </w:p>
    <w:p w14:paraId="40285396" w14:textId="77777777" w:rsidR="00C87074" w:rsidRPr="00EE1E05" w:rsidRDefault="00C87074" w:rsidP="00C87074">
      <w:pPr>
        <w:spacing w:line="480" w:lineRule="auto"/>
        <w:rPr>
          <w:rFonts w:ascii="Arial" w:hAnsi="Arial" w:cs="Arial"/>
          <w:color w:val="000000"/>
          <w:szCs w:val="24"/>
          <w:lang w:val="en-US"/>
        </w:rPr>
      </w:pPr>
      <w:proofErr w:type="spellStart"/>
      <w:r w:rsidRPr="00EE1E05">
        <w:rPr>
          <w:rFonts w:ascii="Arial" w:hAnsi="Arial" w:cs="Arial"/>
          <w:color w:val="000000"/>
          <w:szCs w:val="24"/>
          <w:vertAlign w:val="superscript"/>
          <w:lang w:val="en-US"/>
        </w:rPr>
        <w:t>a</w:t>
      </w:r>
      <w:proofErr w:type="spellEnd"/>
      <w:r>
        <w:rPr>
          <w:rFonts w:ascii="Arial" w:hAnsi="Arial" w:cs="Arial"/>
          <w:color w:val="000000"/>
          <w:szCs w:val="24"/>
          <w:lang w:val="en-US"/>
        </w:rPr>
        <w:t xml:space="preserve"> </w:t>
      </w:r>
      <w:r w:rsidRPr="00EE1E05">
        <w:rPr>
          <w:rFonts w:ascii="Arial" w:hAnsi="Arial" w:cs="Arial"/>
          <w:color w:val="000000"/>
          <w:szCs w:val="24"/>
          <w:lang w:val="en-US"/>
        </w:rPr>
        <w:t>These authors contributed</w:t>
      </w:r>
      <w:r>
        <w:rPr>
          <w:rFonts w:ascii="Arial" w:hAnsi="Arial" w:cs="Arial"/>
          <w:color w:val="000000"/>
          <w:szCs w:val="24"/>
          <w:lang w:val="en-US"/>
        </w:rPr>
        <w:t xml:space="preserve"> </w:t>
      </w:r>
      <w:r w:rsidRPr="00EE1E05">
        <w:rPr>
          <w:rFonts w:ascii="Arial" w:hAnsi="Arial" w:cs="Arial"/>
          <w:color w:val="000000"/>
          <w:szCs w:val="24"/>
          <w:lang w:val="en-US"/>
        </w:rPr>
        <w:t>equally to this work.</w:t>
      </w:r>
    </w:p>
    <w:p w14:paraId="661B72DD" w14:textId="77777777" w:rsidR="00C87074" w:rsidRDefault="00C87074" w:rsidP="00C87074">
      <w:pPr>
        <w:spacing w:line="48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* Corresponding authors:</w:t>
      </w:r>
    </w:p>
    <w:p w14:paraId="46126C2A" w14:textId="77777777" w:rsidR="00C87074" w:rsidRDefault="00C87074" w:rsidP="00C87074">
      <w:pPr>
        <w:spacing w:line="48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</w:rPr>
        <w:t>Chia-Ching Chang</w:t>
      </w:r>
      <w:r>
        <w:rPr>
          <w:rFonts w:ascii="Arial" w:hAnsi="Arial" w:cs="Arial"/>
          <w:szCs w:val="24"/>
          <w:lang w:val="en-US"/>
        </w:rPr>
        <w:t xml:space="preserve">, </w:t>
      </w:r>
      <w:hyperlink r:id="rId9" w:history="1">
        <w:r>
          <w:rPr>
            <w:rStyle w:val="Hyperlink"/>
            <w:rFonts w:ascii="Arial" w:hAnsi="Arial" w:cs="Arial"/>
            <w:color w:val="auto"/>
            <w:szCs w:val="24"/>
            <w:lang w:val="en-US"/>
          </w:rPr>
          <w:t>ccchang01@nycu.edu.tw</w:t>
        </w:r>
      </w:hyperlink>
    </w:p>
    <w:p w14:paraId="4BCC65F7" w14:textId="77777777" w:rsidR="00C87074" w:rsidRDefault="00C87074" w:rsidP="00C87074">
      <w:pPr>
        <w:spacing w:line="480" w:lineRule="auto"/>
        <w:rPr>
          <w:rFonts w:ascii="Arial" w:hAnsi="Arial" w:cs="Arial"/>
          <w:szCs w:val="24"/>
          <w:lang w:val="en-US"/>
        </w:rPr>
      </w:pPr>
      <w:proofErr w:type="spellStart"/>
      <w:r>
        <w:rPr>
          <w:rFonts w:ascii="Arial" w:hAnsi="Arial" w:cs="Arial"/>
          <w:szCs w:val="24"/>
          <w:lang w:val="en-US"/>
        </w:rPr>
        <w:t>Lik</w:t>
      </w:r>
      <w:proofErr w:type="spellEnd"/>
      <w:r>
        <w:rPr>
          <w:rFonts w:ascii="Arial" w:hAnsi="Arial" w:cs="Arial"/>
          <w:szCs w:val="24"/>
          <w:lang w:val="en-US"/>
        </w:rPr>
        <w:t xml:space="preserve">-Voon Kiew, </w:t>
      </w:r>
      <w:hyperlink r:id="rId10" w:history="1">
        <w:r>
          <w:rPr>
            <w:rStyle w:val="Hyperlink"/>
            <w:rFonts w:ascii="Arial" w:hAnsi="Arial" w:cs="Arial"/>
            <w:color w:val="auto"/>
            <w:szCs w:val="24"/>
            <w:lang w:val="en-US"/>
          </w:rPr>
          <w:t>lvkiew@um.edu.my</w:t>
        </w:r>
      </w:hyperlink>
    </w:p>
    <w:p w14:paraId="1386C715" w14:textId="7B70A558" w:rsidR="005B006A" w:rsidRDefault="005B006A" w:rsidP="00C87074">
      <w:pPr>
        <w:spacing w:line="480" w:lineRule="auto"/>
        <w:rPr>
          <w:rFonts w:ascii="Arial" w:hAnsi="Arial" w:cs="Arial"/>
          <w:i/>
          <w:iCs/>
          <w:color w:val="000000"/>
          <w:szCs w:val="24"/>
          <w:lang w:val="en-US"/>
        </w:rPr>
      </w:pPr>
    </w:p>
    <w:p w14:paraId="08C6C600" w14:textId="77777777" w:rsidR="001B6C26" w:rsidRDefault="00485DC6">
      <w:pPr>
        <w:spacing w:line="480" w:lineRule="auto"/>
        <w:rPr>
          <w:rStyle w:val="CommentReference"/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CommentReference"/>
          <w:rFonts w:ascii="Arial" w:hAnsi="Arial" w:cs="Arial"/>
          <w:b/>
          <w:bCs/>
          <w:szCs w:val="24"/>
          <w:lang w:val="en-US"/>
        </w:rPr>
        <w:lastRenderedPageBreak/>
        <w:t>A.</w:t>
      </w:r>
      <w:r>
        <w:rPr>
          <w:rStyle w:val="CommentReference"/>
          <w:rFonts w:ascii="Arial" w:hAnsi="Arial" w:cs="Arial"/>
          <w:b/>
          <w:bCs/>
          <w:sz w:val="24"/>
          <w:szCs w:val="24"/>
          <w:lang w:val="en-US"/>
        </w:rPr>
        <w:t xml:space="preserve"> Concentration of Gold Nanorods (GNR)</w:t>
      </w:r>
    </w:p>
    <w:p w14:paraId="4CA6B69B" w14:textId="62B03719" w:rsidR="001B6C26" w:rsidRDefault="00485DC6">
      <w:pPr>
        <w:autoSpaceDE w:val="0"/>
        <w:autoSpaceDN w:val="0"/>
        <w:adjustRightInd w:val="0"/>
        <w:spacing w:line="480" w:lineRule="auto"/>
        <w:ind w:firstLine="7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noProof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5BA692F5" wp14:editId="2060990C">
            <wp:simplePos x="0" y="0"/>
            <wp:positionH relativeFrom="column">
              <wp:posOffset>1526540</wp:posOffset>
            </wp:positionH>
            <wp:positionV relativeFrom="paragraph">
              <wp:posOffset>201295</wp:posOffset>
            </wp:positionV>
            <wp:extent cx="635" cy="635"/>
            <wp:effectExtent l="0" t="0" r="0" b="0"/>
            <wp:wrapNone/>
            <wp:docPr id="8" name="Ink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k 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00" cy="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4"/>
          <w:lang w:val="en-US"/>
        </w:rPr>
        <w:t xml:space="preserve">The concentration of the GNR was estimated from the UV-visible spectra of the GNR using a technique derived from a previous study. The extinction coefficient value of GNR was obtained through the </w:t>
      </w:r>
      <w:r w:rsidR="005B006A">
        <w:rPr>
          <w:rFonts w:ascii="Arial" w:hAnsi="Arial" w:cs="Arial"/>
          <w:szCs w:val="24"/>
          <w:lang w:val="en-US"/>
        </w:rPr>
        <w:t>equation:</w:t>
      </w:r>
      <w:r>
        <w:rPr>
          <w:rFonts w:ascii="Arial" w:hAnsi="Arial" w:cs="Arial"/>
          <w:szCs w:val="24"/>
          <w:lang w:val="en-US"/>
        </w:rPr>
        <w:t xml:space="preserve"> </w:t>
      </w:r>
    </w:p>
    <w:p w14:paraId="32B83286" w14:textId="77777777" w:rsidR="001B6C26" w:rsidRDefault="00485DC6">
      <w:pPr>
        <w:autoSpaceDE w:val="0"/>
        <w:autoSpaceDN w:val="0"/>
        <w:adjustRightInd w:val="0"/>
        <w:spacing w:line="480" w:lineRule="auto"/>
        <w:rPr>
          <w:rFonts w:ascii="Arial" w:hAnsi="Arial" w:cs="Arial"/>
          <w:szCs w:val="24"/>
          <w:lang w:val="en-US"/>
        </w:rPr>
      </w:pPr>
      <m:oMath>
        <m:r>
          <w:rPr>
            <w:rFonts w:ascii="Cambria Math" w:hAnsi="Cambria Math" w:cs="Arial"/>
            <w:szCs w:val="24"/>
            <w:lang w:val="en-US"/>
          </w:rPr>
          <m:t>y=1.23×</m:t>
        </m:r>
        <m:sSup>
          <m:sSupPr>
            <m:ctrlPr>
              <w:rPr>
                <w:rFonts w:ascii="Cambria Math" w:hAnsi="Cambria Math" w:cs="Arial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szCs w:val="24"/>
                <w:lang w:val="en-US"/>
              </w:rPr>
              <m:t>10</m:t>
            </m:r>
          </m:e>
          <m:sup>
            <m:r>
              <w:rPr>
                <w:rFonts w:ascii="Cambria Math" w:hAnsi="Cambria Math" w:cs="Arial"/>
                <w:szCs w:val="24"/>
                <w:lang w:val="en-US"/>
              </w:rPr>
              <m:t>7</m:t>
            </m:r>
          </m:sup>
        </m:sSup>
        <m:r>
          <w:rPr>
            <w:rFonts w:ascii="Cambria Math" w:hAnsi="Cambria Math" w:cs="Arial"/>
            <w:szCs w:val="24"/>
            <w:lang w:val="en-US"/>
          </w:rPr>
          <m:t>x-5.02×</m:t>
        </m:r>
        <m:sSup>
          <m:sSupPr>
            <m:ctrlPr>
              <w:rPr>
                <w:rFonts w:ascii="Cambria Math" w:hAnsi="Cambria Math" w:cs="Arial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szCs w:val="24"/>
                <w:lang w:val="en-US"/>
              </w:rPr>
              <m:t>10</m:t>
            </m:r>
          </m:e>
          <m:sup>
            <m:r>
              <w:rPr>
                <w:rFonts w:ascii="Cambria Math" w:hAnsi="Cambria Math" w:cs="Arial"/>
                <w:szCs w:val="24"/>
                <w:lang w:val="en-US"/>
              </w:rPr>
              <m:t>9</m:t>
            </m:r>
          </m:sup>
        </m:sSup>
      </m:oMath>
      <w:r>
        <w:rPr>
          <w:rFonts w:ascii="Arial" w:hAnsi="Arial" w:cs="Arial"/>
          <w:szCs w:val="24"/>
          <w:lang w:val="en-US"/>
        </w:rPr>
        <w:t>,</w:t>
      </w:r>
    </w:p>
    <w:p w14:paraId="4D5B44D1" w14:textId="77777777" w:rsidR="001B6C26" w:rsidRDefault="00485DC6">
      <w:pPr>
        <w:autoSpaceDE w:val="0"/>
        <w:autoSpaceDN w:val="0"/>
        <w:adjustRightInd w:val="0"/>
        <w:spacing w:line="480" w:lineRule="auto"/>
        <w:rPr>
          <w:rStyle w:val="CommentReference"/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 where x is the wavelength in the UV-visible spectra, and y is the extinction coefficient. Thus, the concentration</w:t>
      </w:r>
      <w:r>
        <w:rPr>
          <w:rFonts w:ascii="Arial" w:hAnsi="Arial" w:cs="Arial"/>
          <w:szCs w:val="24"/>
          <w:lang w:val="en-US"/>
        </w:rPr>
        <w:fldChar w:fldCharType="begin"/>
      </w:r>
      <w:r>
        <w:rPr>
          <w:rFonts w:ascii="Arial" w:hAnsi="Arial" w:cs="Arial"/>
          <w:szCs w:val="24"/>
          <w:lang w:val="en-US"/>
        </w:rPr>
        <w:instrText xml:space="preserve"> ADDIN EN.CITE &lt;EndNote&gt;&lt;Cite&gt;&lt;Author&gt;Selvaraj&lt;/Author&gt;&lt;Year&gt;2019&lt;/Year&gt;&lt;RecNum&gt;280&lt;/RecNum&gt;&lt;DisplayText&gt;&lt;style face="superscript"&gt;1&lt;/style&gt;&lt;/DisplayText&gt;&lt;record&gt;&lt;rec-number&gt;280&lt;/rec-number&gt;&lt;foreign-keys&gt;&lt;key app="EN" db-id="z0wttp2waspd51e0sf7xdfw4x2z5pdaaatdt" timestamp="1693498599"&gt;280&lt;/key&gt;&lt;/foreign-keys&gt;&lt;ref-type name="Journal Article"&gt;17&lt;/ref-type&gt;&lt;contributors&gt;&lt;authors&gt;&lt;author&gt;Selvaraj, Anthonymuthu&lt;/author&gt;&lt;author&gt;Jayasree, Thangaraj&lt;/author&gt;&lt;author&gt;Valliammai, Alaguvel&lt;/author&gt;&lt;author&gt;Pandian, Shunmugiah Karutha&lt;/author&gt;&lt;/authors&gt;&lt;/contributors&gt;&lt;titles&gt;&lt;title&gt;Myrtenol attenuates MRSA biofilm and virulence by suppressing sarA expression dynamism&lt;/title&gt;&lt;secondary-title&gt;Frontiers in microbiology&lt;/secondary-title&gt;&lt;/titles&gt;&lt;periodical&gt;&lt;full-title&gt;Frontiers in microbiology&lt;/full-title&gt;&lt;/periodical&gt;&lt;pages&gt;2027&lt;/pages&gt;&lt;volume&gt;10&lt;/volume&gt;&lt;dates&gt;&lt;year&gt;2019&lt;/year&gt;&lt;/dates&gt;&lt;isbn&gt;1664-302X&lt;/isbn&gt;&lt;urls&gt;&lt;/urls&gt;&lt;/record&gt;&lt;/Cite&gt;&lt;/EndNote&gt;</w:instrText>
      </w:r>
      <w:r>
        <w:rPr>
          <w:rFonts w:ascii="Arial" w:hAnsi="Arial" w:cs="Arial"/>
          <w:szCs w:val="24"/>
          <w:lang w:val="en-US"/>
        </w:rPr>
        <w:fldChar w:fldCharType="separate"/>
      </w:r>
      <w:r>
        <w:rPr>
          <w:rFonts w:ascii="Arial" w:hAnsi="Arial" w:cs="Arial"/>
          <w:szCs w:val="24"/>
          <w:vertAlign w:val="superscript"/>
          <w:lang w:val="en-US"/>
        </w:rPr>
        <w:t>1</w:t>
      </w:r>
      <w:r>
        <w:rPr>
          <w:rFonts w:ascii="Arial" w:hAnsi="Arial" w:cs="Arial"/>
          <w:szCs w:val="24"/>
          <w:lang w:val="en-US"/>
        </w:rPr>
        <w:fldChar w:fldCharType="end"/>
      </w:r>
      <w:r>
        <w:rPr>
          <w:rFonts w:ascii="Arial" w:hAnsi="Arial" w:cs="Arial"/>
          <w:szCs w:val="24"/>
          <w:lang w:val="en-US"/>
        </w:rPr>
        <w:t xml:space="preserve"> of GNR was calculated based on the equation: </w:t>
      </w:r>
      <w:proofErr w:type="spellStart"/>
      <w:r>
        <w:rPr>
          <w:rFonts w:ascii="Arial" w:hAnsi="Arial" w:cs="Arial"/>
          <w:szCs w:val="24"/>
          <w:lang w:val="en-US"/>
        </w:rPr>
        <w:t>nM</w:t>
      </w:r>
      <w:proofErr w:type="spellEnd"/>
      <m:oMath>
        <m:r>
          <w:rPr>
            <w:rFonts w:ascii="Cambria Math" w:hAnsi="Cambria Math" w:cs="Arial"/>
            <w:szCs w:val="24"/>
            <w:lang w:val="en-US"/>
          </w:rPr>
          <m:t>=</m:t>
        </m:r>
        <m:f>
          <m:fPr>
            <m:type m:val="lin"/>
            <m:ctrlPr>
              <w:rPr>
                <w:rFonts w:ascii="Cambria Math" w:hAnsi="Cambria Math" w:cs="Arial"/>
                <w:i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Cs w:val="24"/>
                <w:lang w:val="en-US"/>
              </w:rPr>
              <m:t>Abs</m:t>
            </m:r>
          </m:num>
          <m:den>
            <m:r>
              <w:rPr>
                <w:rFonts w:ascii="Cambria Math" w:hAnsi="Cambria Math" w:cs="Arial"/>
                <w:szCs w:val="24"/>
                <w:lang w:val="en-US"/>
              </w:rPr>
              <m:t>y</m:t>
            </m:r>
          </m:den>
        </m:f>
      </m:oMath>
      <w:r>
        <w:rPr>
          <w:rFonts w:ascii="Arial" w:hAnsi="Arial" w:cs="Arial"/>
          <w:szCs w:val="24"/>
          <w:lang w:val="en-US"/>
        </w:rPr>
        <w:t>, where absorbance value</w:t>
      </w:r>
      <w:r>
        <w:rPr>
          <w:rFonts w:ascii="Arial" w:hAnsi="Arial" w:cs="Arial"/>
          <w:szCs w:val="24"/>
          <w:lang w:val="en-US"/>
        </w:rPr>
        <w:fldChar w:fldCharType="begin"/>
      </w:r>
      <w:r>
        <w:rPr>
          <w:rFonts w:ascii="Arial" w:hAnsi="Arial" w:cs="Arial"/>
          <w:szCs w:val="24"/>
          <w:lang w:val="en-US"/>
        </w:rPr>
        <w:instrText xml:space="preserve"> ADDIN EN.CITE &lt;EndNote&gt;&lt;Cite&gt;&lt;Author&gt;Nikoobakht&lt;/Author&gt;&lt;Year&gt;2003&lt;/Year&gt;&lt;RecNum&gt;281&lt;/RecNum&gt;&lt;DisplayText&gt;&lt;style face="superscript"&gt;2&lt;/style&gt;&lt;/DisplayText&gt;&lt;record&gt;&lt;rec-number&gt;281&lt;/rec-number&gt;&lt;foreign-keys&gt;&lt;key app="EN" db-id="z0wttp2waspd51e0sf7xdfw4x2z5pdaaatdt" timestamp="1693499385"&gt;281&lt;/key&gt;&lt;/foreign-keys&gt;&lt;ref-type name="Journal Article"&gt;17&lt;/ref-type&gt;&lt;contributors&gt;&lt;authors&gt;&lt;author&gt;Nikoobakht, Babak&lt;/author&gt;&lt;author&gt;El-Sayed, Mostafa A&lt;/author&gt;&lt;/authors&gt;&lt;/contributors&gt;&lt;titles&gt;&lt;title&gt;Preparation and growth mechanism of gold nanorods (NRs) using seed-mediated growth method&lt;/title&gt;&lt;secondary-title&gt;Chemistry of Materials&lt;/secondary-title&gt;&lt;/titles&gt;&lt;periodical&gt;&lt;full-title&gt;Chemistry of Materials&lt;/full-title&gt;&lt;/periodical&gt;&lt;pages&gt;1957-1962&lt;/pages&gt;&lt;volume&gt;15&lt;/volume&gt;&lt;number&gt;10&lt;/number&gt;&lt;dates&gt;&lt;year&gt;2003&lt;/year&gt;&lt;/dates&gt;&lt;isbn&gt;0897-4756&lt;/isbn&gt;&lt;urls&gt;&lt;/urls&gt;&lt;/record&gt;&lt;/Cite&gt;&lt;/EndNote&gt;</w:instrText>
      </w:r>
      <w:r>
        <w:rPr>
          <w:rFonts w:ascii="Arial" w:hAnsi="Arial" w:cs="Arial"/>
          <w:szCs w:val="24"/>
          <w:lang w:val="en-US"/>
        </w:rPr>
        <w:fldChar w:fldCharType="separate"/>
      </w:r>
      <w:r>
        <w:rPr>
          <w:rFonts w:ascii="Arial" w:hAnsi="Arial" w:cs="Arial"/>
          <w:szCs w:val="24"/>
          <w:vertAlign w:val="superscript"/>
          <w:lang w:val="en-US"/>
        </w:rPr>
        <w:t>2</w:t>
      </w:r>
      <w:r>
        <w:rPr>
          <w:rFonts w:ascii="Arial" w:hAnsi="Arial" w:cs="Arial"/>
          <w:szCs w:val="24"/>
          <w:lang w:val="en-US"/>
        </w:rPr>
        <w:fldChar w:fldCharType="end"/>
      </w:r>
      <w:r>
        <w:rPr>
          <w:rFonts w:ascii="Arial" w:hAnsi="Arial" w:cs="Arial"/>
          <w:szCs w:val="24"/>
          <w:lang w:val="en-US"/>
        </w:rPr>
        <w:t xml:space="preserve"> was obtained from the UV-visible spectrophotometer, and y is the extinction coefficient.</w:t>
      </w:r>
      <w:r>
        <w:rPr>
          <w:rFonts w:ascii="Arial" w:hAnsi="Arial" w:cs="Arial"/>
          <w:szCs w:val="24"/>
          <w:lang w:val="en-US"/>
        </w:rPr>
        <w:fldChar w:fldCharType="begin"/>
      </w:r>
      <w:r>
        <w:rPr>
          <w:rFonts w:ascii="Arial" w:hAnsi="Arial" w:cs="Arial"/>
          <w:szCs w:val="24"/>
          <w:lang w:val="en-US"/>
        </w:rPr>
        <w:instrText xml:space="preserve"> ADDIN EN.CITE &lt;EndNote&gt;&lt;Cite&gt;&lt;Author&gt;Orendorff&lt;/Author&gt;&lt;Year&gt;2006&lt;/Year&gt;&lt;RecNum&gt;282&lt;/RecNum&gt;&lt;DisplayText&gt;&lt;style face="superscript"&gt;3&lt;/style&gt;&lt;/DisplayText&gt;&lt;record&gt;&lt;rec-number&gt;282&lt;/rec-number&gt;&lt;foreign-keys&gt;&lt;key app="EN" db-id="z0wttp2waspd51e0sf7xdfw4x2z5pdaaatdt" timestamp="1693499489"&gt;282&lt;/key&gt;&lt;/foreign-keys&gt;&lt;ref-type name="Journal Article"&gt;17&lt;/ref-type&gt;&lt;contributors&gt;&lt;authors&gt;&lt;author&gt;Orendorff, Christopher J&lt;/author&gt;&lt;author&gt;Murphy, Catherine J&lt;/author&gt;&lt;/authors&gt;&lt;/contributors&gt;&lt;titles&gt;&lt;title&gt;Quantitation of metal content in the silver-assisted growth of gold nanorods&lt;/title&gt;&lt;secondary-title&gt;The Journal of Physical Chemistry B&lt;/secondary-title&gt;&lt;/titles&gt;&lt;periodical&gt;&lt;full-title&gt;The Journal of Physical Chemistry B&lt;/full-title&gt;&lt;/periodical&gt;&lt;pages&gt;3990-3994&lt;/pages&gt;&lt;volume&gt;110&lt;/volume&gt;&lt;number&gt;9&lt;/number&gt;&lt;dates&gt;&lt;year&gt;2006&lt;/year&gt;&lt;/dates&gt;&lt;isbn&gt;1520-6106&lt;/isbn&gt;&lt;urls&gt;&lt;/urls&gt;&lt;/record&gt;&lt;/Cite&gt;&lt;/EndNote&gt;</w:instrText>
      </w:r>
      <w:r>
        <w:rPr>
          <w:rFonts w:ascii="Arial" w:hAnsi="Arial" w:cs="Arial"/>
          <w:szCs w:val="24"/>
          <w:lang w:val="en-US"/>
        </w:rPr>
        <w:fldChar w:fldCharType="separate"/>
      </w:r>
      <w:r>
        <w:rPr>
          <w:rFonts w:ascii="Arial" w:hAnsi="Arial" w:cs="Arial"/>
          <w:szCs w:val="24"/>
          <w:vertAlign w:val="superscript"/>
          <w:lang w:val="en-US"/>
        </w:rPr>
        <w:t>3</w:t>
      </w:r>
      <w:r>
        <w:rPr>
          <w:rFonts w:ascii="Arial" w:hAnsi="Arial" w:cs="Arial"/>
          <w:szCs w:val="24"/>
          <w:lang w:val="en-US"/>
        </w:rPr>
        <w:fldChar w:fldCharType="end"/>
      </w:r>
    </w:p>
    <w:p w14:paraId="42A3916B" w14:textId="77777777" w:rsidR="001B6C26" w:rsidRDefault="001B6C26">
      <w:pPr>
        <w:spacing w:line="480" w:lineRule="auto"/>
        <w:rPr>
          <w:rStyle w:val="CommentReference"/>
          <w:rFonts w:ascii="Arial" w:hAnsi="Arial" w:cs="Arial"/>
          <w:b/>
          <w:bCs/>
          <w:sz w:val="24"/>
          <w:szCs w:val="24"/>
          <w:lang w:val="en-US"/>
        </w:rPr>
      </w:pPr>
    </w:p>
    <w:p w14:paraId="180E8140" w14:textId="77777777" w:rsidR="001B6C26" w:rsidRDefault="00485DC6">
      <w:pPr>
        <w:spacing w:line="480" w:lineRule="auto"/>
        <w:rPr>
          <w:rStyle w:val="CommentReference"/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CommentReference"/>
          <w:rFonts w:ascii="Arial" w:hAnsi="Arial" w:cs="Arial"/>
          <w:b/>
          <w:bCs/>
          <w:sz w:val="24"/>
          <w:szCs w:val="24"/>
          <w:lang w:val="en-US"/>
        </w:rPr>
        <w:t>B. Effects of PDADMAC on bacterial biofilms</w:t>
      </w:r>
    </w:p>
    <w:p w14:paraId="7F8143BF" w14:textId="77777777" w:rsidR="001B6C26" w:rsidRDefault="00485DC6">
      <w:pPr>
        <w:spacing w:line="480" w:lineRule="auto"/>
        <w:ind w:firstLine="720"/>
        <w:rPr>
          <w:rStyle w:val="CommentReference"/>
          <w:rFonts w:ascii="Arial" w:hAnsi="Arial" w:cs="Arial"/>
          <w:sz w:val="24"/>
          <w:szCs w:val="24"/>
          <w:lang w:val="en-US"/>
        </w:rPr>
      </w:pPr>
      <w:r>
        <w:rPr>
          <w:rStyle w:val="CommentReference"/>
          <w:rFonts w:ascii="Arial" w:hAnsi="Arial" w:cs="Arial"/>
          <w:sz w:val="24"/>
          <w:szCs w:val="24"/>
          <w:lang w:val="en-US"/>
        </w:rPr>
        <w:t>Graph of PDADMAC solution alone without the combination of GNR doesn’t show significant biofilm eradication but poses below 35% of eradication even at a high concentration of 5 mg/</w:t>
      </w:r>
      <w:proofErr w:type="spellStart"/>
      <w:r>
        <w:rPr>
          <w:rStyle w:val="CommentReference"/>
          <w:rFonts w:ascii="Arial" w:hAnsi="Arial" w:cs="Arial"/>
          <w:sz w:val="24"/>
          <w:szCs w:val="24"/>
          <w:lang w:val="en-US"/>
        </w:rPr>
        <w:t>mL.</w:t>
      </w:r>
      <w:proofErr w:type="spellEnd"/>
      <w:r>
        <w:rPr>
          <w:rStyle w:val="CommentReference"/>
          <w:rFonts w:ascii="Arial" w:hAnsi="Arial" w:cs="Arial"/>
          <w:sz w:val="24"/>
          <w:szCs w:val="24"/>
          <w:lang w:val="en-US"/>
        </w:rPr>
        <w:t xml:space="preserve"> </w:t>
      </w:r>
    </w:p>
    <w:p w14:paraId="1D10EBE0" w14:textId="77777777" w:rsidR="001B6C26" w:rsidRDefault="00485DC6">
      <w:pPr>
        <w:spacing w:line="480" w:lineRule="auto"/>
        <w:jc w:val="center"/>
        <w:rPr>
          <w:rFonts w:ascii="Arial" w:hAnsi="Arial" w:cs="Arial"/>
          <w:szCs w:val="24"/>
          <w:lang w:val="en-US"/>
        </w:rPr>
      </w:pPr>
      <w:r>
        <w:rPr>
          <w:noProof/>
        </w:rPr>
        <w:drawing>
          <wp:inline distT="0" distB="0" distL="114300" distR="114300" wp14:anchorId="34DC253F" wp14:editId="7C8DAB17">
            <wp:extent cx="3986530" cy="2770505"/>
            <wp:effectExtent l="0" t="0" r="6350" b="3175"/>
            <wp:docPr id="5" name="Picture 5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Figure S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86530" cy="277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5C306" w14:textId="77777777" w:rsidR="001B6C26" w:rsidRDefault="00485DC6">
      <w:pPr>
        <w:spacing w:line="480" w:lineRule="auto"/>
        <w:rPr>
          <w:rFonts w:ascii="Arial" w:hAnsi="Arial" w:cs="Arial"/>
          <w:szCs w:val="24"/>
          <w:lang w:val="en-US" w:eastAsia="zh-CN"/>
        </w:rPr>
      </w:pPr>
      <w:r>
        <w:rPr>
          <w:rFonts w:ascii="Arial" w:hAnsi="Arial" w:cs="Arial"/>
          <w:b/>
          <w:bCs/>
          <w:szCs w:val="24"/>
          <w:lang w:val="en-US"/>
        </w:rPr>
        <w:lastRenderedPageBreak/>
        <w:t>Figure S1.</w:t>
      </w:r>
      <w:r>
        <w:rPr>
          <w:rFonts w:ascii="Arial" w:hAnsi="Arial" w:cs="Arial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szCs w:val="24"/>
          <w:lang w:val="en-US"/>
        </w:rPr>
        <w:t>P</w:t>
      </w:r>
      <w:proofErr w:type="spellStart"/>
      <w:r>
        <w:rPr>
          <w:rFonts w:ascii="Arial" w:hAnsi="Arial" w:cs="Arial"/>
          <w:szCs w:val="24"/>
        </w:rPr>
        <w:t>oly</w:t>
      </w:r>
      <w:proofErr w:type="spellEnd"/>
      <w:r>
        <w:rPr>
          <w:rFonts w:ascii="Arial" w:hAnsi="Arial" w:cs="Arial"/>
          <w:szCs w:val="24"/>
        </w:rPr>
        <w:t>(</w:t>
      </w:r>
      <w:proofErr w:type="spellStart"/>
      <w:proofErr w:type="gramEnd"/>
      <w:r>
        <w:rPr>
          <w:rFonts w:ascii="Arial" w:hAnsi="Arial" w:cs="Arial"/>
          <w:szCs w:val="24"/>
        </w:rPr>
        <w:t>diallyldimethylammonium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r>
        <w:rPr>
          <w:rFonts w:ascii="Arial" w:hAnsi="Arial" w:cs="Arial"/>
          <w:szCs w:val="24"/>
        </w:rPr>
        <w:t>chloride</w:t>
      </w:r>
      <w:r>
        <w:rPr>
          <w:rFonts w:ascii="Arial" w:hAnsi="Arial" w:cs="Arial"/>
          <w:szCs w:val="24"/>
          <w:lang w:val="en-US"/>
        </w:rPr>
        <w:t>) (PDADMAC) at working concentrations (5 mg/mL) did not cause a significant biofilm eradication after 24 hours of incubation, suggesting the PDADMAC/alginate-coated gold nanorods (GNR/</w:t>
      </w:r>
      <w:proofErr w:type="spellStart"/>
      <w:r>
        <w:rPr>
          <w:rFonts w:ascii="Arial" w:hAnsi="Arial" w:cs="Arial"/>
          <w:szCs w:val="24"/>
          <w:lang w:val="en-US"/>
        </w:rPr>
        <w:t>Alg</w:t>
      </w:r>
      <w:proofErr w:type="spellEnd"/>
      <w:r>
        <w:rPr>
          <w:rFonts w:ascii="Arial" w:hAnsi="Arial" w:cs="Arial"/>
          <w:szCs w:val="24"/>
          <w:lang w:val="en-US"/>
        </w:rPr>
        <w:t xml:space="preserve">/PDADMAC)’s ability in biofilm eradication was not due to PDADMAC solely. Data are represented as mean </w:t>
      </w:r>
      <w:r>
        <w:rPr>
          <w:rFonts w:ascii="Arial" w:hAnsi="Arial" w:cs="Arial"/>
          <w:szCs w:val="24"/>
          <w:lang w:val="en-US" w:eastAsia="zh-CN"/>
        </w:rPr>
        <w:t>± SD (n = 3).</w:t>
      </w:r>
    </w:p>
    <w:p w14:paraId="02877E12" w14:textId="77777777" w:rsidR="001B6C26" w:rsidRDefault="001B6C26">
      <w:pPr>
        <w:spacing w:line="480" w:lineRule="auto"/>
        <w:rPr>
          <w:rFonts w:ascii="Arial" w:hAnsi="Arial" w:cs="Arial"/>
          <w:b/>
          <w:bCs/>
          <w:szCs w:val="24"/>
          <w:lang w:val="en-US"/>
        </w:rPr>
      </w:pPr>
    </w:p>
    <w:p w14:paraId="22FC378E" w14:textId="77777777" w:rsidR="001B6C26" w:rsidRDefault="00485DC6">
      <w:pPr>
        <w:spacing w:line="480" w:lineRule="auto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>C. Calculation of the percentage of biofilm eradication</w:t>
      </w:r>
    </w:p>
    <w:p w14:paraId="40EC1336" w14:textId="77777777" w:rsidR="001B6C26" w:rsidRDefault="00485DC6">
      <w:pPr>
        <w:spacing w:line="480" w:lineRule="auto"/>
        <w:ind w:firstLine="7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The percentage of biofilm eradication was calculated using the formula:</w:t>
      </w:r>
    </w:p>
    <w:p w14:paraId="3BA9DA2E" w14:textId="77777777" w:rsidR="001B6C26" w:rsidRDefault="00485DC6">
      <w:pPr>
        <w:spacing w:line="480" w:lineRule="auto"/>
        <w:ind w:firstLine="7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E97CF3" wp14:editId="556B702F">
                <wp:simplePos x="0" y="0"/>
                <wp:positionH relativeFrom="column">
                  <wp:posOffset>26670</wp:posOffset>
                </wp:positionH>
                <wp:positionV relativeFrom="paragraph">
                  <wp:posOffset>15875</wp:posOffset>
                </wp:positionV>
                <wp:extent cx="5253355" cy="1826895"/>
                <wp:effectExtent l="4445" t="4445" r="15240" b="12700"/>
                <wp:wrapTopAndBottom/>
                <wp:docPr id="1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3355" cy="1826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872B5" w14:textId="77777777" w:rsidR="001B6C26" w:rsidRDefault="00485DC6">
                            <w:pPr>
                              <w:pStyle w:val="NormalWeb"/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</w:rPr>
                              <w:t xml:space="preserve">1. Absorbance value - Average sterility control absorbance value = </w:t>
                            </w:r>
                            <w:r>
                              <w:rPr>
                                <w:rFonts w:ascii="Arial" w:hAnsi="Arial" w:cs="Arial"/>
                                <w:b/>
                                <w:kern w:val="24"/>
                                <w:sz w:val="22"/>
                                <w:szCs w:val="22"/>
                              </w:rPr>
                              <w:t>Normalised absorbance value</w:t>
                            </w:r>
                            <w:r>
                              <w:rPr>
                                <w:rFonts w:ascii="Arial" w:hAnsi="Arial" w:cs="Arial"/>
                                <w:b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2A45482C" w14:textId="77777777" w:rsidR="001B6C26" w:rsidRDefault="00485DC6">
                            <w:pPr>
                              <w:pStyle w:val="NormalWeb"/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</w:rPr>
                              <w:t xml:space="preserve">2. 100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  <w:sz w:val="22"/>
                                  <w:lang w:val="en-US"/>
                                </w:rPr>
                                <m:t>×</m:t>
                              </m:r>
                            </m:oMath>
                            <w:r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</w:rPr>
                              <w:t xml:space="preserve"> (1-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n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</w:rPr>
                              <w:t>ormalised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</w:rPr>
                              <w:t xml:space="preserve"> absorbance value/Average growth control absorbance value) = </w:t>
                            </w:r>
                            <w:r>
                              <w:rPr>
                                <w:rFonts w:ascii="Arial" w:hAnsi="Arial" w:cs="Arial"/>
                                <w:b/>
                                <w:kern w:val="24"/>
                                <w:sz w:val="22"/>
                                <w:szCs w:val="22"/>
                              </w:rPr>
                              <w:t>% Biofilm Eradication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3EEE7F39" w14:textId="77777777" w:rsidR="001B6C26" w:rsidRDefault="00485DC6">
                            <w:pPr>
                              <w:pStyle w:val="NormalWeb"/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</w:rPr>
                              <w:t xml:space="preserve">3. Plot </w:t>
                            </w:r>
                            <w:r>
                              <w:rPr>
                                <w:rFonts w:ascii="Arial" w:hAnsi="Arial" w:cs="Arial"/>
                                <w:b/>
                                <w:kern w:val="24"/>
                                <w:sz w:val="22"/>
                                <w:szCs w:val="22"/>
                              </w:rPr>
                              <w:t>concentration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</w:rPr>
                              <w:t xml:space="preserve"> (x- axis) against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kern w:val="24"/>
                                <w:sz w:val="22"/>
                                <w:szCs w:val="22"/>
                              </w:rPr>
                              <w:t>average value of biofilm eradication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</w:rPr>
                              <w:t xml:space="preserve"> (y-axis) + standard deviation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5E93933C" w14:textId="77777777" w:rsidR="001B6C26" w:rsidRDefault="001B6C26">
                            <w:pPr>
                              <w:pStyle w:val="NormalWeb"/>
                              <w:jc w:val="left"/>
                            </w:pPr>
                          </w:p>
                          <w:p w14:paraId="5E84435B" w14:textId="77777777" w:rsidR="001B6C26" w:rsidRDefault="00485DC6">
                            <w:pPr>
                              <w:pStyle w:val="NormalWeb"/>
                              <w:jc w:val="left"/>
                            </w:pPr>
                            <w:r>
                              <w:rPr>
                                <w:rFonts w:asciiTheme="minorHAnsi" w:hAnsiTheme="minorBidi"/>
                                <w:b/>
                                <w:i/>
                                <w:kern w:val="24"/>
                                <w:sz w:val="21"/>
                                <w:szCs w:val="21"/>
                              </w:rPr>
                              <w:t xml:space="preserve">*MBEC 50 = </w:t>
                            </w:r>
                            <w:r>
                              <w:rPr>
                                <w:rFonts w:asciiTheme="minorHAnsi" w:hAnsiTheme="minorBidi"/>
                                <w:i/>
                                <w:kern w:val="24"/>
                                <w:sz w:val="21"/>
                                <w:szCs w:val="21"/>
                              </w:rPr>
                              <w:t>Minimum biofilm eradication concentration that eradicates 50% of biofilm</w:t>
                            </w:r>
                          </w:p>
                          <w:p w14:paraId="1318DCBE" w14:textId="77777777" w:rsidR="001B6C26" w:rsidRDefault="001B6C26">
                            <w:pPr>
                              <w:pStyle w:val="NormalWeb"/>
                              <w:jc w:val="left"/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1E97CF3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2.1pt;margin-top:1.25pt;width:413.65pt;height:143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" fillcolor="white [3201]" strokecolor="black [3213]">
                <v:textbox>
                  <w:txbxContent>
                    <w:p w14:paraId="05A872B5" w14:textId="77777777" w:rsidR="001B6C26" w:rsidRDefault="00485DC6">
                      <w:pPr>
                        <w:pStyle w:val="NormalWeb"/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</w:rPr>
                        <w:t xml:space="preserve">1. Absorbance value - Average sterility control absorbance value = </w:t>
                      </w:r>
                      <w:r>
                        <w:rPr>
                          <w:rFonts w:ascii="Arial" w:hAnsi="Arial" w:cs="Arial"/>
                          <w:b/>
                          <w:kern w:val="24"/>
                          <w:sz w:val="22"/>
                          <w:szCs w:val="22"/>
                        </w:rPr>
                        <w:t>Normalised absorbance value</w:t>
                      </w:r>
                      <w:r>
                        <w:rPr>
                          <w:rFonts w:ascii="Arial" w:hAnsi="Arial" w:cs="Arial"/>
                          <w:b/>
                          <w:kern w:val="24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2A45482C" w14:textId="77777777" w:rsidR="001B6C26" w:rsidRDefault="00485DC6">
                      <w:pPr>
                        <w:pStyle w:val="NormalWeb"/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</w:rPr>
                        <w:t xml:space="preserve">2. 100 </w:t>
                      </w:r>
                      <m:oMath>
                        <m:r>
                          <w:rPr>
                            <w:rFonts w:ascii="Cambria Math" w:hAnsi="Cambria Math" w:cs="Arial"/>
                            <w:sz w:val="22"/>
                            <w:lang w:val="en-US"/>
                          </w:rPr>
                          <m:t>×</m:t>
                        </m:r>
                      </m:oMath>
                      <w:r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</w:rPr>
                        <w:t xml:space="preserve"> (1-</w:t>
                      </w:r>
                      <w:r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n-US"/>
                        </w:rPr>
                        <w:t>n</w:t>
                      </w:r>
                      <w:proofErr w:type="spellStart"/>
                      <w:r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</w:rPr>
                        <w:t>ormalised</w:t>
                      </w:r>
                      <w:proofErr w:type="spellEnd"/>
                      <w:r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</w:rPr>
                        <w:t xml:space="preserve"> absorbance value/Average growth control absorbance value) = </w:t>
                      </w:r>
                      <w:r>
                        <w:rPr>
                          <w:rFonts w:ascii="Arial" w:hAnsi="Arial" w:cs="Arial"/>
                          <w:b/>
                          <w:kern w:val="24"/>
                          <w:sz w:val="22"/>
                          <w:szCs w:val="22"/>
                        </w:rPr>
                        <w:t>% Biofilm Eradication</w:t>
                      </w:r>
                      <w:r>
                        <w:rPr>
                          <w:rFonts w:ascii="Arial" w:hAnsi="Arial" w:cs="Arial"/>
                          <w:b/>
                          <w:kern w:val="24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3EEE7F39" w14:textId="77777777" w:rsidR="001B6C26" w:rsidRDefault="00485DC6">
                      <w:pPr>
                        <w:pStyle w:val="NormalWeb"/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</w:rPr>
                        <w:t xml:space="preserve">3. Plot </w:t>
                      </w:r>
                      <w:r>
                        <w:rPr>
                          <w:rFonts w:ascii="Arial" w:hAnsi="Arial" w:cs="Arial"/>
                          <w:b/>
                          <w:kern w:val="24"/>
                          <w:sz w:val="22"/>
                          <w:szCs w:val="22"/>
                        </w:rPr>
                        <w:t>concentration</w:t>
                      </w:r>
                      <w:r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</w:rPr>
                        <w:t xml:space="preserve"> (x- axis) against </w:t>
                      </w:r>
                      <w:r>
                        <w:rPr>
                          <w:rFonts w:ascii="Arial" w:hAnsi="Arial" w:cs="Arial"/>
                          <w:b/>
                          <w:kern w:val="24"/>
                          <w:sz w:val="22"/>
                          <w:szCs w:val="22"/>
                        </w:rPr>
                        <w:t>average value of biofilm eradication</w:t>
                      </w:r>
                      <w:r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</w:rPr>
                        <w:t xml:space="preserve"> (y-axis) + standard deviation</w:t>
                      </w:r>
                      <w:r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5E93933C" w14:textId="77777777" w:rsidR="001B6C26" w:rsidRDefault="001B6C26">
                      <w:pPr>
                        <w:pStyle w:val="NormalWeb"/>
                        <w:jc w:val="left"/>
                      </w:pPr>
                    </w:p>
                    <w:p w14:paraId="5E84435B" w14:textId="77777777" w:rsidR="001B6C26" w:rsidRDefault="00485DC6">
                      <w:pPr>
                        <w:pStyle w:val="NormalWeb"/>
                        <w:jc w:val="left"/>
                      </w:pPr>
                      <w:r>
                        <w:rPr>
                          <w:rFonts w:asciiTheme="minorHAnsi" w:hAnsiTheme="minorBidi"/>
                          <w:b/>
                          <w:i/>
                          <w:kern w:val="24"/>
                          <w:sz w:val="21"/>
                          <w:szCs w:val="21"/>
                        </w:rPr>
                        <w:t xml:space="preserve">*MBEC 50 = </w:t>
                      </w:r>
                      <w:r>
                        <w:rPr>
                          <w:rFonts w:asciiTheme="minorHAnsi" w:hAnsiTheme="minorBidi"/>
                          <w:i/>
                          <w:kern w:val="24"/>
                          <w:sz w:val="21"/>
                          <w:szCs w:val="21"/>
                        </w:rPr>
                        <w:t>Minimum biofilm eradication concentration that eradicates 50% of biofilm</w:t>
                      </w:r>
                    </w:p>
                    <w:p w14:paraId="1318DCBE" w14:textId="77777777" w:rsidR="001B6C26" w:rsidRDefault="001B6C26">
                      <w:pPr>
                        <w:pStyle w:val="NormalWeb"/>
                        <w:jc w:val="lef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BD920F7" w14:textId="77777777" w:rsidR="001B6C26" w:rsidRDefault="00485DC6">
      <w:pPr>
        <w:spacing w:line="480" w:lineRule="auto"/>
        <w:jc w:val="center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noProof/>
          <w:szCs w:val="24"/>
          <w:lang w:val="en-US"/>
        </w:rPr>
        <w:drawing>
          <wp:inline distT="0" distB="0" distL="114300" distR="114300" wp14:anchorId="15BBA939" wp14:editId="5B57A3A2">
            <wp:extent cx="5265420" cy="2091690"/>
            <wp:effectExtent l="0" t="0" r="7620" b="11430"/>
            <wp:docPr id="2" name="Picture 2" descr="splmtry cv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plmtry cv 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28990" w14:textId="77777777" w:rsidR="001B6C26" w:rsidRDefault="00485DC6">
      <w:pPr>
        <w:spacing w:line="48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>Figure S2.</w:t>
      </w:r>
      <w:r>
        <w:rPr>
          <w:rFonts w:ascii="Arial" w:hAnsi="Arial" w:cs="Arial"/>
          <w:szCs w:val="24"/>
          <w:lang w:val="en-US"/>
        </w:rPr>
        <w:t xml:space="preserve"> (</w:t>
      </w:r>
      <w:r>
        <w:rPr>
          <w:rFonts w:ascii="Arial" w:hAnsi="Arial" w:cs="Arial"/>
          <w:b/>
          <w:bCs/>
          <w:szCs w:val="24"/>
          <w:lang w:val="en-US"/>
        </w:rPr>
        <w:t>A)</w:t>
      </w:r>
      <w:r>
        <w:rPr>
          <w:rFonts w:ascii="Arial" w:hAnsi="Arial" w:cs="Arial"/>
          <w:szCs w:val="24"/>
          <w:lang w:val="en-US"/>
        </w:rPr>
        <w:t xml:space="preserve"> microtiter well pictures after CV staining of untreated and GNR/</w:t>
      </w:r>
      <w:proofErr w:type="spellStart"/>
      <w:r>
        <w:rPr>
          <w:rFonts w:ascii="Arial" w:hAnsi="Arial" w:cs="Arial"/>
          <w:szCs w:val="24"/>
          <w:lang w:val="en-US"/>
        </w:rPr>
        <w:t>Alg</w:t>
      </w:r>
      <w:proofErr w:type="spellEnd"/>
      <w:r>
        <w:rPr>
          <w:rFonts w:ascii="Arial" w:hAnsi="Arial" w:cs="Arial"/>
          <w:szCs w:val="24"/>
          <w:lang w:val="en-US"/>
        </w:rPr>
        <w:t xml:space="preserve">/PDADMAC-treated biofilms of MRSA and MSSA, showing less CV stain in both MRSA and MSSA biofilms after exactly 16.5 minutes and 17 </w:t>
      </w:r>
      <w:r>
        <w:rPr>
          <w:rFonts w:ascii="Arial" w:hAnsi="Arial" w:cs="Arial"/>
          <w:szCs w:val="24"/>
          <w:lang w:val="en-US"/>
        </w:rPr>
        <w:lastRenderedPageBreak/>
        <w:t>minutes of GNR/</w:t>
      </w:r>
      <w:proofErr w:type="spellStart"/>
      <w:r>
        <w:rPr>
          <w:rFonts w:ascii="Arial" w:hAnsi="Arial" w:cs="Arial"/>
          <w:szCs w:val="24"/>
          <w:lang w:val="en-US"/>
        </w:rPr>
        <w:t>Alg</w:t>
      </w:r>
      <w:proofErr w:type="spellEnd"/>
      <w:r>
        <w:rPr>
          <w:rFonts w:ascii="Arial" w:hAnsi="Arial" w:cs="Arial"/>
          <w:szCs w:val="24"/>
          <w:lang w:val="en-US"/>
        </w:rPr>
        <w:t>/PDADMAC treatment. (</w:t>
      </w:r>
      <w:r>
        <w:rPr>
          <w:rFonts w:ascii="Arial" w:hAnsi="Arial" w:cs="Arial"/>
          <w:b/>
          <w:bCs/>
          <w:szCs w:val="24"/>
          <w:lang w:val="en-US"/>
        </w:rPr>
        <w:t>B)</w:t>
      </w:r>
      <w:r>
        <w:rPr>
          <w:rFonts w:ascii="Arial" w:hAnsi="Arial" w:cs="Arial"/>
          <w:szCs w:val="24"/>
          <w:lang w:val="en-US"/>
        </w:rPr>
        <w:t xml:space="preserve"> Microscopic picture further enhanced the ability of GNR/</w:t>
      </w:r>
      <w:proofErr w:type="spellStart"/>
      <w:r>
        <w:rPr>
          <w:rFonts w:ascii="Arial" w:hAnsi="Arial" w:cs="Arial"/>
          <w:szCs w:val="24"/>
          <w:lang w:val="en-US"/>
        </w:rPr>
        <w:t>Alg</w:t>
      </w:r>
      <w:proofErr w:type="spellEnd"/>
      <w:r>
        <w:rPr>
          <w:rFonts w:ascii="Arial" w:hAnsi="Arial" w:cs="Arial"/>
          <w:szCs w:val="24"/>
          <w:lang w:val="en-US"/>
        </w:rPr>
        <w:t xml:space="preserve">/PDADMAC at 0.15 </w:t>
      </w:r>
      <w:proofErr w:type="spellStart"/>
      <w:r>
        <w:rPr>
          <w:rFonts w:ascii="Arial" w:hAnsi="Arial" w:cs="Arial"/>
          <w:szCs w:val="24"/>
          <w:lang w:val="en-US"/>
        </w:rPr>
        <w:t>nM</w:t>
      </w:r>
      <w:proofErr w:type="spellEnd"/>
      <w:r>
        <w:rPr>
          <w:rFonts w:ascii="Arial" w:hAnsi="Arial" w:cs="Arial"/>
          <w:szCs w:val="24"/>
          <w:lang w:val="en-US"/>
        </w:rPr>
        <w:t xml:space="preserve"> to eradicate 50% (MBEC</w:t>
      </w:r>
      <w:r>
        <w:rPr>
          <w:rFonts w:ascii="Arial" w:hAnsi="Arial" w:cs="Arial"/>
          <w:szCs w:val="24"/>
          <w:vertAlign w:val="subscript"/>
          <w:lang w:val="en-US"/>
        </w:rPr>
        <w:t>50</w:t>
      </w:r>
      <w:r>
        <w:rPr>
          <w:rFonts w:ascii="Arial" w:hAnsi="Arial" w:cs="Arial"/>
          <w:szCs w:val="24"/>
          <w:lang w:val="en-US"/>
        </w:rPr>
        <w:t>) of MRSA and MSSA biofilm within 16.5 and 17 minutes, respectively. Pictures A and B manifest that the composition of both GNR/</w:t>
      </w:r>
      <w:proofErr w:type="spellStart"/>
      <w:r>
        <w:rPr>
          <w:rFonts w:ascii="Arial" w:hAnsi="Arial" w:cs="Arial"/>
          <w:szCs w:val="24"/>
          <w:lang w:val="en-US"/>
        </w:rPr>
        <w:t>Alg</w:t>
      </w:r>
      <w:proofErr w:type="spellEnd"/>
      <w:r>
        <w:rPr>
          <w:rFonts w:ascii="Arial" w:hAnsi="Arial" w:cs="Arial"/>
          <w:szCs w:val="24"/>
          <w:lang w:val="en-US"/>
        </w:rPr>
        <w:t>/PDADMAC-treated MRSA and MSSA biofilms were reduced significantly at a shorter time, 16.5 minutes and 17 minutes.</w:t>
      </w:r>
    </w:p>
    <w:p w14:paraId="0EF40706" w14:textId="77777777" w:rsidR="001B6C26" w:rsidRDefault="001B6C26">
      <w:pPr>
        <w:spacing w:line="480" w:lineRule="auto"/>
        <w:rPr>
          <w:rFonts w:ascii="Arial" w:hAnsi="Arial" w:cs="Arial"/>
          <w:szCs w:val="24"/>
          <w:lang w:val="en-US"/>
        </w:rPr>
      </w:pPr>
    </w:p>
    <w:p w14:paraId="42BE1D03" w14:textId="77777777" w:rsidR="001B6C26" w:rsidRDefault="00485DC6">
      <w:pPr>
        <w:spacing w:line="480" w:lineRule="auto"/>
        <w:rPr>
          <w:rFonts w:ascii="Arial" w:hAnsi="Arial" w:cs="Arial"/>
          <w:b/>
          <w:bCs/>
          <w:szCs w:val="24"/>
          <w:lang w:val="en-US"/>
        </w:rPr>
      </w:pPr>
      <w:bookmarkStart w:id="0" w:name="_Hlk159837824"/>
      <w:r>
        <w:rPr>
          <w:rFonts w:ascii="Arial" w:hAnsi="Arial" w:cs="Arial"/>
          <w:b/>
          <w:bCs/>
          <w:szCs w:val="24"/>
          <w:lang w:val="en-US"/>
        </w:rPr>
        <w:t>D. Effects of GNR/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Alg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t>/PDADMAC on the biofilms of Gram-negative bacteria</w:t>
      </w:r>
    </w:p>
    <w:p w14:paraId="126BDFE6" w14:textId="77777777" w:rsidR="001B6C26" w:rsidRDefault="00485DC6">
      <w:pPr>
        <w:spacing w:line="480" w:lineRule="auto"/>
        <w:rPr>
          <w:rFonts w:ascii="Arial" w:hAnsi="Arial" w:cs="Arial"/>
          <w:szCs w:val="24"/>
          <w:lang w:val="en-US"/>
        </w:rPr>
      </w:pPr>
      <w:bookmarkStart w:id="1" w:name="OLE_LINK5"/>
      <w:r>
        <w:rPr>
          <w:rFonts w:ascii="Arial" w:hAnsi="Arial" w:cs="Arial"/>
          <w:szCs w:val="24"/>
          <w:lang w:val="en-US"/>
        </w:rPr>
        <w:t xml:space="preserve">The effects of </w:t>
      </w:r>
      <w:bookmarkStart w:id="2" w:name="OLE_LINK3"/>
      <w:r>
        <w:rPr>
          <w:rFonts w:ascii="Arial" w:hAnsi="Arial" w:cs="Arial"/>
          <w:szCs w:val="24"/>
          <w:lang w:val="en-US"/>
        </w:rPr>
        <w:t>GNR/</w:t>
      </w:r>
      <w:proofErr w:type="spellStart"/>
      <w:r>
        <w:rPr>
          <w:rFonts w:ascii="Arial" w:hAnsi="Arial" w:cs="Arial"/>
          <w:szCs w:val="24"/>
          <w:lang w:val="en-US"/>
        </w:rPr>
        <w:t>Alg</w:t>
      </w:r>
      <w:proofErr w:type="spellEnd"/>
      <w:r>
        <w:rPr>
          <w:rFonts w:ascii="Arial" w:hAnsi="Arial" w:cs="Arial"/>
          <w:szCs w:val="24"/>
          <w:lang w:val="en-US"/>
        </w:rPr>
        <w:t xml:space="preserve">/PDADMAC </w:t>
      </w:r>
      <w:bookmarkEnd w:id="2"/>
      <w:r>
        <w:rPr>
          <w:rFonts w:ascii="Arial" w:hAnsi="Arial" w:cs="Arial"/>
          <w:szCs w:val="24"/>
          <w:lang w:val="en-US"/>
        </w:rPr>
        <w:t xml:space="preserve">on the biofilms of Gram-negative bacteria, i.e. </w:t>
      </w:r>
      <w:r>
        <w:rPr>
          <w:rFonts w:ascii="Arial" w:hAnsi="Arial" w:cs="Arial"/>
          <w:i/>
          <w:iCs/>
          <w:szCs w:val="24"/>
          <w:lang w:val="en-US"/>
        </w:rPr>
        <w:t>Pseudomonas aeruginosa</w:t>
      </w:r>
      <w:r>
        <w:rPr>
          <w:rFonts w:ascii="Arial" w:hAnsi="Arial" w:cs="Arial"/>
          <w:szCs w:val="24"/>
          <w:lang w:val="en-US"/>
        </w:rPr>
        <w:t xml:space="preserve">, </w:t>
      </w:r>
      <w:r>
        <w:rPr>
          <w:rFonts w:ascii="Arial" w:hAnsi="Arial" w:cs="Arial"/>
          <w:i/>
          <w:iCs/>
          <w:szCs w:val="24"/>
          <w:lang w:val="en-US"/>
        </w:rPr>
        <w:t>Escherichia coli</w:t>
      </w:r>
      <w:r>
        <w:rPr>
          <w:rFonts w:ascii="Arial" w:hAnsi="Arial" w:cs="Arial"/>
          <w:szCs w:val="24"/>
          <w:lang w:val="en-US"/>
        </w:rPr>
        <w:t xml:space="preserve">, and </w:t>
      </w:r>
      <w:r>
        <w:rPr>
          <w:rFonts w:ascii="Arial" w:hAnsi="Arial" w:cs="Arial"/>
          <w:i/>
          <w:iCs/>
          <w:szCs w:val="24"/>
          <w:lang w:val="en-US"/>
        </w:rPr>
        <w:t xml:space="preserve">Klebsiella pneumonia </w:t>
      </w:r>
      <w:r>
        <w:rPr>
          <w:rFonts w:ascii="Arial" w:hAnsi="Arial" w:cs="Arial"/>
          <w:szCs w:val="24"/>
          <w:lang w:val="en-US"/>
        </w:rPr>
        <w:t>was performed. Results revealed that GNR/</w:t>
      </w:r>
      <w:proofErr w:type="spellStart"/>
      <w:r>
        <w:rPr>
          <w:rFonts w:ascii="Arial" w:hAnsi="Arial" w:cs="Arial"/>
          <w:szCs w:val="24"/>
          <w:lang w:val="en-US"/>
        </w:rPr>
        <w:t>Alg</w:t>
      </w:r>
      <w:proofErr w:type="spellEnd"/>
      <w:r>
        <w:rPr>
          <w:rFonts w:ascii="Arial" w:hAnsi="Arial" w:cs="Arial"/>
          <w:szCs w:val="24"/>
          <w:lang w:val="en-US"/>
        </w:rPr>
        <w:t xml:space="preserve">/PDADMAC was ineffective in eradicating the biofilms of the Gram-negative bacteria at the concentration range tested (0.002 – 0.3 </w:t>
      </w:r>
      <w:proofErr w:type="spellStart"/>
      <w:r>
        <w:rPr>
          <w:rFonts w:ascii="Arial" w:hAnsi="Arial" w:cs="Arial"/>
          <w:szCs w:val="24"/>
          <w:lang w:val="en-US"/>
        </w:rPr>
        <w:t>nM</w:t>
      </w:r>
      <w:proofErr w:type="spellEnd"/>
      <w:r>
        <w:rPr>
          <w:rFonts w:ascii="Arial" w:hAnsi="Arial" w:cs="Arial"/>
          <w:szCs w:val="24"/>
          <w:lang w:val="en-US"/>
        </w:rPr>
        <w:t xml:space="preserve">) although similar concentration range was effective in eradicating Gram-positive MRSA and MSSA biofilms (Figure S3). </w:t>
      </w:r>
      <w:bookmarkEnd w:id="1"/>
      <w:r>
        <w:rPr>
          <w:rFonts w:ascii="Arial" w:hAnsi="Arial" w:cs="Arial"/>
          <w:szCs w:val="24"/>
          <w:lang w:val="en-US"/>
        </w:rPr>
        <w:t>This suggests the avenues of further improvement onto the GNR/</w:t>
      </w:r>
      <w:proofErr w:type="spellStart"/>
      <w:r>
        <w:rPr>
          <w:rFonts w:ascii="Arial" w:hAnsi="Arial" w:cs="Arial"/>
          <w:szCs w:val="24"/>
          <w:lang w:val="en-US"/>
        </w:rPr>
        <w:t>Alg</w:t>
      </w:r>
      <w:proofErr w:type="spellEnd"/>
      <w:r>
        <w:rPr>
          <w:rFonts w:ascii="Arial" w:hAnsi="Arial" w:cs="Arial"/>
          <w:szCs w:val="24"/>
          <w:lang w:val="en-US"/>
        </w:rPr>
        <w:t xml:space="preserve">/PDADMAC to expand its biofilm eradication spectrum. Meanwhile the positive control triclosan at high concentration (345 µM) showed effective eradication of Gram-Positive MRSA and MSSA biofilms as well as the biofilms of Gram-negative </w:t>
      </w:r>
      <w:r>
        <w:rPr>
          <w:rFonts w:ascii="Arial" w:hAnsi="Arial" w:cs="Arial"/>
          <w:i/>
          <w:iCs/>
          <w:szCs w:val="24"/>
          <w:lang w:val="en-US"/>
        </w:rPr>
        <w:t>Klebsiella pneumonia</w:t>
      </w:r>
      <w:r>
        <w:rPr>
          <w:rFonts w:ascii="Arial" w:hAnsi="Arial" w:cs="Arial"/>
          <w:szCs w:val="24"/>
          <w:lang w:val="en-US"/>
        </w:rPr>
        <w:t xml:space="preserve"> and </w:t>
      </w:r>
      <w:r>
        <w:rPr>
          <w:rFonts w:ascii="Arial" w:hAnsi="Arial" w:cs="Arial"/>
          <w:i/>
          <w:iCs/>
          <w:szCs w:val="24"/>
          <w:lang w:val="en-US"/>
        </w:rPr>
        <w:t>Escherichia coli</w:t>
      </w:r>
      <w:r>
        <w:rPr>
          <w:rFonts w:ascii="Arial" w:hAnsi="Arial" w:cs="Arial"/>
          <w:szCs w:val="24"/>
          <w:lang w:val="en-US"/>
        </w:rPr>
        <w:t xml:space="preserve">, but not the biofilms of </w:t>
      </w:r>
      <w:r>
        <w:rPr>
          <w:rFonts w:ascii="Arial" w:hAnsi="Arial" w:cs="Arial"/>
          <w:i/>
          <w:iCs/>
          <w:szCs w:val="24"/>
          <w:lang w:val="en-US"/>
        </w:rPr>
        <w:t xml:space="preserve">Pseudomonas aeruginosa </w:t>
      </w:r>
      <w:r>
        <w:rPr>
          <w:rFonts w:ascii="Arial" w:hAnsi="Arial" w:cs="Arial"/>
          <w:szCs w:val="24"/>
          <w:lang w:val="en-US"/>
        </w:rPr>
        <w:t>(Figure S4)</w:t>
      </w:r>
    </w:p>
    <w:p w14:paraId="4F792BEF" w14:textId="77777777" w:rsidR="001B6C26" w:rsidRDefault="001B6C26">
      <w:pPr>
        <w:spacing w:line="480" w:lineRule="auto"/>
        <w:rPr>
          <w:rFonts w:ascii="Arial" w:hAnsi="Arial" w:cs="Arial"/>
          <w:szCs w:val="24"/>
          <w:lang w:val="en-US"/>
        </w:rPr>
      </w:pPr>
    </w:p>
    <w:p w14:paraId="76973E32" w14:textId="77777777" w:rsidR="001B6C26" w:rsidRDefault="00485DC6">
      <w:pPr>
        <w:spacing w:line="480" w:lineRule="auto"/>
        <w:jc w:val="center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noProof/>
          <w:color w:val="FF0000"/>
          <w:szCs w:val="24"/>
          <w:lang w:val="en-US"/>
        </w:rPr>
        <w:lastRenderedPageBreak/>
        <w:drawing>
          <wp:inline distT="0" distB="0" distL="114300" distR="114300" wp14:anchorId="4C2D52F8" wp14:editId="01D4DB20">
            <wp:extent cx="5001260" cy="3206750"/>
            <wp:effectExtent l="0" t="0" r="12700" b="8890"/>
            <wp:docPr id="6" name="Picture 6" descr="Figure 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Figure S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1260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A0438" w14:textId="77777777" w:rsidR="001B6C26" w:rsidRDefault="00485DC6">
      <w:pPr>
        <w:spacing w:line="48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>Figure S3.</w:t>
      </w:r>
      <w:r>
        <w:rPr>
          <w:rFonts w:ascii="Arial" w:hAnsi="Arial" w:cs="Arial"/>
          <w:szCs w:val="24"/>
          <w:lang w:val="en-US"/>
        </w:rPr>
        <w:t xml:space="preserve"> PDADMAC/alginate-coated gold nanorod (GNR/</w:t>
      </w:r>
      <w:proofErr w:type="spellStart"/>
      <w:r>
        <w:rPr>
          <w:rFonts w:ascii="Arial" w:hAnsi="Arial" w:cs="Arial"/>
          <w:szCs w:val="24"/>
          <w:lang w:val="en-US"/>
        </w:rPr>
        <w:t>Alg</w:t>
      </w:r>
      <w:proofErr w:type="spellEnd"/>
      <w:r>
        <w:rPr>
          <w:rFonts w:ascii="Arial" w:hAnsi="Arial" w:cs="Arial"/>
          <w:szCs w:val="24"/>
          <w:lang w:val="en-US"/>
        </w:rPr>
        <w:t xml:space="preserve">/PDADMAC) showing inefficient </w:t>
      </w:r>
      <w:r>
        <w:rPr>
          <w:rFonts w:ascii="Arial" w:hAnsi="Arial" w:cs="Arial"/>
          <w:i/>
          <w:iCs/>
          <w:szCs w:val="24"/>
          <w:lang w:val="en-US"/>
        </w:rPr>
        <w:t>Klebsiella pneumonia</w:t>
      </w:r>
      <w:r>
        <w:rPr>
          <w:rFonts w:ascii="Arial" w:hAnsi="Arial" w:cs="Arial"/>
          <w:szCs w:val="24"/>
          <w:lang w:val="en-US"/>
        </w:rPr>
        <w:t xml:space="preserve">, </w:t>
      </w:r>
      <w:r>
        <w:rPr>
          <w:rFonts w:ascii="Arial" w:hAnsi="Arial" w:cs="Arial"/>
          <w:i/>
          <w:iCs/>
          <w:szCs w:val="24"/>
          <w:lang w:val="en-US"/>
        </w:rPr>
        <w:t>Pseudomonas aeruginosa</w:t>
      </w:r>
      <w:r>
        <w:rPr>
          <w:rFonts w:ascii="Arial" w:hAnsi="Arial" w:cs="Arial"/>
          <w:szCs w:val="24"/>
          <w:lang w:val="en-US"/>
        </w:rPr>
        <w:t xml:space="preserve"> and </w:t>
      </w:r>
      <w:r>
        <w:rPr>
          <w:rFonts w:ascii="Arial" w:hAnsi="Arial" w:cs="Arial"/>
          <w:i/>
          <w:iCs/>
          <w:szCs w:val="24"/>
          <w:lang w:val="en-US"/>
        </w:rPr>
        <w:t>Escherichia coli</w:t>
      </w:r>
      <w:r>
        <w:rPr>
          <w:rFonts w:ascii="Arial" w:hAnsi="Arial" w:cs="Arial"/>
          <w:szCs w:val="24"/>
          <w:lang w:val="en-US"/>
        </w:rPr>
        <w:t xml:space="preserve"> biofilm eradication but effectively remove Gram-positive bacteria (MRSA and MSSA) at increasing concentration. Data are represented as mean ± SD (n = 3).</w:t>
      </w:r>
    </w:p>
    <w:p w14:paraId="03C09C28" w14:textId="77777777" w:rsidR="001B6C26" w:rsidRDefault="001B6C26">
      <w:pPr>
        <w:spacing w:line="480" w:lineRule="auto"/>
        <w:rPr>
          <w:rFonts w:ascii="Arial" w:hAnsi="Arial" w:cs="Arial"/>
          <w:szCs w:val="24"/>
          <w:lang w:val="en-US"/>
        </w:rPr>
      </w:pPr>
    </w:p>
    <w:p w14:paraId="0F336CC5" w14:textId="77777777" w:rsidR="001B6C26" w:rsidRDefault="001B6C26">
      <w:pPr>
        <w:spacing w:line="480" w:lineRule="auto"/>
        <w:rPr>
          <w:rFonts w:ascii="Arial" w:hAnsi="Arial" w:cs="Arial"/>
          <w:szCs w:val="24"/>
          <w:lang w:val="en-US"/>
        </w:rPr>
      </w:pPr>
    </w:p>
    <w:p w14:paraId="42E08AEC" w14:textId="77777777" w:rsidR="001B6C26" w:rsidRDefault="00485DC6">
      <w:pPr>
        <w:spacing w:line="480" w:lineRule="auto"/>
        <w:jc w:val="center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noProof/>
          <w:color w:val="FF0000"/>
          <w:szCs w:val="24"/>
          <w:lang w:val="en-US"/>
        </w:rPr>
        <w:lastRenderedPageBreak/>
        <w:drawing>
          <wp:inline distT="0" distB="0" distL="114300" distR="114300" wp14:anchorId="5DE704BC" wp14:editId="02AD7D4A">
            <wp:extent cx="5107305" cy="3094355"/>
            <wp:effectExtent l="0" t="0" r="13335" b="14605"/>
            <wp:docPr id="7" name="Picture 7" descr="Figure 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Figure S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07305" cy="309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E52E8" w14:textId="77777777" w:rsidR="001B6C26" w:rsidRDefault="00485DC6">
      <w:pPr>
        <w:spacing w:line="48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>Figure S4.</w:t>
      </w:r>
      <w:r>
        <w:rPr>
          <w:rFonts w:ascii="Arial" w:hAnsi="Arial" w:cs="Arial"/>
          <w:szCs w:val="24"/>
          <w:lang w:val="en-US"/>
        </w:rPr>
        <w:t xml:space="preserve"> Triclosan at high concentration (345 µM) showed effective eradication of the biofilms of the Gram-Positive MRSA and MSSA as well as </w:t>
      </w:r>
      <w:bookmarkStart w:id="3" w:name="OLE_LINK4"/>
      <w:r>
        <w:rPr>
          <w:rFonts w:ascii="Arial" w:hAnsi="Arial" w:cs="Arial"/>
          <w:szCs w:val="24"/>
          <w:lang w:val="en-US"/>
        </w:rPr>
        <w:t xml:space="preserve">Gram-negative </w:t>
      </w:r>
      <w:bookmarkEnd w:id="3"/>
      <w:r>
        <w:rPr>
          <w:rFonts w:ascii="Arial" w:hAnsi="Arial" w:cs="Arial"/>
          <w:i/>
          <w:iCs/>
          <w:szCs w:val="24"/>
          <w:lang w:val="en-US"/>
        </w:rPr>
        <w:t xml:space="preserve">Klebsiella pneumonia </w:t>
      </w:r>
      <w:r>
        <w:rPr>
          <w:rFonts w:ascii="Arial" w:hAnsi="Arial" w:cs="Arial"/>
          <w:szCs w:val="24"/>
          <w:lang w:val="en-US"/>
        </w:rPr>
        <w:t xml:space="preserve">and </w:t>
      </w:r>
      <w:r>
        <w:rPr>
          <w:rFonts w:ascii="Arial" w:hAnsi="Arial" w:cs="Arial"/>
          <w:i/>
          <w:iCs/>
          <w:szCs w:val="24"/>
          <w:lang w:val="en-US"/>
        </w:rPr>
        <w:t>Escherichia coli</w:t>
      </w:r>
      <w:r>
        <w:rPr>
          <w:rFonts w:ascii="Arial" w:hAnsi="Arial" w:cs="Arial"/>
          <w:szCs w:val="24"/>
          <w:lang w:val="en-US"/>
        </w:rPr>
        <w:t xml:space="preserve">, but not the biofilms of Gram-negative </w:t>
      </w:r>
      <w:r>
        <w:rPr>
          <w:rFonts w:ascii="Arial" w:hAnsi="Arial" w:cs="Arial"/>
          <w:i/>
          <w:iCs/>
          <w:szCs w:val="24"/>
          <w:lang w:val="en-US"/>
        </w:rPr>
        <w:t xml:space="preserve">Pseudomonas aeruginosa </w:t>
      </w:r>
      <w:r>
        <w:rPr>
          <w:rFonts w:ascii="Arial" w:hAnsi="Arial" w:cs="Arial"/>
          <w:szCs w:val="24"/>
          <w:lang w:val="en-US"/>
        </w:rPr>
        <w:t>(Figure S4).</w:t>
      </w:r>
    </w:p>
    <w:bookmarkEnd w:id="0"/>
    <w:p w14:paraId="60FF5995" w14:textId="77777777" w:rsidR="001B6C26" w:rsidRDefault="001B6C26">
      <w:pPr>
        <w:spacing w:line="480" w:lineRule="auto"/>
        <w:rPr>
          <w:rFonts w:ascii="Arial" w:hAnsi="Arial" w:cs="Arial"/>
          <w:szCs w:val="24"/>
          <w:lang w:val="en-US"/>
        </w:rPr>
      </w:pPr>
    </w:p>
    <w:p w14:paraId="3F1C9806" w14:textId="77777777" w:rsidR="001B6C26" w:rsidRDefault="00485DC6">
      <w:pPr>
        <w:spacing w:line="480" w:lineRule="auto"/>
        <w:rPr>
          <w:rFonts w:ascii="Arial" w:hAnsi="Arial" w:cs="Arial"/>
          <w:b/>
          <w:bCs/>
          <w:szCs w:val="24"/>
          <w:lang w:val="en-US"/>
        </w:rPr>
      </w:pPr>
      <w:bookmarkStart w:id="4" w:name="_Hlk159837994"/>
      <w:r>
        <w:rPr>
          <w:rFonts w:ascii="Arial" w:hAnsi="Arial" w:cs="Arial"/>
          <w:b/>
          <w:bCs/>
          <w:szCs w:val="24"/>
          <w:lang w:val="en-US"/>
        </w:rPr>
        <w:t>E. Effects of GNR/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Alg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t xml:space="preserve"> on the biofilms of MRSA and MSSA</w:t>
      </w:r>
    </w:p>
    <w:p w14:paraId="4700F16D" w14:textId="77777777" w:rsidR="001B6C26" w:rsidRDefault="00485DC6">
      <w:pPr>
        <w:spacing w:line="48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The effects of GNR/</w:t>
      </w:r>
      <w:proofErr w:type="spellStart"/>
      <w:r>
        <w:rPr>
          <w:rFonts w:ascii="Arial" w:hAnsi="Arial" w:cs="Arial"/>
          <w:szCs w:val="24"/>
          <w:lang w:val="en-US"/>
        </w:rPr>
        <w:t>Alg</w:t>
      </w:r>
      <w:proofErr w:type="spellEnd"/>
      <w:r>
        <w:rPr>
          <w:rFonts w:ascii="Arial" w:hAnsi="Arial" w:cs="Arial"/>
          <w:szCs w:val="24"/>
          <w:lang w:val="en-US"/>
        </w:rPr>
        <w:t xml:space="preserve"> on the biofilms of MRSA and MSSA was performed. Results revealed that GNR/</w:t>
      </w:r>
      <w:proofErr w:type="spellStart"/>
      <w:r>
        <w:rPr>
          <w:rFonts w:ascii="Arial" w:hAnsi="Arial" w:cs="Arial"/>
          <w:szCs w:val="24"/>
          <w:lang w:val="en-US"/>
        </w:rPr>
        <w:t>Alg</w:t>
      </w:r>
      <w:proofErr w:type="spellEnd"/>
      <w:r>
        <w:rPr>
          <w:rFonts w:ascii="Arial" w:hAnsi="Arial" w:cs="Arial"/>
          <w:szCs w:val="24"/>
          <w:lang w:val="en-US"/>
        </w:rPr>
        <w:t xml:space="preserve"> was ineffective in eradicating the biofilms of the MRSA and MSSA at the concentration range tested (0.002 – 0.3 </w:t>
      </w:r>
      <w:proofErr w:type="spellStart"/>
      <w:r>
        <w:rPr>
          <w:rFonts w:ascii="Arial" w:hAnsi="Arial" w:cs="Arial"/>
          <w:szCs w:val="24"/>
          <w:lang w:val="en-US"/>
        </w:rPr>
        <w:t>nM</w:t>
      </w:r>
      <w:proofErr w:type="spellEnd"/>
      <w:r>
        <w:rPr>
          <w:rFonts w:ascii="Arial" w:hAnsi="Arial" w:cs="Arial"/>
          <w:szCs w:val="24"/>
          <w:lang w:val="en-US"/>
        </w:rPr>
        <w:t xml:space="preserve">) (Figure S5). </w:t>
      </w:r>
    </w:p>
    <w:p w14:paraId="0A3AB4DF" w14:textId="77777777" w:rsidR="001B6C26" w:rsidRDefault="00485DC6">
      <w:pPr>
        <w:spacing w:line="480" w:lineRule="auto"/>
        <w:jc w:val="center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noProof/>
          <w:szCs w:val="24"/>
          <w:lang w:val="en-US"/>
        </w:rPr>
        <w:lastRenderedPageBreak/>
        <w:drawing>
          <wp:inline distT="0" distB="0" distL="114300" distR="114300" wp14:anchorId="54AC33F5" wp14:editId="6D52210F">
            <wp:extent cx="3366135" cy="2760345"/>
            <wp:effectExtent l="0" t="0" r="1905" b="13335"/>
            <wp:docPr id="9" name="Picture 9" descr="Figure 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Figure S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66135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9936D" w14:textId="77777777" w:rsidR="001B6C26" w:rsidRDefault="00485DC6">
      <w:pPr>
        <w:spacing w:line="480" w:lineRule="auto"/>
        <w:rPr>
          <w:rFonts w:ascii="Arial" w:hAnsi="Arial" w:cs="Arial"/>
          <w:szCs w:val="24"/>
          <w:lang w:val="en-US" w:eastAsia="zh-CN"/>
        </w:rPr>
      </w:pPr>
      <w:r>
        <w:rPr>
          <w:rFonts w:ascii="Arial" w:hAnsi="Arial" w:cs="Arial"/>
          <w:b/>
          <w:bCs/>
          <w:szCs w:val="24"/>
          <w:lang w:val="en-US" w:eastAsia="zh-CN"/>
        </w:rPr>
        <w:t>Figure S5.</w:t>
      </w:r>
      <w:r>
        <w:rPr>
          <w:rFonts w:ascii="Arial" w:hAnsi="Arial" w:cs="Arial"/>
          <w:szCs w:val="24"/>
          <w:lang w:val="en-US" w:eastAsia="zh-CN"/>
        </w:rPr>
        <w:t xml:space="preserve"> </w:t>
      </w:r>
      <w:r>
        <w:rPr>
          <w:rFonts w:ascii="Arial" w:hAnsi="Arial" w:cs="Arial"/>
          <w:szCs w:val="24"/>
          <w:lang w:val="en-US"/>
        </w:rPr>
        <w:t>GNR/</w:t>
      </w:r>
      <w:proofErr w:type="spellStart"/>
      <w:r>
        <w:rPr>
          <w:rFonts w:ascii="Arial" w:hAnsi="Arial" w:cs="Arial"/>
          <w:szCs w:val="24"/>
          <w:lang w:val="en-US"/>
        </w:rPr>
        <w:t>Alg</w:t>
      </w:r>
      <w:proofErr w:type="spellEnd"/>
      <w:r>
        <w:rPr>
          <w:rFonts w:ascii="Arial" w:hAnsi="Arial" w:cs="Arial"/>
          <w:szCs w:val="24"/>
          <w:lang w:val="en-US"/>
        </w:rPr>
        <w:t xml:space="preserve"> was ineffective in eradicating the biofilms of the MRSA and MSSA at the concentration range tested (0.002 – 0.3 </w:t>
      </w:r>
      <w:proofErr w:type="spellStart"/>
      <w:r>
        <w:rPr>
          <w:rFonts w:ascii="Arial" w:hAnsi="Arial" w:cs="Arial"/>
          <w:szCs w:val="24"/>
          <w:lang w:val="en-US"/>
        </w:rPr>
        <w:t>nM</w:t>
      </w:r>
      <w:proofErr w:type="spellEnd"/>
      <w:r>
        <w:rPr>
          <w:rFonts w:ascii="Arial" w:hAnsi="Arial" w:cs="Arial"/>
          <w:szCs w:val="24"/>
          <w:lang w:val="en-US"/>
        </w:rPr>
        <w:t>)</w:t>
      </w:r>
      <w:r>
        <w:rPr>
          <w:rFonts w:ascii="Arial" w:hAnsi="Arial" w:cs="Arial"/>
          <w:szCs w:val="24"/>
          <w:lang w:val="en-US" w:eastAsia="zh-CN"/>
        </w:rPr>
        <w:t xml:space="preserve">. Data are represented as mean ± SD (n = 3). </w:t>
      </w:r>
      <w:bookmarkEnd w:id="4"/>
    </w:p>
    <w:p w14:paraId="00D969DC" w14:textId="77777777" w:rsidR="001B6C26" w:rsidRDefault="001B6C26">
      <w:pPr>
        <w:spacing w:line="480" w:lineRule="auto"/>
        <w:rPr>
          <w:rFonts w:ascii="Arial" w:hAnsi="Arial" w:cs="Arial"/>
          <w:szCs w:val="24"/>
          <w:lang w:val="en-US" w:eastAsia="zh-CN"/>
        </w:rPr>
      </w:pPr>
    </w:p>
    <w:p w14:paraId="2FBEC54F" w14:textId="77777777" w:rsidR="001B6C26" w:rsidRDefault="00485DC6">
      <w:pPr>
        <w:spacing w:line="480" w:lineRule="auto"/>
        <w:rPr>
          <w:rFonts w:ascii="Arial" w:hAnsi="Arial" w:cs="Arial"/>
          <w:b/>
          <w:bCs/>
          <w:szCs w:val="24"/>
          <w:lang w:val="en-US" w:eastAsia="zh-CN"/>
        </w:rPr>
      </w:pPr>
      <w:r>
        <w:rPr>
          <w:rFonts w:ascii="Arial" w:hAnsi="Arial" w:cs="Arial"/>
          <w:b/>
          <w:bCs/>
          <w:szCs w:val="24"/>
          <w:lang w:val="en-US" w:eastAsia="zh-CN"/>
        </w:rPr>
        <w:t>F. CLSM studies:</w:t>
      </w:r>
    </w:p>
    <w:p w14:paraId="44A43DDE" w14:textId="77777777" w:rsidR="001B6C26" w:rsidRDefault="00485DC6">
      <w:pPr>
        <w:spacing w:line="48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 w:eastAsia="zh-CN"/>
        </w:rPr>
        <w:t>Figure S6 displays CLSM pictures comparing the reduction in biofilm and cell death between the GNR/</w:t>
      </w:r>
      <w:proofErr w:type="spellStart"/>
      <w:r>
        <w:rPr>
          <w:rFonts w:ascii="Arial" w:hAnsi="Arial" w:cs="Arial"/>
          <w:szCs w:val="24"/>
          <w:lang w:val="en-US" w:eastAsia="zh-CN"/>
        </w:rPr>
        <w:t>Alg</w:t>
      </w:r>
      <w:proofErr w:type="spellEnd"/>
      <w:r>
        <w:rPr>
          <w:rFonts w:ascii="Arial" w:hAnsi="Arial" w:cs="Arial"/>
          <w:szCs w:val="24"/>
          <w:lang w:val="en-US" w:eastAsia="zh-CN"/>
        </w:rPr>
        <w:t>/PDADMAC-treated strains of MRSA and MSSA with the control strain.</w:t>
      </w:r>
    </w:p>
    <w:p w14:paraId="6BE64EA4" w14:textId="77777777" w:rsidR="001B6C26" w:rsidRDefault="00485DC6">
      <w:pPr>
        <w:spacing w:line="480" w:lineRule="auto"/>
        <w:jc w:val="left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noProof/>
          <w:color w:val="313131"/>
          <w:sz w:val="20"/>
          <w:szCs w:val="20"/>
          <w:lang w:val="en-US"/>
        </w:rPr>
        <w:lastRenderedPageBreak/>
        <w:drawing>
          <wp:inline distT="0" distB="0" distL="114300" distR="114300" wp14:anchorId="02CB323E" wp14:editId="48531651">
            <wp:extent cx="4382770" cy="3919855"/>
            <wp:effectExtent l="0" t="0" r="6350" b="12065"/>
            <wp:docPr id="3" name="Picture 3" descr="Figure S6 0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igure S6 020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3DBC4" w14:textId="77777777" w:rsidR="001B6C26" w:rsidRDefault="00485DC6">
      <w:pPr>
        <w:spacing w:line="48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>Figure S6.</w:t>
      </w:r>
      <w:r>
        <w:rPr>
          <w:rFonts w:ascii="Arial" w:hAnsi="Arial" w:cs="Arial"/>
          <w:szCs w:val="24"/>
          <w:lang w:val="en-US"/>
        </w:rPr>
        <w:t xml:space="preserve"> Two-dimensional (2D) CLSM images of MRSA and MSSA strains under 40</w:t>
      </w:r>
      <w:r>
        <w:rPr>
          <w:rFonts w:ascii="Arial" w:hAnsi="Arial" w:cs="Arial"/>
          <w:szCs w:val="24"/>
          <w:lang w:val="en-US"/>
        </w:rPr>
        <w:sym w:font="Symbol" w:char="F0B4"/>
      </w:r>
      <w:r>
        <w:rPr>
          <w:rFonts w:ascii="Arial" w:hAnsi="Arial" w:cs="Arial"/>
          <w:szCs w:val="24"/>
          <w:lang w:val="en-US"/>
        </w:rPr>
        <w:t xml:space="preserve"> magnification, manifesting the viability of both PDADMAC/alginate-coated gold nanorod (GNR/</w:t>
      </w:r>
      <w:proofErr w:type="spellStart"/>
      <w:r>
        <w:rPr>
          <w:rFonts w:ascii="Arial" w:hAnsi="Arial" w:cs="Arial"/>
          <w:szCs w:val="24"/>
          <w:lang w:val="en-US"/>
        </w:rPr>
        <w:t>Alg</w:t>
      </w:r>
      <w:proofErr w:type="spellEnd"/>
      <w:r>
        <w:rPr>
          <w:rFonts w:ascii="Arial" w:hAnsi="Arial" w:cs="Arial"/>
          <w:szCs w:val="24"/>
          <w:lang w:val="en-US"/>
        </w:rPr>
        <w:t>/PDADMAC)-treated MRSA and MSSA biofilms were reduced significantly (Scale bar = 50 µM).</w:t>
      </w:r>
    </w:p>
    <w:p w14:paraId="7AF2E782" w14:textId="77777777" w:rsidR="001B6C26" w:rsidRDefault="001B6C26">
      <w:pPr>
        <w:spacing w:line="480" w:lineRule="auto"/>
        <w:rPr>
          <w:rFonts w:ascii="Arial" w:hAnsi="Arial" w:cs="Arial"/>
          <w:szCs w:val="24"/>
          <w:lang w:val="en-US"/>
        </w:rPr>
      </w:pPr>
    </w:p>
    <w:p w14:paraId="53A8696D" w14:textId="77777777" w:rsidR="001B6C26" w:rsidRDefault="001B6C26">
      <w:pPr>
        <w:rPr>
          <w:rFonts w:ascii="Arial" w:hAnsi="Arial" w:cs="Arial"/>
          <w:b/>
          <w:bCs/>
          <w:lang w:val="en-US"/>
        </w:rPr>
      </w:pPr>
    </w:p>
    <w:p w14:paraId="7EE15688" w14:textId="77777777" w:rsidR="001B6C26" w:rsidRDefault="00485DC6">
      <w:pPr>
        <w:pStyle w:val="EndNoteBibliography"/>
        <w:spacing w:line="480" w:lineRule="auto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lang w:eastAsia="zh-CN"/>
        </w:rPr>
        <w:t>EFERENCES</w:t>
      </w:r>
    </w:p>
    <w:p w14:paraId="25C19ABD" w14:textId="77777777" w:rsidR="001B6C26" w:rsidRDefault="001B6C26">
      <w:pPr>
        <w:pStyle w:val="EndNoteBibliography"/>
        <w:rPr>
          <w:lang w:eastAsia="zh-CN"/>
        </w:rPr>
      </w:pPr>
    </w:p>
    <w:p w14:paraId="0F5A1DE7" w14:textId="77777777" w:rsidR="001B6C26" w:rsidRDefault="00485DC6">
      <w:pPr>
        <w:pStyle w:val="EndNoteBibliography"/>
        <w:rPr>
          <w:rFonts w:ascii="Arial" w:hAnsi="Arial" w:cs="Arial"/>
          <w:szCs w:val="24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ADDIN EN.REFLIST </w:instrText>
      </w:r>
      <w:r>
        <w:rPr>
          <w:szCs w:val="24"/>
        </w:rPr>
        <w:fldChar w:fldCharType="separate"/>
      </w:r>
      <w:r>
        <w:rPr>
          <w:szCs w:val="24"/>
        </w:rPr>
        <w:t>1.</w:t>
      </w:r>
      <w:r>
        <w:rPr>
          <w:szCs w:val="24"/>
        </w:rPr>
        <w:tab/>
      </w:r>
      <w:r>
        <w:rPr>
          <w:rFonts w:ascii="Arial" w:hAnsi="Arial" w:cs="Arial"/>
          <w:szCs w:val="24"/>
        </w:rPr>
        <w:t xml:space="preserve">Selvaraj, A.; Jayasree, T.; Valliammai, A.; Pandian, SK., Myrtenol attenuates MRSA biofilm and virulence by suppressing sarA expression dynamism. </w:t>
      </w:r>
      <w:r>
        <w:rPr>
          <w:rFonts w:ascii="Arial" w:hAnsi="Arial" w:cs="Arial"/>
          <w:i/>
          <w:szCs w:val="24"/>
        </w:rPr>
        <w:t xml:space="preserve">Frontiers in Microbiology  </w:t>
      </w:r>
      <w:r>
        <w:rPr>
          <w:rFonts w:ascii="Arial" w:hAnsi="Arial" w:cs="Arial"/>
          <w:b/>
          <w:szCs w:val="24"/>
        </w:rPr>
        <w:t xml:space="preserve">2019, </w:t>
      </w:r>
      <w:r>
        <w:rPr>
          <w:rFonts w:ascii="Arial" w:hAnsi="Arial" w:cs="Arial"/>
          <w:i/>
          <w:iCs/>
          <w:szCs w:val="24"/>
        </w:rPr>
        <w:t>10</w:t>
      </w:r>
      <w:r>
        <w:rPr>
          <w:rFonts w:ascii="Arial" w:hAnsi="Arial" w:cs="Arial"/>
          <w:iCs/>
          <w:szCs w:val="24"/>
        </w:rPr>
        <w:t xml:space="preserve">, </w:t>
      </w:r>
      <w:r>
        <w:rPr>
          <w:rFonts w:ascii="Arial" w:hAnsi="Arial" w:cs="Arial"/>
          <w:szCs w:val="24"/>
        </w:rPr>
        <w:t>2027.</w:t>
      </w:r>
    </w:p>
    <w:p w14:paraId="0F39E736" w14:textId="77777777" w:rsidR="001B6C26" w:rsidRDefault="001B6C26">
      <w:pPr>
        <w:pStyle w:val="EndNoteBibliography"/>
        <w:rPr>
          <w:rFonts w:ascii="Arial" w:hAnsi="Arial" w:cs="Arial"/>
          <w:szCs w:val="24"/>
        </w:rPr>
      </w:pPr>
    </w:p>
    <w:p w14:paraId="3B67B040" w14:textId="77777777" w:rsidR="001B6C26" w:rsidRDefault="00485DC6">
      <w:pPr>
        <w:pStyle w:val="EndNoteBibliograph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>
        <w:rPr>
          <w:rFonts w:ascii="Arial" w:hAnsi="Arial" w:cs="Arial"/>
          <w:szCs w:val="24"/>
        </w:rPr>
        <w:tab/>
        <w:t xml:space="preserve">Nikoobakht, B.; El-Sayed, MA., Preparation and growth mechanism of gold nanorods (NRs) using seed-mediated growth method. </w:t>
      </w:r>
      <w:r>
        <w:rPr>
          <w:rFonts w:ascii="Arial" w:hAnsi="Arial" w:cs="Arial"/>
          <w:i/>
          <w:szCs w:val="24"/>
        </w:rPr>
        <w:t xml:space="preserve">Chemistry of Materials </w:t>
      </w:r>
      <w:r>
        <w:rPr>
          <w:rFonts w:ascii="Arial" w:hAnsi="Arial" w:cs="Arial"/>
          <w:b/>
          <w:szCs w:val="24"/>
        </w:rPr>
        <w:t xml:space="preserve">2003, </w:t>
      </w:r>
      <w:r>
        <w:rPr>
          <w:rFonts w:ascii="Arial" w:hAnsi="Arial" w:cs="Arial"/>
          <w:i/>
          <w:iCs/>
          <w:szCs w:val="24"/>
        </w:rPr>
        <w:t>15</w:t>
      </w:r>
      <w:r>
        <w:rPr>
          <w:rFonts w:ascii="Arial" w:hAnsi="Arial" w:cs="Arial"/>
          <w:iCs/>
          <w:szCs w:val="24"/>
        </w:rPr>
        <w:t xml:space="preserve"> </w:t>
      </w:r>
      <w:r>
        <w:rPr>
          <w:rFonts w:ascii="Arial" w:hAnsi="Arial" w:cs="Arial"/>
          <w:szCs w:val="24"/>
        </w:rPr>
        <w:t>(10), 1957-1962.</w:t>
      </w:r>
    </w:p>
    <w:p w14:paraId="13E1527B" w14:textId="77777777" w:rsidR="001B6C26" w:rsidRDefault="001B6C26">
      <w:pPr>
        <w:pStyle w:val="EndNoteBibliography"/>
        <w:rPr>
          <w:rFonts w:ascii="Arial" w:hAnsi="Arial" w:cs="Arial"/>
          <w:szCs w:val="24"/>
        </w:rPr>
      </w:pPr>
    </w:p>
    <w:p w14:paraId="4625FA3F" w14:textId="77777777" w:rsidR="001B6C26" w:rsidRDefault="00485DC6">
      <w:pPr>
        <w:pStyle w:val="EndNoteBibliograph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3.</w:t>
      </w:r>
      <w:r>
        <w:rPr>
          <w:rFonts w:ascii="Arial" w:hAnsi="Arial" w:cs="Arial"/>
          <w:szCs w:val="24"/>
        </w:rPr>
        <w:tab/>
        <w:t xml:space="preserve"> Orendorff, CJ.; Murphy, CJ., Quantitation of metal content in the silver-assisted growth of gold nanorods. </w:t>
      </w:r>
      <w:r>
        <w:rPr>
          <w:rFonts w:ascii="Arial" w:hAnsi="Arial" w:cs="Arial"/>
          <w:i/>
          <w:szCs w:val="24"/>
        </w:rPr>
        <w:t xml:space="preserve">The Journal of Physical Chemistry B, </w:t>
      </w:r>
      <w:r>
        <w:rPr>
          <w:rFonts w:ascii="Arial" w:hAnsi="Arial" w:cs="Arial"/>
          <w:b/>
          <w:szCs w:val="24"/>
        </w:rPr>
        <w:t xml:space="preserve">2006, </w:t>
      </w:r>
      <w:r>
        <w:rPr>
          <w:rFonts w:ascii="Arial" w:hAnsi="Arial" w:cs="Arial"/>
          <w:iCs/>
          <w:szCs w:val="24"/>
        </w:rPr>
        <w:t xml:space="preserve">110 </w:t>
      </w:r>
      <w:r>
        <w:rPr>
          <w:rFonts w:ascii="Arial" w:hAnsi="Arial" w:cs="Arial"/>
          <w:i/>
          <w:iCs/>
          <w:szCs w:val="24"/>
        </w:rPr>
        <w:t>(9)</w:t>
      </w:r>
      <w:r>
        <w:rPr>
          <w:rFonts w:ascii="Arial" w:hAnsi="Arial" w:cs="Arial"/>
          <w:szCs w:val="24"/>
        </w:rPr>
        <w:t>,</w:t>
      </w:r>
      <w:r>
        <w:rPr>
          <w:rFonts w:ascii="Arial" w:hAnsi="Arial" w:cs="Arial"/>
          <w:i/>
          <w:iCs/>
          <w:szCs w:val="24"/>
        </w:rPr>
        <w:t xml:space="preserve"> </w:t>
      </w:r>
      <w:r>
        <w:rPr>
          <w:rFonts w:ascii="Arial" w:hAnsi="Arial" w:cs="Arial"/>
          <w:szCs w:val="24"/>
        </w:rPr>
        <w:t>3990-3994.</w:t>
      </w:r>
    </w:p>
    <w:p w14:paraId="39FE1A41" w14:textId="77777777" w:rsidR="001B6C26" w:rsidRDefault="00485DC6">
      <w:pPr>
        <w:rPr>
          <w:lang w:val="en-US"/>
        </w:rPr>
      </w:pPr>
      <w:r>
        <w:rPr>
          <w:szCs w:val="24"/>
          <w:lang w:val="en-US"/>
        </w:rPr>
        <w:fldChar w:fldCharType="end"/>
      </w:r>
    </w:p>
    <w:sectPr w:rsidR="001B6C2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A8EBE" w14:textId="77777777" w:rsidR="00444192" w:rsidRDefault="00444192">
      <w:pPr>
        <w:spacing w:line="240" w:lineRule="auto"/>
      </w:pPr>
      <w:r>
        <w:separator/>
      </w:r>
    </w:p>
  </w:endnote>
  <w:endnote w:type="continuationSeparator" w:id="0">
    <w:p w14:paraId="1340F260" w14:textId="77777777" w:rsidR="00444192" w:rsidRDefault="00444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8251" w14:textId="77777777" w:rsidR="001B6C26" w:rsidRDefault="00485D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8BF832" wp14:editId="32BD6DA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97200597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CD1A9" w14:textId="77777777" w:rsidR="001B6C26" w:rsidRDefault="00485DC6">
                          <w:pPr>
                            <w:spacing w:after="0"/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BF8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" filled="f" stroked="f">
              <v:textbox style="mso-fit-shape-to-text:t" inset="20pt,0,0,15pt">
                <w:txbxContent>
                  <w:p w14:paraId="237CD1A9" w14:textId="77777777" w:rsidR="001B6C26" w:rsidRDefault="00485DC6">
                    <w:pPr>
                      <w:spacing w:after="0"/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F3E02" w14:textId="77777777" w:rsidR="001B6C26" w:rsidRDefault="00485DC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8258C0C" wp14:editId="437A680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47922874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41452" w14:textId="77777777" w:rsidR="001B6C26" w:rsidRDefault="00485DC6">
                          <w:pPr>
                            <w:spacing w:after="0"/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58C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formation Classification: Gener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" filled="f" stroked="f">
              <v:textbox style="mso-fit-shape-to-text:t" inset="20pt,0,0,15pt">
                <w:txbxContent>
                  <w:p w14:paraId="18741452" w14:textId="77777777" w:rsidR="001B6C26" w:rsidRDefault="00485DC6">
                    <w:pPr>
                      <w:spacing w:after="0"/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049748637"/>
        <w:docPartObj>
          <w:docPartGallery w:val="AutoText"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sdtContent>
    </w:sdt>
  </w:p>
  <w:p w14:paraId="383C4ADB" w14:textId="77777777" w:rsidR="001B6C26" w:rsidRDefault="001B6C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760FD" w14:textId="77777777" w:rsidR="001B6C26" w:rsidRDefault="00485D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F67D55" wp14:editId="1033121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8815869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7B67A" w14:textId="77777777" w:rsidR="001B6C26" w:rsidRDefault="00485DC6">
                          <w:pPr>
                            <w:spacing w:after="0"/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67D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" filled="f" stroked="f">
              <v:textbox style="mso-fit-shape-to-text:t" inset="20pt,0,0,15pt">
                <w:txbxContent>
                  <w:p w14:paraId="5E17B67A" w14:textId="77777777" w:rsidR="001B6C26" w:rsidRDefault="00485DC6">
                    <w:pPr>
                      <w:spacing w:after="0"/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555B1" w14:textId="77777777" w:rsidR="00444192" w:rsidRDefault="00444192">
      <w:pPr>
        <w:spacing w:after="0"/>
      </w:pPr>
      <w:r>
        <w:separator/>
      </w:r>
    </w:p>
  </w:footnote>
  <w:footnote w:type="continuationSeparator" w:id="0">
    <w:p w14:paraId="22B7CC91" w14:textId="77777777" w:rsidR="00444192" w:rsidRDefault="004441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3F145" w14:textId="77777777" w:rsidR="001B6C26" w:rsidRDefault="001B6C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A79F" w14:textId="77777777" w:rsidR="001B6C26" w:rsidRDefault="001B6C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6641" w14:textId="77777777" w:rsidR="001B6C26" w:rsidRDefault="001B6C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561063712">
    <w:abstractNumId w:val="9"/>
  </w:num>
  <w:num w:numId="2" w16cid:durableId="2062174304">
    <w:abstractNumId w:val="7"/>
  </w:num>
  <w:num w:numId="3" w16cid:durableId="464663918">
    <w:abstractNumId w:val="6"/>
  </w:num>
  <w:num w:numId="4" w16cid:durableId="648288009">
    <w:abstractNumId w:val="5"/>
  </w:num>
  <w:num w:numId="5" w16cid:durableId="1382632778">
    <w:abstractNumId w:val="4"/>
  </w:num>
  <w:num w:numId="6" w16cid:durableId="192159606">
    <w:abstractNumId w:val="8"/>
  </w:num>
  <w:num w:numId="7" w16cid:durableId="1717199289">
    <w:abstractNumId w:val="3"/>
  </w:num>
  <w:num w:numId="8" w16cid:durableId="545141568">
    <w:abstractNumId w:val="2"/>
  </w:num>
  <w:num w:numId="9" w16cid:durableId="397940802">
    <w:abstractNumId w:val="1"/>
  </w:num>
  <w:num w:numId="10" w16cid:durableId="24526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C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0wttp2waspd51e0sf7xdfw4x2z5pdaaatdt&quot;&gt;230409 biofilm paoer Copy&lt;record-ids&gt;&lt;item&gt;280&lt;/item&gt;&lt;item&gt;281&lt;/item&gt;&lt;item&gt;282&lt;/item&gt;&lt;/record-ids&gt;&lt;/item&gt;&lt;/Libraries&gt;"/>
  </w:docVars>
  <w:rsids>
    <w:rsidRoot w:val="16BD494A"/>
    <w:rsid w:val="00022F58"/>
    <w:rsid w:val="00050A31"/>
    <w:rsid w:val="000716D2"/>
    <w:rsid w:val="00071AAB"/>
    <w:rsid w:val="000B76C4"/>
    <w:rsid w:val="000C5610"/>
    <w:rsid w:val="000E6552"/>
    <w:rsid w:val="000F3A4F"/>
    <w:rsid w:val="000F59AC"/>
    <w:rsid w:val="0010337A"/>
    <w:rsid w:val="001364FE"/>
    <w:rsid w:val="001368DD"/>
    <w:rsid w:val="00147DB3"/>
    <w:rsid w:val="001518A5"/>
    <w:rsid w:val="00170095"/>
    <w:rsid w:val="00170E4F"/>
    <w:rsid w:val="001743F4"/>
    <w:rsid w:val="0018144A"/>
    <w:rsid w:val="00187C33"/>
    <w:rsid w:val="001936B7"/>
    <w:rsid w:val="00196AB1"/>
    <w:rsid w:val="001B6C26"/>
    <w:rsid w:val="00201333"/>
    <w:rsid w:val="002037FC"/>
    <w:rsid w:val="00210FA7"/>
    <w:rsid w:val="00215AC2"/>
    <w:rsid w:val="00216417"/>
    <w:rsid w:val="0026631D"/>
    <w:rsid w:val="002816BD"/>
    <w:rsid w:val="002A5CC6"/>
    <w:rsid w:val="002A6989"/>
    <w:rsid w:val="002C2F53"/>
    <w:rsid w:val="0033518C"/>
    <w:rsid w:val="003410F8"/>
    <w:rsid w:val="003437C2"/>
    <w:rsid w:val="00356B35"/>
    <w:rsid w:val="00377186"/>
    <w:rsid w:val="003A1C03"/>
    <w:rsid w:val="003F58DF"/>
    <w:rsid w:val="00414627"/>
    <w:rsid w:val="00425D63"/>
    <w:rsid w:val="00444192"/>
    <w:rsid w:val="004643D8"/>
    <w:rsid w:val="00485DC6"/>
    <w:rsid w:val="00486175"/>
    <w:rsid w:val="00497C24"/>
    <w:rsid w:val="004C7BA5"/>
    <w:rsid w:val="004E7628"/>
    <w:rsid w:val="004F48F2"/>
    <w:rsid w:val="00505419"/>
    <w:rsid w:val="005057A8"/>
    <w:rsid w:val="005149B1"/>
    <w:rsid w:val="00531ED7"/>
    <w:rsid w:val="005647F2"/>
    <w:rsid w:val="005662D1"/>
    <w:rsid w:val="00573A09"/>
    <w:rsid w:val="005A4526"/>
    <w:rsid w:val="005B006A"/>
    <w:rsid w:val="005C1B16"/>
    <w:rsid w:val="005E53D0"/>
    <w:rsid w:val="005F6CBB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0002"/>
    <w:rsid w:val="00695DCD"/>
    <w:rsid w:val="00697FED"/>
    <w:rsid w:val="006A05CC"/>
    <w:rsid w:val="006A35A7"/>
    <w:rsid w:val="006C6567"/>
    <w:rsid w:val="00704698"/>
    <w:rsid w:val="007152D7"/>
    <w:rsid w:val="00746C14"/>
    <w:rsid w:val="007A4A5E"/>
    <w:rsid w:val="007C2C59"/>
    <w:rsid w:val="00801F23"/>
    <w:rsid w:val="00837632"/>
    <w:rsid w:val="0085640F"/>
    <w:rsid w:val="008567AA"/>
    <w:rsid w:val="00865D4D"/>
    <w:rsid w:val="00892712"/>
    <w:rsid w:val="008A680A"/>
    <w:rsid w:val="008B0BB0"/>
    <w:rsid w:val="008E6C4B"/>
    <w:rsid w:val="008F18C0"/>
    <w:rsid w:val="0090268C"/>
    <w:rsid w:val="00907648"/>
    <w:rsid w:val="00930FDE"/>
    <w:rsid w:val="00961A5F"/>
    <w:rsid w:val="0098092E"/>
    <w:rsid w:val="00984C93"/>
    <w:rsid w:val="00987CE1"/>
    <w:rsid w:val="0099405C"/>
    <w:rsid w:val="009C600F"/>
    <w:rsid w:val="009D3723"/>
    <w:rsid w:val="009E04F2"/>
    <w:rsid w:val="00A03B7B"/>
    <w:rsid w:val="00A12A2C"/>
    <w:rsid w:val="00A200C9"/>
    <w:rsid w:val="00A250D5"/>
    <w:rsid w:val="00A32EDF"/>
    <w:rsid w:val="00A32F56"/>
    <w:rsid w:val="00A36028"/>
    <w:rsid w:val="00A50385"/>
    <w:rsid w:val="00A86092"/>
    <w:rsid w:val="00A91424"/>
    <w:rsid w:val="00AA2C77"/>
    <w:rsid w:val="00AC3FB9"/>
    <w:rsid w:val="00AC702A"/>
    <w:rsid w:val="00AD226F"/>
    <w:rsid w:val="00B13A52"/>
    <w:rsid w:val="00B24CF4"/>
    <w:rsid w:val="00B26993"/>
    <w:rsid w:val="00B26B55"/>
    <w:rsid w:val="00B4570C"/>
    <w:rsid w:val="00B5208C"/>
    <w:rsid w:val="00B74876"/>
    <w:rsid w:val="00BA3551"/>
    <w:rsid w:val="00BB7C2B"/>
    <w:rsid w:val="00BC1664"/>
    <w:rsid w:val="00BC2546"/>
    <w:rsid w:val="00C05085"/>
    <w:rsid w:val="00C1328D"/>
    <w:rsid w:val="00C1593D"/>
    <w:rsid w:val="00C34522"/>
    <w:rsid w:val="00C518EB"/>
    <w:rsid w:val="00C53A1E"/>
    <w:rsid w:val="00C56C7E"/>
    <w:rsid w:val="00C776A4"/>
    <w:rsid w:val="00C87074"/>
    <w:rsid w:val="00CA2C6C"/>
    <w:rsid w:val="00CC0600"/>
    <w:rsid w:val="00CC78AC"/>
    <w:rsid w:val="00CF57F0"/>
    <w:rsid w:val="00CF7953"/>
    <w:rsid w:val="00D07232"/>
    <w:rsid w:val="00D10245"/>
    <w:rsid w:val="00D21BDD"/>
    <w:rsid w:val="00D65F07"/>
    <w:rsid w:val="00D92BB7"/>
    <w:rsid w:val="00DC76D2"/>
    <w:rsid w:val="00DD30ED"/>
    <w:rsid w:val="00E14879"/>
    <w:rsid w:val="00E412E1"/>
    <w:rsid w:val="00E57CA8"/>
    <w:rsid w:val="00E64C21"/>
    <w:rsid w:val="00EC01BB"/>
    <w:rsid w:val="00EC24C6"/>
    <w:rsid w:val="00EF2933"/>
    <w:rsid w:val="00F05146"/>
    <w:rsid w:val="00F05350"/>
    <w:rsid w:val="00F1115D"/>
    <w:rsid w:val="00F3513C"/>
    <w:rsid w:val="00F465C5"/>
    <w:rsid w:val="00F5180D"/>
    <w:rsid w:val="00F51B21"/>
    <w:rsid w:val="00F51D87"/>
    <w:rsid w:val="00F621CB"/>
    <w:rsid w:val="00F8455C"/>
    <w:rsid w:val="00FC559D"/>
    <w:rsid w:val="00FF2EE5"/>
    <w:rsid w:val="0BEC150A"/>
    <w:rsid w:val="0F93312E"/>
    <w:rsid w:val="12E4346D"/>
    <w:rsid w:val="16BD494A"/>
    <w:rsid w:val="17F6252E"/>
    <w:rsid w:val="25B6156F"/>
    <w:rsid w:val="26D926A0"/>
    <w:rsid w:val="2D6A3EF3"/>
    <w:rsid w:val="32AE788A"/>
    <w:rsid w:val="39B04D81"/>
    <w:rsid w:val="3EC05F58"/>
    <w:rsid w:val="41B82B7B"/>
    <w:rsid w:val="44B73130"/>
    <w:rsid w:val="4C544BC7"/>
    <w:rsid w:val="53D46C73"/>
    <w:rsid w:val="55070F38"/>
    <w:rsid w:val="56C31EE8"/>
    <w:rsid w:val="57106636"/>
    <w:rsid w:val="5E6E2F8C"/>
    <w:rsid w:val="633E02AD"/>
    <w:rsid w:val="67595D57"/>
    <w:rsid w:val="6EC67440"/>
    <w:rsid w:val="749421F8"/>
    <w:rsid w:val="753942BB"/>
    <w:rsid w:val="75DB416A"/>
    <w:rsid w:val="76957B11"/>
    <w:rsid w:val="773F54F2"/>
    <w:rsid w:val="7F9D48B0"/>
    <w:rsid w:val="7FDE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4BE0AB0"/>
  <w15:docId w15:val="{1DA1B858-EE09-4C75-8948-D08F4457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MY" w:eastAsia="zh-CN" w:bidi="ar-SA"/>
      </w:rPr>
    </w:rPrDefault>
    <w:pPrDefault/>
  </w:docDefaults>
  <w:latentStyles w:defLockedState="0" w:defUIPriority="0" w:defSemiHidden="0" w:defUnhideWhenUsed="0" w:defQFormat="1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footer" w:uiPriority="99"/>
    <w:lsdException w:name="caption" w:semiHidden="1" w:unhideWhenUsed="1"/>
    <w:lsdException w:name="Default Paragraph Font" w:semiHidden="1" w:uiPriority="1" w:unhideWhenUsed="1" w:qFormat="0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 w:uiPriority="99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No Spacing" w:semiHidden="1" w:uiPriority="99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 w:qFormat="0"/>
    <w:lsdException w:name="List Paragraph" w:semiHidden="1" w:uiPriority="99" w:unhideWhenUsed="1" w:qFormat="0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Normal">
    <w:name w:val="Normal"/>
    <w:qFormat/>
    <w:pPr>
      <w:spacing w:after="160" w:line="259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  <w:pPr>
      <w:jc w:val="left"/>
    </w:p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  <w:jc w:val="left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qFormat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qFormat/>
    <w:rPr>
      <w:szCs w:val="24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  <w:szCs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qFormat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qFormat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EndNoteBibliographyTitle">
    <w:name w:val="EndNote Bibliography Title"/>
    <w:qFormat/>
    <w:pPr>
      <w:jc w:val="center"/>
    </w:pPr>
    <w:rPr>
      <w:rFonts w:ascii="Times New Roman" w:hAnsi="Times New Roman" w:cs="Times New Roman"/>
      <w:sz w:val="24"/>
      <w:szCs w:val="22"/>
      <w:lang w:val="en-US" w:eastAsia="en-US"/>
    </w:rPr>
  </w:style>
  <w:style w:type="paragraph" w:customStyle="1" w:styleId="EndNoteBibliography">
    <w:name w:val="EndNote Bibliography"/>
    <w:qFormat/>
    <w:pPr>
      <w:jc w:val="both"/>
    </w:pPr>
    <w:rPr>
      <w:rFonts w:ascii="Times New Roman" w:hAnsi="Times New Roman" w:cs="Times New Roman"/>
      <w:sz w:val="24"/>
      <w:szCs w:val="22"/>
      <w:lang w:val="en-US" w:eastAsia="en-US"/>
    </w:rPr>
  </w:style>
  <w:style w:type="paragraph" w:customStyle="1" w:styleId="Revision1">
    <w:name w:val="Revision1"/>
    <w:hidden/>
    <w:uiPriority w:val="99"/>
    <w:unhideWhenUsed/>
    <w:qFormat/>
    <w:rPr>
      <w:rFonts w:ascii="Times New Roman" w:hAnsi="Times New Roman"/>
      <w:sz w:val="24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sz w:val="18"/>
      <w:szCs w:val="18"/>
      <w:lang w:eastAsia="en-US"/>
    </w:rPr>
  </w:style>
  <w:style w:type="paragraph" w:customStyle="1" w:styleId="Revision2">
    <w:name w:val="Revision2"/>
    <w:hidden/>
    <w:uiPriority w:val="99"/>
    <w:unhideWhenUsed/>
    <w:qFormat/>
    <w:rPr>
      <w:rFonts w:ascii="Times New Roman" w:hAnsi="Times New Roman"/>
      <w:sz w:val="24"/>
      <w:szCs w:val="22"/>
      <w:lang w:eastAsia="en-US"/>
    </w:rPr>
  </w:style>
  <w:style w:type="paragraph" w:customStyle="1" w:styleId="Revision3">
    <w:name w:val="Revision3"/>
    <w:hidden/>
    <w:uiPriority w:val="99"/>
    <w:unhideWhenUsed/>
    <w:qFormat/>
    <w:rPr>
      <w:rFonts w:ascii="Times New Roman" w:hAnsi="Times New Roman"/>
      <w:sz w:val="24"/>
      <w:szCs w:val="22"/>
      <w:lang w:eastAsia="en-US"/>
    </w:rPr>
  </w:style>
  <w:style w:type="paragraph" w:styleId="Revision">
    <w:name w:val="Revision"/>
    <w:hidden/>
    <w:uiPriority w:val="99"/>
    <w:unhideWhenUsed/>
    <w:rsid w:val="005B006A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footer" Target="footer3.xml"/><Relationship Id="rId10" Type="http://schemas.openxmlformats.org/officeDocument/2006/relationships/hyperlink" Target="mailto:lvkiew@um.edu.my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mailto:ccchang01@nycu.edu.tw" TargetMode="External"/><Relationship Id="rId14" Type="http://schemas.openxmlformats.org/officeDocument/2006/relationships/image" Target="media/image4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8BA975B-ECC9-4A08-9621-5B22C1E082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1461</Words>
  <Characters>8331</Characters>
  <Application>Microsoft Office Word</Application>
  <DocSecurity>0</DocSecurity>
  <Lines>69</Lines>
  <Paragraphs>19</Paragraphs>
  <ScaleCrop>false</ScaleCrop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Malar</dc:creator>
  <cp:lastModifiedBy>Bartle, Claudia</cp:lastModifiedBy>
  <cp:revision>4</cp:revision>
  <dcterms:created xsi:type="dcterms:W3CDTF">2024-04-03T01:17:00Z</dcterms:created>
  <dcterms:modified xsi:type="dcterms:W3CDTF">2024-04-03T18:50:00Z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BE30EA14255A495FA5F2446AD39BE690_13</vt:lpwstr>
  </property>
  <property fmtid="{D5CDD505-2E9C-101B-9397-08002B2CF9AE}" pid="4" name="ClassificationContentMarkingFooterShapeIds">
    <vt:lpwstr>2efa58e3,652939d5,7a10d2ba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2024-03-26T21:57:00Z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17194d6e-3f78-4a0c-82a6-7062e56de698</vt:lpwstr>
  </property>
  <property fmtid="{D5CDD505-2E9C-101B-9397-08002B2CF9AE}" pid="13" name="MSIP_Label_2bbab825-a111-45e4-86a1-18cee0005896_ContentBits">
    <vt:lpwstr>2</vt:lpwstr>
  </property>
</Properties>
</file>