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Project Introduction</w:t>
      </w:r>
    </w:p>
    <w:p>
      <w:pPr>
        <w:jc w:val="left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Selection criteria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  <w:t>fully understood this study and voluntarily signed the informed consent form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  <w:t>age ≥18 years, both males and females are eligible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2"/>
          <w:szCs w:val="22"/>
          <w:highlight w:val="none"/>
          <w:shd w:val="clear" w:fill="FFFFFF"/>
          <w:lang w:val="en-US" w:eastAsia="zh-CN"/>
        </w:rPr>
      </w:pP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>patients who met the diagnostic criteria for insomnia disorder in the Diagnostic and Statistical Manual for Mental Disorders, 5th edition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>published by the American Psychiatric Association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2"/>
          <w:szCs w:val="22"/>
          <w:highlight w:val="none"/>
          <w:shd w:val="clear" w:fill="FFFFFF"/>
          <w:lang w:val="en-US" w:eastAsia="zh-CN"/>
        </w:rPr>
      </w:pP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 xml:space="preserve">with a disease duration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≥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 xml:space="preserve">3 months, time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 xml:space="preserve">of 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 xml:space="preserve">falling asleep lasting longer than 30 minutes at least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3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 xml:space="preserve"> times per week or a subjective total sleep time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≤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 xml:space="preserve">6 hours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in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 xml:space="preserve"> night in the past month prior to admission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r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outine bedtime in the past three months falls between 9 PM and 1 AM the following day, and the average time spent in bed each night is ≥7 hours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</w:rPr>
        <w:t>p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 xml:space="preserve">atients who had normal cognitive level, and were able to cooperate with the researcher to complete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</w:rPr>
        <w:t>scale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 xml:space="preserve"> assessment and PSG examination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u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ndergo two consecutive nights of polysomnography (PSG) monitoring, with the mean Total Sleep Time (TST) being ≥240 minutes and ≤390 minutes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d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 xml:space="preserve">uring PSG monitoring, the number of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arousal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 xml:space="preserve"> ≥2 times or total awakening time ≥40 minutes; sleep efficiency &lt;85%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/>
          <w:color w:val="000000"/>
          <w:kern w:val="0"/>
          <w:sz w:val="24"/>
          <w:highlight w:val="none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</w:rPr>
        <w:t>p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 xml:space="preserve">atients who had an Insomnia Severity Index (ISI) score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 xml:space="preserve">≥ 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>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color w:val="000000"/>
          <w:kern w:val="0"/>
          <w:sz w:val="24"/>
          <w:highlight w:val="none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</w:rPr>
        <w:t>patients who did not take sleep medications during the past month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Exclusion criteria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w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ithin 7 days prior to enrollment, the use or anticipated use of drugs that may impair the participant's alertness, cognitive function, and behavior, such as anticholinergic drugs, memory-enhancing drugs, etc.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r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equires long-term use of thyroid or corticosteroid replacement medications.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 xml:space="preserve">working across time zones or working night shifts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during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 xml:space="preserve"> the past month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s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leep affected due to a weight loss program or changes in exercise habits within 30 days prior to enrollment.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w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ork-related reasons or major life changes altered the daily routine within 3 months prior to enrollment.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>severe internal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 xml:space="preserve"> medicine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 xml:space="preserve"> diseases, such as chronic heart, brain, lung, liver, kidney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, and</w:t>
      </w:r>
      <w:r>
        <w:rPr>
          <w:rFonts w:ascii="Times New Roman" w:hAnsi="Times New Roman" w:cs="Times New Roman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>endocrine diseases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</w:rPr>
        <w:t>p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 xml:space="preserve">revious history of epilepsy, schizophrenia, bipolar disorder, neurodevelopmental delay,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</w:rPr>
        <w:t xml:space="preserve">and 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>cognitive impairment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</w:rPr>
        <w:t>p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>revious history of sleep apnea, or history of restless legs syndrome and periodic leg movements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 xml:space="preserve"> PSG monitoring shows an Apnea-Hypopnea Index (AHI) &gt;10 events/hour, or a Periodic Limb Movement Sleep Index (PLMSI) &gt;25 events/hour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</w:rPr>
        <w:t>s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 xml:space="preserve">moking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≥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 xml:space="preserve"> 10 cigarettes per day, drinking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≥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 xml:space="preserve"> 14 units of alcohol per week (1 alcohol unit is equivalent to about 350 m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l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 xml:space="preserve"> of beer with 5% alcohol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>content, or 40 m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l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>of hard liquor with 40% alcohol content, or 150 ml of wine with 12% alcohol content)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</w:rPr>
        <w:t>,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 xml:space="preserve"> or history of toxic exposure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>a Hamilton Anxiety Rating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(HAMA)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 xml:space="preserve"> Scale score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＞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>14, and a Hamilton Depression Rating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 xml:space="preserve">(HAMD) 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 xml:space="preserve">Scale score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 xml:space="preserve">≥ </w:t>
      </w:r>
      <w:r>
        <w:rPr>
          <w:rFonts w:ascii="Times New Roman" w:hAnsi="Times New Roman" w:cs="Times New Roman"/>
          <w:color w:val="000000"/>
          <w:kern w:val="0"/>
          <w:sz w:val="24"/>
          <w:highlight w:val="none"/>
        </w:rPr>
        <w:t>18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Exit criteria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Participant withdraws informed consent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Participant has poor compliance with the study protocol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The researcher considers there to be other situations where the participant is unsuitable to continue in the study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8F623D"/>
    <w:multiLevelType w:val="singleLevel"/>
    <w:tmpl w:val="A18F623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6711F0"/>
    <w:multiLevelType w:val="singleLevel"/>
    <w:tmpl w:val="FE6711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770172D"/>
    <w:multiLevelType w:val="singleLevel"/>
    <w:tmpl w:val="377017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MDA3NWZiYjAwZmUyODY0MTM3N2MzZmQxZDY3NzEifQ=="/>
  </w:docVars>
  <w:rsids>
    <w:rsidRoot w:val="00000000"/>
    <w:rsid w:val="03CC3F79"/>
    <w:rsid w:val="054162A1"/>
    <w:rsid w:val="060C2D53"/>
    <w:rsid w:val="074938C4"/>
    <w:rsid w:val="0B2E5519"/>
    <w:rsid w:val="0B576B48"/>
    <w:rsid w:val="0DE63E89"/>
    <w:rsid w:val="0E372937"/>
    <w:rsid w:val="13EB044B"/>
    <w:rsid w:val="13FF7A53"/>
    <w:rsid w:val="15AA64D6"/>
    <w:rsid w:val="19834C82"/>
    <w:rsid w:val="1D6D3FB9"/>
    <w:rsid w:val="1FEB3581"/>
    <w:rsid w:val="2062521D"/>
    <w:rsid w:val="29873F4C"/>
    <w:rsid w:val="29B64C00"/>
    <w:rsid w:val="29BB5D72"/>
    <w:rsid w:val="2C610E53"/>
    <w:rsid w:val="2C732934"/>
    <w:rsid w:val="2CE101E6"/>
    <w:rsid w:val="3B082DE1"/>
    <w:rsid w:val="462D6A65"/>
    <w:rsid w:val="4ACA660C"/>
    <w:rsid w:val="562C0D3A"/>
    <w:rsid w:val="56FA60FC"/>
    <w:rsid w:val="5B1E4C4E"/>
    <w:rsid w:val="5CEA5CCE"/>
    <w:rsid w:val="5E59732C"/>
    <w:rsid w:val="61266058"/>
    <w:rsid w:val="6177578A"/>
    <w:rsid w:val="62E6182C"/>
    <w:rsid w:val="65B459DE"/>
    <w:rsid w:val="66976C44"/>
    <w:rsid w:val="778036C7"/>
    <w:rsid w:val="78D350D9"/>
    <w:rsid w:val="7C9A0DE4"/>
    <w:rsid w:val="7D954209"/>
    <w:rsid w:val="7EC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goodluck</cp:lastModifiedBy>
  <dcterms:modified xsi:type="dcterms:W3CDTF">2024-02-19T04:24:58Z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9183416F6B6A4AB6BA5ADB325A8BE6BB_12</vt:lpwstr>
  </property>
</Properties>
</file>