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7E2FA" w14:textId="77777777" w:rsidR="00C71892" w:rsidRPr="00271D3B" w:rsidRDefault="00C71892" w:rsidP="00C71892">
      <w:pPr>
        <w:spacing w:line="480" w:lineRule="auto"/>
        <w:outlineLvl w:val="0"/>
        <w:rPr>
          <w:rFonts w:ascii="Times New Roman" w:hAnsi="Times New Roman"/>
          <w:color w:val="000000"/>
          <w:sz w:val="22"/>
        </w:rPr>
      </w:pPr>
      <w:r w:rsidRPr="00271D3B">
        <w:rPr>
          <w:rFonts w:ascii="Times New Roman" w:hAnsi="Times New Roman"/>
          <w:b/>
          <w:color w:val="000000"/>
          <w:sz w:val="28"/>
        </w:rPr>
        <w:t>Supplementary materials</w:t>
      </w:r>
    </w:p>
    <w:p w14:paraId="695B675C" w14:textId="57D90EF0" w:rsidR="00C71892" w:rsidRPr="00271D3B" w:rsidRDefault="00C71892" w:rsidP="00C71892">
      <w:pPr>
        <w:spacing w:line="480" w:lineRule="auto"/>
        <w:rPr>
          <w:rFonts w:ascii="Times New Roman" w:hAnsi="Times New Roman"/>
          <w:color w:val="000000"/>
          <w:sz w:val="22"/>
        </w:rPr>
      </w:pPr>
      <w:r w:rsidRPr="00271D3B">
        <w:rPr>
          <w:rFonts w:ascii="Times New Roman" w:hAnsi="Times New Roman"/>
          <w:color w:val="000000"/>
          <w:sz w:val="22"/>
        </w:rPr>
        <w:t xml:space="preserve">Supplementary Figure S1. Simulated concentration-time profiles of busulfan after intravenous administration of once-daily dosing regimens with various infusion times. Dotted lines represent the 5th and 95th percentiles and solid lines represent the median of the simulated concentration data. Horizontal dashed lines represent the therapeutic reference values for maximum concentration </w:t>
      </w:r>
      <w:r w:rsidRPr="00271D3B">
        <w:rPr>
          <w:rFonts w:ascii="Times New Roman" w:hAnsi="Times New Roman"/>
          <w:color w:val="000000"/>
          <w:sz w:val="22"/>
        </w:rPr>
        <w:fldChar w:fldCharType="begin">
          <w:fldData xml:space="preserve">PEVuZE5vdGU+PENpdGU+PEF1dGhvcj5QaGlsaXBwZTwvQXV0aG9yPjxZZWFyPjIwMTk8L1llYXI+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</w:fldData>
        </w:fldChar>
      </w:r>
      <w:r w:rsidR="008B5235" w:rsidRPr="00271D3B">
        <w:rPr>
          <w:rFonts w:ascii="Times New Roman" w:hAnsi="Times New Roman"/>
          <w:color w:val="000000"/>
          <w:sz w:val="22"/>
        </w:rPr>
        <w:instrText xml:space="preserve"> ADDIN EN.CITE </w:instrText>
      </w:r>
      <w:r w:rsidR="008B5235" w:rsidRPr="00271D3B">
        <w:rPr>
          <w:rFonts w:ascii="Times New Roman" w:hAnsi="Times New Roman"/>
          <w:color w:val="000000"/>
          <w:sz w:val="22"/>
        </w:rPr>
        <w:fldChar w:fldCharType="begin">
          <w:fldData xml:space="preserve">PEVuZE5vdGU+PENpdGU+PEF1dGhvcj5QaGlsaXBwZTwvQXV0aG9yPjxZZWFyPjIwMTk8L1llYXI+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</w:fldData>
        </w:fldChar>
      </w:r>
      <w:r w:rsidR="008B5235" w:rsidRPr="00271D3B">
        <w:rPr>
          <w:rFonts w:ascii="Times New Roman" w:hAnsi="Times New Roman"/>
          <w:color w:val="000000"/>
          <w:sz w:val="22"/>
        </w:rPr>
        <w:instrText xml:space="preserve"> ADDIN EN.CITE.DATA </w:instrText>
      </w:r>
      <w:r w:rsidR="008B5235" w:rsidRPr="00271D3B">
        <w:rPr>
          <w:rFonts w:ascii="Times New Roman" w:hAnsi="Times New Roman"/>
          <w:color w:val="000000"/>
          <w:sz w:val="22"/>
        </w:rPr>
      </w:r>
      <w:r w:rsidR="008B5235" w:rsidRPr="00271D3B">
        <w:rPr>
          <w:rFonts w:ascii="Times New Roman" w:hAnsi="Times New Roman"/>
          <w:color w:val="000000"/>
          <w:sz w:val="22"/>
        </w:rPr>
        <w:fldChar w:fldCharType="end"/>
      </w:r>
      <w:r w:rsidRPr="00271D3B">
        <w:rPr>
          <w:rFonts w:ascii="Times New Roman" w:hAnsi="Times New Roman"/>
          <w:color w:val="000000"/>
          <w:sz w:val="22"/>
        </w:rPr>
      </w:r>
      <w:r w:rsidRPr="00271D3B">
        <w:rPr>
          <w:rFonts w:ascii="Times New Roman" w:hAnsi="Times New Roman"/>
          <w:color w:val="000000"/>
          <w:sz w:val="22"/>
        </w:rPr>
        <w:fldChar w:fldCharType="separate"/>
      </w:r>
      <w:r w:rsidR="008B5235" w:rsidRPr="00271D3B">
        <w:rPr>
          <w:rFonts w:ascii="Times New Roman" w:hAnsi="Times New Roman"/>
          <w:color w:val="000000"/>
          <w:sz w:val="22"/>
          <w:vertAlign w:val="superscript"/>
        </w:rPr>
        <w:t>1</w:t>
      </w:r>
      <w:r w:rsidRPr="00271D3B">
        <w:rPr>
          <w:rFonts w:ascii="Times New Roman" w:hAnsi="Times New Roman"/>
          <w:color w:val="000000"/>
          <w:sz w:val="22"/>
        </w:rPr>
        <w:fldChar w:fldCharType="end"/>
      </w:r>
      <w:r w:rsidRPr="00271D3B">
        <w:rPr>
          <w:rFonts w:ascii="Times New Roman" w:hAnsi="Times New Roman"/>
          <w:color w:val="000000"/>
          <w:sz w:val="22"/>
        </w:rPr>
        <w:t>.</w:t>
      </w:r>
      <w:r w:rsidR="00E87E55" w:rsidRPr="00271D3B">
        <w:rPr>
          <w:rFonts w:ascii="Times New Roman" w:hAnsi="Times New Roman"/>
          <w:color w:val="000000"/>
          <w:sz w:val="22"/>
        </w:rPr>
        <w:t xml:space="preserve"> The dosing regimens were derived from Lee, et al. </w:t>
      </w:r>
      <w:r w:rsidR="00E87E55" w:rsidRPr="00271D3B">
        <w:rPr>
          <w:rFonts w:ascii="Times New Roman" w:hAnsi="Times New Roman"/>
          <w:color w:val="000000"/>
          <w:sz w:val="22"/>
          <w:vertAlign w:val="superscript"/>
        </w:rPr>
        <w:t>2</w:t>
      </w:r>
      <w:r w:rsidR="00E87E55" w:rsidRPr="00271D3B">
        <w:rPr>
          <w:rFonts w:ascii="Times New Roman" w:hAnsi="Times New Roman"/>
          <w:color w:val="000000"/>
          <w:sz w:val="22"/>
        </w:rPr>
        <w:t xml:space="preserve">, Buffery, et al. </w:t>
      </w:r>
      <w:r w:rsidR="00E87E55" w:rsidRPr="00271D3B">
        <w:rPr>
          <w:rFonts w:ascii="Times New Roman" w:hAnsi="Times New Roman"/>
          <w:color w:val="000000"/>
          <w:sz w:val="22"/>
          <w:vertAlign w:val="superscript"/>
        </w:rPr>
        <w:t>3</w:t>
      </w:r>
      <w:r w:rsidR="00E87E55" w:rsidRPr="00271D3B">
        <w:rPr>
          <w:rFonts w:ascii="Times New Roman" w:hAnsi="Times New Roman"/>
          <w:color w:val="000000"/>
          <w:sz w:val="22"/>
        </w:rPr>
        <w:t xml:space="preserve">, Yin, et al. </w:t>
      </w:r>
      <w:r w:rsidR="00E87E55" w:rsidRPr="00271D3B">
        <w:rPr>
          <w:rFonts w:ascii="Times New Roman" w:hAnsi="Times New Roman"/>
          <w:color w:val="000000"/>
          <w:sz w:val="22"/>
          <w:vertAlign w:val="superscript"/>
        </w:rPr>
        <w:t>4</w:t>
      </w:r>
      <w:r w:rsidR="00E87E55" w:rsidRPr="00271D3B">
        <w:rPr>
          <w:rFonts w:ascii="Times New Roman" w:hAnsi="Times New Roman"/>
          <w:color w:val="000000"/>
          <w:sz w:val="22"/>
        </w:rPr>
        <w:t xml:space="preserve">, and Rhee, et al. </w:t>
      </w:r>
      <w:r w:rsidR="00E87E55" w:rsidRPr="00271D3B">
        <w:rPr>
          <w:rFonts w:ascii="Times New Roman" w:hAnsi="Times New Roman"/>
          <w:color w:val="000000"/>
          <w:sz w:val="22"/>
          <w:vertAlign w:val="superscript"/>
        </w:rPr>
        <w:t>5</w:t>
      </w:r>
      <w:r w:rsidR="00E87E55" w:rsidRPr="00271D3B">
        <w:rPr>
          <w:rFonts w:ascii="Times New Roman" w:hAnsi="Times New Roman"/>
          <w:color w:val="000000"/>
          <w:sz w:val="22"/>
        </w:rPr>
        <w:t>.</w:t>
      </w:r>
    </w:p>
    <w:p w14:paraId="72992CC1" w14:textId="5706139F" w:rsidR="00C71892" w:rsidRPr="00271D3B" w:rsidRDefault="00C71892" w:rsidP="00C71892">
      <w:pPr>
        <w:spacing w:line="360" w:lineRule="auto"/>
        <w:rPr>
          <w:rFonts w:ascii="Times New Roman" w:hAnsi="Times New Roman"/>
          <w:color w:val="000000"/>
          <w:sz w:val="24"/>
          <w:szCs w:val="24"/>
        </w:rPr>
      </w:pPr>
      <w:r w:rsidRPr="00271D3B">
        <w:rPr>
          <w:rFonts w:ascii="Times New Roman" w:hAnsi="Times New Roman" w:hint="eastAsia"/>
          <w:color w:val="000000"/>
          <w:sz w:val="24"/>
          <w:szCs w:val="24"/>
        </w:rPr>
        <w:t xml:space="preserve"> </w:t>
      </w:r>
      <w:r w:rsidR="00E84B40" w:rsidRPr="00271D3B">
        <w:rPr>
          <w:rFonts w:ascii="Times New Roman" w:hAnsi="Times New Roman"/>
          <w:color w:val="000000"/>
          <w:sz w:val="24"/>
          <w:szCs w:val="24"/>
        </w:rPr>
        <w:drawing>
          <wp:inline distT="0" distB="0" distL="0" distR="0" wp14:anchorId="46D1B99F" wp14:editId="48DB36B1">
            <wp:extent cx="5606150" cy="303840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6150" cy="3038400"/>
                    </a:xfrm>
                    <a:prstGeom prst="rect">
                      <a:avLst/>
                    </a:prstGeom>
                    <a:noFill/>
                  </pic:spPr>
                </pic:pic>
              </a:graphicData>
            </a:graphic>
          </wp:inline>
        </w:drawing>
      </w:r>
      <w:r w:rsidR="00E84B40" w:rsidRPr="00271D3B">
        <w:rPr>
          <w:rFonts w:ascii="Times New Roman" w:hAnsi="Times New Roman"/>
          <w:color w:val="000000"/>
          <w:sz w:val="24"/>
          <w:szCs w:val="24"/>
        </w:rPr>
        <w:drawing>
          <wp:inline distT="0" distB="0" distL="0" distR="0" wp14:anchorId="241F2307" wp14:editId="32E7BB54">
            <wp:extent cx="5606150" cy="303840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6150" cy="3038400"/>
                    </a:xfrm>
                    <a:prstGeom prst="rect">
                      <a:avLst/>
                    </a:prstGeom>
                    <a:noFill/>
                  </pic:spPr>
                </pic:pic>
              </a:graphicData>
            </a:graphic>
          </wp:inline>
        </w:drawing>
      </w:r>
      <w:r w:rsidR="00E84B40" w:rsidRPr="00271D3B">
        <w:rPr>
          <w:rFonts w:ascii="Times New Roman" w:hAnsi="Times New Roman"/>
          <w:color w:val="000000"/>
          <w:sz w:val="24"/>
          <w:szCs w:val="24"/>
        </w:rPr>
        <w:drawing>
          <wp:inline distT="0" distB="0" distL="0" distR="0" wp14:anchorId="0576653D" wp14:editId="4C5D9334">
            <wp:extent cx="5606150" cy="303840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6150" cy="3038400"/>
                    </a:xfrm>
                    <a:prstGeom prst="rect">
                      <a:avLst/>
                    </a:prstGeom>
                    <a:noFill/>
                  </pic:spPr>
                </pic:pic>
              </a:graphicData>
            </a:graphic>
          </wp:inline>
        </w:drawing>
      </w:r>
    </w:p>
    <w:p w14:paraId="7956DD5F" w14:textId="3AD3D6AB" w:rsidR="00C71892" w:rsidRPr="00271D3B" w:rsidRDefault="00C71892" w:rsidP="00C71892">
      <w:pPr>
        <w:spacing w:line="360" w:lineRule="auto"/>
        <w:rPr>
          <w:rFonts w:ascii="Times New Roman" w:hAnsi="Times New Roman"/>
          <w:color w:val="000000"/>
          <w:sz w:val="24"/>
          <w:szCs w:val="24"/>
        </w:rPr>
      </w:pPr>
      <w:r w:rsidRPr="00271D3B">
        <w:rPr>
          <w:rFonts w:ascii="Times New Roman" w:hAnsi="Times New Roman" w:hint="eastAsia"/>
          <w:color w:val="000000"/>
          <w:sz w:val="24"/>
          <w:szCs w:val="24"/>
        </w:rPr>
        <w:t xml:space="preserve"> </w:t>
      </w:r>
      <w:r w:rsidR="007346FA" w:rsidRPr="00271D3B">
        <w:rPr>
          <w:rFonts w:ascii="Times New Roman" w:hAnsi="Times New Roman"/>
          <w:color w:val="000000"/>
          <w:sz w:val="24"/>
          <w:szCs w:val="24"/>
        </w:rPr>
        <w:drawing>
          <wp:inline distT="0" distB="0" distL="0" distR="0" wp14:anchorId="16F2BF45" wp14:editId="6C93AC85">
            <wp:extent cx="5606150" cy="3038400"/>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6150" cy="3038400"/>
                    </a:xfrm>
                    <a:prstGeom prst="rect">
                      <a:avLst/>
                    </a:prstGeom>
                    <a:noFill/>
                  </pic:spPr>
                </pic:pic>
              </a:graphicData>
            </a:graphic>
          </wp:inline>
        </w:drawing>
      </w:r>
    </w:p>
    <w:p w14:paraId="1477900F" w14:textId="77777777" w:rsidR="00C71892" w:rsidRPr="00271D3B" w:rsidRDefault="00C71892" w:rsidP="00C71892">
      <w:pPr>
        <w:spacing w:line="360" w:lineRule="auto"/>
        <w:rPr>
          <w:rFonts w:ascii="Times New Roman" w:hAnsi="Times New Roman"/>
          <w:color w:val="000000"/>
          <w:sz w:val="24"/>
          <w:szCs w:val="24"/>
        </w:rPr>
      </w:pPr>
    </w:p>
    <w:p w14:paraId="49DE3D61" w14:textId="77777777" w:rsidR="00C71892" w:rsidRPr="00271D3B" w:rsidRDefault="00C71892" w:rsidP="00C71892">
      <w:pPr>
        <w:spacing w:line="360" w:lineRule="auto"/>
        <w:rPr>
          <w:rFonts w:ascii="Times New Roman" w:hAnsi="Times New Roman"/>
          <w:color w:val="000000"/>
          <w:sz w:val="24"/>
          <w:szCs w:val="24"/>
        </w:rPr>
      </w:pPr>
    </w:p>
    <w:p w14:paraId="6DE59956" w14:textId="77777777" w:rsidR="00C71892" w:rsidRPr="00271D3B" w:rsidRDefault="00C71892" w:rsidP="00C71892">
      <w:pPr>
        <w:spacing w:line="480" w:lineRule="auto"/>
        <w:rPr>
          <w:rFonts w:ascii="Times New Roman" w:hAnsi="Times New Roman"/>
          <w:color w:val="000000"/>
          <w:sz w:val="22"/>
        </w:rPr>
      </w:pPr>
    </w:p>
    <w:p w14:paraId="1C38760D" w14:textId="77777777" w:rsidR="00C71892" w:rsidRPr="00271D3B" w:rsidRDefault="00C71892" w:rsidP="00C71892">
      <w:pPr>
        <w:widowControl/>
        <w:wordWrap/>
        <w:autoSpaceDE/>
        <w:autoSpaceDN/>
        <w:spacing w:after="0" w:line="240" w:lineRule="auto"/>
        <w:jc w:val="left"/>
        <w:rPr>
          <w:rFonts w:ascii="Times New Roman" w:hAnsi="Times New Roman"/>
          <w:color w:val="000000"/>
          <w:sz w:val="22"/>
        </w:rPr>
      </w:pPr>
      <w:r w:rsidRPr="00271D3B">
        <w:rPr>
          <w:rFonts w:ascii="Times New Roman" w:hAnsi="Times New Roman"/>
          <w:color w:val="000000"/>
          <w:sz w:val="22"/>
        </w:rPr>
        <w:br w:type="page"/>
      </w:r>
    </w:p>
    <w:p w14:paraId="3D15834D" w14:textId="0DD1C9EE" w:rsidR="00C71892" w:rsidRPr="00271D3B" w:rsidRDefault="00C71892" w:rsidP="00C71892">
      <w:pPr>
        <w:spacing w:line="480" w:lineRule="auto"/>
        <w:rPr>
          <w:rFonts w:ascii="Times New Roman" w:hAnsi="Times New Roman"/>
          <w:color w:val="000000"/>
          <w:sz w:val="22"/>
        </w:rPr>
      </w:pPr>
      <w:r w:rsidRPr="00271D3B">
        <w:rPr>
          <w:rFonts w:ascii="Times New Roman" w:hAnsi="Times New Roman"/>
          <w:color w:val="000000"/>
          <w:sz w:val="22"/>
        </w:rPr>
        <w:t xml:space="preserve">Supplementary Figure S2. Percentages of patients achieving daily Cmax within therapeutic reference values of 1880 μg/L and 3348 μg/L </w:t>
      </w:r>
      <w:r w:rsidRPr="00271D3B">
        <w:rPr>
          <w:rFonts w:ascii="Times New Roman" w:hAnsi="Times New Roman"/>
          <w:color w:val="000000"/>
          <w:sz w:val="22"/>
        </w:rPr>
        <w:fldChar w:fldCharType="begin">
          <w:fldData xml:space="preserve">PEVuZE5vdGU+PENpdGU+PEF1dGhvcj5QaGlsaXBwZTwvQXV0aG9yPjxZZWFyPjIwMTk8L1llYXI+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</w:fldData>
        </w:fldChar>
      </w:r>
      <w:r w:rsidR="008B5235" w:rsidRPr="00271D3B">
        <w:rPr>
          <w:rFonts w:ascii="Times New Roman" w:hAnsi="Times New Roman"/>
          <w:color w:val="000000"/>
          <w:sz w:val="22"/>
        </w:rPr>
        <w:instrText xml:space="preserve"> ADDIN EN.CITE </w:instrText>
      </w:r>
      <w:r w:rsidR="008B5235" w:rsidRPr="00271D3B">
        <w:rPr>
          <w:rFonts w:ascii="Times New Roman" w:hAnsi="Times New Roman"/>
          <w:color w:val="000000"/>
          <w:sz w:val="22"/>
        </w:rPr>
        <w:fldChar w:fldCharType="begin">
          <w:fldData xml:space="preserve">PEVuZE5vdGU+PENpdGU+PEF1dGhvcj5QaGlsaXBwZTwvQXV0aG9yPjxZZWFyPjIwMTk8L1llYXI+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</w:fldData>
        </w:fldChar>
      </w:r>
      <w:r w:rsidR="008B5235" w:rsidRPr="00271D3B">
        <w:rPr>
          <w:rFonts w:ascii="Times New Roman" w:hAnsi="Times New Roman"/>
          <w:color w:val="000000"/>
          <w:sz w:val="22"/>
        </w:rPr>
        <w:instrText xml:space="preserve"> ADDIN EN.CITE.DATA </w:instrText>
      </w:r>
      <w:r w:rsidR="008B5235" w:rsidRPr="00271D3B">
        <w:rPr>
          <w:rFonts w:ascii="Times New Roman" w:hAnsi="Times New Roman"/>
          <w:color w:val="000000"/>
          <w:sz w:val="22"/>
        </w:rPr>
      </w:r>
      <w:r w:rsidR="008B5235" w:rsidRPr="00271D3B">
        <w:rPr>
          <w:rFonts w:ascii="Times New Roman" w:hAnsi="Times New Roman"/>
          <w:color w:val="000000"/>
          <w:sz w:val="22"/>
        </w:rPr>
        <w:fldChar w:fldCharType="end"/>
      </w:r>
      <w:r w:rsidRPr="00271D3B">
        <w:rPr>
          <w:rFonts w:ascii="Times New Roman" w:hAnsi="Times New Roman"/>
          <w:color w:val="000000"/>
          <w:sz w:val="22"/>
        </w:rPr>
      </w:r>
      <w:r w:rsidRPr="00271D3B">
        <w:rPr>
          <w:rFonts w:ascii="Times New Roman" w:hAnsi="Times New Roman"/>
          <w:color w:val="000000"/>
          <w:sz w:val="22"/>
        </w:rPr>
        <w:fldChar w:fldCharType="separate"/>
      </w:r>
      <w:r w:rsidR="008B5235" w:rsidRPr="00271D3B">
        <w:rPr>
          <w:rFonts w:ascii="Times New Roman" w:hAnsi="Times New Roman"/>
          <w:color w:val="000000"/>
          <w:sz w:val="22"/>
          <w:vertAlign w:val="superscript"/>
        </w:rPr>
        <w:t>1</w:t>
      </w:r>
      <w:r w:rsidRPr="00271D3B">
        <w:rPr>
          <w:rFonts w:ascii="Times New Roman" w:hAnsi="Times New Roman"/>
          <w:color w:val="000000"/>
          <w:sz w:val="22"/>
        </w:rPr>
        <w:fldChar w:fldCharType="end"/>
      </w:r>
      <w:r w:rsidRPr="00271D3B">
        <w:rPr>
          <w:rFonts w:ascii="Times New Roman" w:hAnsi="Times New Roman"/>
          <w:color w:val="000000"/>
          <w:sz w:val="22"/>
        </w:rPr>
        <w:t xml:space="preserve"> according to various infusion times</w:t>
      </w:r>
      <w:r w:rsidR="004D6AA5" w:rsidRPr="00271D3B">
        <w:rPr>
          <w:rFonts w:ascii="Times New Roman" w:hAnsi="Times New Roman"/>
          <w:color w:val="000000"/>
          <w:sz w:val="22"/>
        </w:rPr>
        <w:t xml:space="preserve"> and day after busulfan administration</w:t>
      </w:r>
      <w:r w:rsidRPr="00271D3B">
        <w:rPr>
          <w:rFonts w:ascii="Times New Roman" w:hAnsi="Times New Roman"/>
          <w:color w:val="000000"/>
          <w:sz w:val="22"/>
        </w:rPr>
        <w:t>.</w:t>
      </w:r>
      <w:r w:rsidR="00E32AE0" w:rsidRPr="00271D3B">
        <w:rPr>
          <w:rFonts w:ascii="Times New Roman" w:hAnsi="Times New Roman"/>
          <w:color w:val="000000"/>
          <w:sz w:val="22"/>
        </w:rPr>
        <w:t xml:space="preserve"> The dosing regimens were derived from EMA </w:t>
      </w:r>
      <w:r w:rsidR="00E32AE0" w:rsidRPr="00271D3B">
        <w:rPr>
          <w:rFonts w:ascii="Times New Roman" w:hAnsi="Times New Roman"/>
          <w:color w:val="000000"/>
          <w:sz w:val="22"/>
          <w:vertAlign w:val="superscript"/>
        </w:rPr>
        <w:t>6,7,8</w:t>
      </w:r>
      <w:r w:rsidR="00E32AE0" w:rsidRPr="00271D3B">
        <w:rPr>
          <w:rFonts w:ascii="Times New Roman" w:hAnsi="Times New Roman"/>
          <w:color w:val="000000"/>
          <w:sz w:val="22"/>
        </w:rPr>
        <w:t xml:space="preserve">, FDA </w:t>
      </w:r>
      <w:r w:rsidR="00E32AE0" w:rsidRPr="00271D3B">
        <w:rPr>
          <w:rFonts w:ascii="Times New Roman" w:hAnsi="Times New Roman"/>
          <w:color w:val="000000"/>
          <w:sz w:val="22"/>
          <w:vertAlign w:val="superscript"/>
        </w:rPr>
        <w:t>9,10</w:t>
      </w:r>
      <w:r w:rsidR="00E32AE0" w:rsidRPr="00271D3B">
        <w:rPr>
          <w:rFonts w:ascii="Times New Roman" w:hAnsi="Times New Roman"/>
          <w:color w:val="000000"/>
          <w:sz w:val="22"/>
        </w:rPr>
        <w:t xml:space="preserve">, Lee, et al. </w:t>
      </w:r>
      <w:r w:rsidR="00E32AE0" w:rsidRPr="00271D3B">
        <w:rPr>
          <w:rFonts w:ascii="Times New Roman" w:hAnsi="Times New Roman"/>
          <w:color w:val="000000"/>
          <w:sz w:val="22"/>
          <w:vertAlign w:val="superscript"/>
        </w:rPr>
        <w:t>2</w:t>
      </w:r>
      <w:r w:rsidR="00E32AE0" w:rsidRPr="00271D3B">
        <w:rPr>
          <w:rFonts w:ascii="Times New Roman" w:hAnsi="Times New Roman"/>
          <w:color w:val="000000"/>
          <w:sz w:val="22"/>
        </w:rPr>
        <w:t xml:space="preserve">, Buffery, et al. </w:t>
      </w:r>
      <w:r w:rsidR="00E32AE0" w:rsidRPr="00271D3B">
        <w:rPr>
          <w:rFonts w:ascii="Times New Roman" w:hAnsi="Times New Roman"/>
          <w:color w:val="000000"/>
          <w:sz w:val="22"/>
          <w:vertAlign w:val="superscript"/>
        </w:rPr>
        <w:t>3</w:t>
      </w:r>
      <w:r w:rsidR="00E32AE0" w:rsidRPr="00271D3B">
        <w:rPr>
          <w:rFonts w:ascii="Times New Roman" w:hAnsi="Times New Roman"/>
          <w:color w:val="000000"/>
          <w:sz w:val="22"/>
        </w:rPr>
        <w:t xml:space="preserve">, Yin, et al. </w:t>
      </w:r>
      <w:r w:rsidR="00E32AE0" w:rsidRPr="00271D3B">
        <w:rPr>
          <w:rFonts w:ascii="Times New Roman" w:hAnsi="Times New Roman"/>
          <w:color w:val="000000"/>
          <w:sz w:val="22"/>
          <w:vertAlign w:val="superscript"/>
        </w:rPr>
        <w:t>4</w:t>
      </w:r>
      <w:r w:rsidR="00E32AE0" w:rsidRPr="00271D3B">
        <w:rPr>
          <w:rFonts w:ascii="Times New Roman" w:hAnsi="Times New Roman"/>
          <w:color w:val="000000"/>
          <w:sz w:val="22"/>
        </w:rPr>
        <w:t xml:space="preserve">, and Rhee, et al. </w:t>
      </w:r>
      <w:r w:rsidR="00E32AE0" w:rsidRPr="00271D3B">
        <w:rPr>
          <w:rFonts w:ascii="Times New Roman" w:hAnsi="Times New Roman"/>
          <w:color w:val="000000"/>
          <w:sz w:val="22"/>
          <w:vertAlign w:val="superscript"/>
        </w:rPr>
        <w:t>5</w:t>
      </w:r>
      <w:r w:rsidR="00E32AE0" w:rsidRPr="00271D3B">
        <w:rPr>
          <w:rFonts w:ascii="Times New Roman" w:hAnsi="Times New Roman"/>
          <w:color w:val="000000"/>
          <w:sz w:val="22"/>
        </w:rPr>
        <w:t>.</w:t>
      </w:r>
    </w:p>
    <w:p w14:paraId="7D5AEBBF" w14:textId="7F3BF5AD" w:rsidR="00C71892" w:rsidRPr="00271D3B" w:rsidRDefault="004D6AA5" w:rsidP="00C71892">
      <w:pPr>
        <w:widowControl/>
        <w:wordWrap/>
        <w:autoSpaceDE/>
        <w:autoSpaceDN/>
        <w:spacing w:line="360" w:lineRule="auto"/>
        <w:rPr>
          <w:rFonts w:ascii="Times New Roman" w:hAnsi="Times New Roman"/>
          <w:color w:val="000000"/>
          <w:sz w:val="24"/>
          <w:szCs w:val="24"/>
        </w:rPr>
      </w:pPr>
      <w:r w:rsidRPr="00271D3B">
        <w:rPr>
          <w:rFonts w:ascii="Times New Roman" w:hAnsi="Times New Roman"/>
          <w:color w:val="000000"/>
          <w:sz w:val="24"/>
          <w:szCs w:val="24"/>
        </w:rPr>
        <w:drawing>
          <wp:inline distT="0" distB="0" distL="0" distR="0" wp14:anchorId="12D0B787" wp14:editId="1320073C">
            <wp:extent cx="2680800" cy="2340000"/>
            <wp:effectExtent l="0" t="0" r="5715" b="317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800" cy="2340000"/>
                    </a:xfrm>
                    <a:prstGeom prst="rect">
                      <a:avLst/>
                    </a:prstGeom>
                    <a:noFill/>
                  </pic:spPr>
                </pic:pic>
              </a:graphicData>
            </a:graphic>
          </wp:inline>
        </w:drawing>
      </w:r>
      <w:r w:rsidR="00C71892" w:rsidRPr="00271D3B">
        <w:rPr>
          <w:rFonts w:ascii="Times New Roman" w:hAnsi="Times New Roman" w:hint="eastAsia"/>
          <w:color w:val="000000"/>
          <w:sz w:val="24"/>
          <w:szCs w:val="24"/>
        </w:rPr>
        <w:t xml:space="preserve">  </w:t>
      </w:r>
      <w:r w:rsidRPr="00271D3B">
        <w:rPr>
          <w:rFonts w:ascii="Times New Roman" w:hAnsi="Times New Roman"/>
          <w:color w:val="000000"/>
          <w:sz w:val="24"/>
          <w:szCs w:val="24"/>
        </w:rPr>
        <w:drawing>
          <wp:inline distT="0" distB="0" distL="0" distR="0" wp14:anchorId="1964D702" wp14:editId="6BF728EF">
            <wp:extent cx="2680800" cy="2340000"/>
            <wp:effectExtent l="0" t="0" r="5715" b="31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0800" cy="2340000"/>
                    </a:xfrm>
                    <a:prstGeom prst="rect">
                      <a:avLst/>
                    </a:prstGeom>
                    <a:noFill/>
                  </pic:spPr>
                </pic:pic>
              </a:graphicData>
            </a:graphic>
          </wp:inline>
        </w:drawing>
      </w:r>
    </w:p>
    <w:p w14:paraId="2413093B" w14:textId="11E060F3" w:rsidR="00C71892" w:rsidRPr="00271D3B" w:rsidRDefault="004D6AA5" w:rsidP="00C71892">
      <w:pPr>
        <w:widowControl/>
        <w:wordWrap/>
        <w:autoSpaceDE/>
        <w:autoSpaceDN/>
        <w:spacing w:line="360" w:lineRule="auto"/>
        <w:rPr>
          <w:rFonts w:ascii="Times New Roman" w:hAnsi="Times New Roman"/>
          <w:color w:val="000000"/>
          <w:sz w:val="24"/>
          <w:szCs w:val="24"/>
        </w:rPr>
      </w:pPr>
      <w:r w:rsidRPr="00271D3B">
        <w:rPr>
          <w:rFonts w:ascii="Times New Roman" w:hAnsi="Times New Roman"/>
          <w:color w:val="000000"/>
          <w:sz w:val="24"/>
          <w:szCs w:val="24"/>
        </w:rPr>
        <w:drawing>
          <wp:inline distT="0" distB="0" distL="0" distR="0" wp14:anchorId="5C83B166" wp14:editId="215E2E63">
            <wp:extent cx="2680800" cy="2340000"/>
            <wp:effectExtent l="0" t="0" r="5715" b="317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800" cy="2340000"/>
                    </a:xfrm>
                    <a:prstGeom prst="rect">
                      <a:avLst/>
                    </a:prstGeom>
                    <a:noFill/>
                  </pic:spPr>
                </pic:pic>
              </a:graphicData>
            </a:graphic>
          </wp:inline>
        </w:drawing>
      </w:r>
      <w:r w:rsidR="00C71892" w:rsidRPr="00271D3B">
        <w:rPr>
          <w:rFonts w:ascii="Times New Roman" w:hAnsi="Times New Roman" w:hint="eastAsia"/>
          <w:color w:val="000000"/>
          <w:sz w:val="24"/>
          <w:szCs w:val="24"/>
        </w:rPr>
        <w:t xml:space="preserve">  </w:t>
      </w:r>
      <w:r w:rsidRPr="00271D3B">
        <w:rPr>
          <w:rFonts w:ascii="Times New Roman" w:hAnsi="Times New Roman"/>
          <w:color w:val="000000"/>
          <w:sz w:val="24"/>
          <w:szCs w:val="24"/>
        </w:rPr>
        <w:drawing>
          <wp:inline distT="0" distB="0" distL="0" distR="0" wp14:anchorId="495B35B7" wp14:editId="3F8BF9F4">
            <wp:extent cx="2680800" cy="2340000"/>
            <wp:effectExtent l="0" t="0" r="5715" b="317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0800" cy="2340000"/>
                    </a:xfrm>
                    <a:prstGeom prst="rect">
                      <a:avLst/>
                    </a:prstGeom>
                    <a:noFill/>
                  </pic:spPr>
                </pic:pic>
              </a:graphicData>
            </a:graphic>
          </wp:inline>
        </w:drawing>
      </w:r>
    </w:p>
    <w:p w14:paraId="0955E63E" w14:textId="13F8FC96" w:rsidR="00C71892" w:rsidRPr="00271D3B" w:rsidRDefault="004D6AA5" w:rsidP="00C71892">
      <w:pPr>
        <w:widowControl/>
        <w:wordWrap/>
        <w:autoSpaceDE/>
        <w:autoSpaceDN/>
        <w:spacing w:line="360" w:lineRule="auto"/>
        <w:rPr>
          <w:rFonts w:ascii="Times New Roman" w:hAnsi="Times New Roman"/>
          <w:color w:val="000000"/>
          <w:sz w:val="24"/>
          <w:szCs w:val="24"/>
        </w:rPr>
      </w:pPr>
      <w:r w:rsidRPr="00271D3B">
        <w:rPr>
          <w:rFonts w:ascii="Times New Roman" w:hAnsi="Times New Roman"/>
          <w:color w:val="000000"/>
          <w:sz w:val="24"/>
          <w:szCs w:val="24"/>
        </w:rPr>
        <w:drawing>
          <wp:inline distT="0" distB="0" distL="0" distR="0" wp14:anchorId="1BCFF5FE" wp14:editId="33E479E7">
            <wp:extent cx="2680800" cy="2340000"/>
            <wp:effectExtent l="0" t="0" r="5715" b="317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0800" cy="2340000"/>
                    </a:xfrm>
                    <a:prstGeom prst="rect">
                      <a:avLst/>
                    </a:prstGeom>
                    <a:noFill/>
                  </pic:spPr>
                </pic:pic>
              </a:graphicData>
            </a:graphic>
          </wp:inline>
        </w:drawing>
      </w:r>
      <w:r w:rsidR="00C71892" w:rsidRPr="00271D3B">
        <w:rPr>
          <w:rFonts w:ascii="Times New Roman" w:hAnsi="Times New Roman" w:hint="eastAsia"/>
          <w:color w:val="000000"/>
          <w:sz w:val="24"/>
          <w:szCs w:val="24"/>
        </w:rPr>
        <w:t xml:space="preserve">  </w:t>
      </w:r>
      <w:r w:rsidRPr="00271D3B">
        <w:rPr>
          <w:rFonts w:ascii="Times New Roman" w:hAnsi="Times New Roman"/>
          <w:color w:val="000000"/>
          <w:sz w:val="24"/>
          <w:szCs w:val="24"/>
        </w:rPr>
        <w:drawing>
          <wp:inline distT="0" distB="0" distL="0" distR="0" wp14:anchorId="0E7AA804" wp14:editId="0910E0AC">
            <wp:extent cx="2680800" cy="2340000"/>
            <wp:effectExtent l="0" t="0" r="5715" b="317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0800" cy="2340000"/>
                    </a:xfrm>
                    <a:prstGeom prst="rect">
                      <a:avLst/>
                    </a:prstGeom>
                    <a:noFill/>
                  </pic:spPr>
                </pic:pic>
              </a:graphicData>
            </a:graphic>
          </wp:inline>
        </w:drawing>
      </w:r>
    </w:p>
    <w:p w14:paraId="3F6E88C7" w14:textId="30C81037" w:rsidR="00C71892" w:rsidRPr="00271D3B" w:rsidRDefault="004D6AA5" w:rsidP="00C71892">
      <w:pPr>
        <w:widowControl/>
        <w:wordWrap/>
        <w:autoSpaceDE/>
        <w:autoSpaceDN/>
        <w:spacing w:line="360" w:lineRule="auto"/>
        <w:rPr>
          <w:rFonts w:ascii="Times New Roman" w:hAnsi="Times New Roman"/>
          <w:color w:val="000000"/>
          <w:sz w:val="24"/>
          <w:szCs w:val="24"/>
        </w:rPr>
      </w:pPr>
      <w:r w:rsidRPr="00271D3B">
        <w:rPr>
          <w:rFonts w:ascii="Times New Roman" w:hAnsi="Times New Roman"/>
          <w:color w:val="000000"/>
          <w:sz w:val="24"/>
          <w:szCs w:val="24"/>
        </w:rPr>
        <w:drawing>
          <wp:inline distT="0" distB="0" distL="0" distR="0" wp14:anchorId="7467C57A" wp14:editId="1EB5A2F0">
            <wp:extent cx="2680800" cy="2340000"/>
            <wp:effectExtent l="0" t="0" r="5715" b="317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0800" cy="2340000"/>
                    </a:xfrm>
                    <a:prstGeom prst="rect">
                      <a:avLst/>
                    </a:prstGeom>
                    <a:noFill/>
                  </pic:spPr>
                </pic:pic>
              </a:graphicData>
            </a:graphic>
          </wp:inline>
        </w:drawing>
      </w:r>
      <w:r w:rsidR="00C71892" w:rsidRPr="00271D3B">
        <w:rPr>
          <w:rFonts w:ascii="Times New Roman" w:hAnsi="Times New Roman" w:hint="eastAsia"/>
          <w:color w:val="000000"/>
          <w:sz w:val="24"/>
          <w:szCs w:val="24"/>
        </w:rPr>
        <w:t xml:space="preserve">  </w:t>
      </w:r>
      <w:r w:rsidRPr="00271D3B">
        <w:rPr>
          <w:rFonts w:ascii="Times New Roman" w:hAnsi="Times New Roman"/>
          <w:color w:val="000000"/>
          <w:sz w:val="24"/>
          <w:szCs w:val="24"/>
        </w:rPr>
        <w:drawing>
          <wp:inline distT="0" distB="0" distL="0" distR="0" wp14:anchorId="188967BC" wp14:editId="550DE0A0">
            <wp:extent cx="2680800" cy="2340000"/>
            <wp:effectExtent l="0" t="0" r="5715" b="317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0800" cy="2340000"/>
                    </a:xfrm>
                    <a:prstGeom prst="rect">
                      <a:avLst/>
                    </a:prstGeom>
                    <a:noFill/>
                  </pic:spPr>
                </pic:pic>
              </a:graphicData>
            </a:graphic>
          </wp:inline>
        </w:drawing>
      </w:r>
    </w:p>
    <w:p w14:paraId="0E82133C" w14:textId="77777777" w:rsidR="00C71892" w:rsidRPr="00271D3B" w:rsidRDefault="00C71892" w:rsidP="00C71892">
      <w:pPr>
        <w:spacing w:line="480" w:lineRule="auto"/>
        <w:rPr>
          <w:rFonts w:ascii="Times New Roman" w:hAnsi="Times New Roman"/>
          <w:color w:val="000000"/>
          <w:sz w:val="22"/>
        </w:rPr>
      </w:pPr>
    </w:p>
    <w:p w14:paraId="2F28AF94" w14:textId="77777777" w:rsidR="00C71892" w:rsidRPr="00271D3B" w:rsidRDefault="00C71892" w:rsidP="00C71892">
      <w:pPr>
        <w:widowControl/>
        <w:wordWrap/>
        <w:autoSpaceDE/>
        <w:autoSpaceDN/>
        <w:spacing w:after="0" w:line="240" w:lineRule="auto"/>
        <w:jc w:val="left"/>
        <w:rPr>
          <w:rFonts w:ascii="Times New Roman" w:hAnsi="Times New Roman"/>
          <w:color w:val="000000"/>
          <w:sz w:val="22"/>
        </w:rPr>
      </w:pPr>
      <w:r w:rsidRPr="00271D3B">
        <w:rPr>
          <w:rFonts w:ascii="Times New Roman" w:hAnsi="Times New Roman"/>
          <w:color w:val="000000"/>
          <w:sz w:val="22"/>
        </w:rPr>
        <w:br w:type="page"/>
      </w:r>
    </w:p>
    <w:p w14:paraId="46E47EE2" w14:textId="229ECAF8" w:rsidR="00C71892" w:rsidRPr="00271D3B" w:rsidRDefault="00C71892" w:rsidP="00C71892">
      <w:pPr>
        <w:spacing w:line="480" w:lineRule="auto"/>
        <w:rPr>
          <w:rFonts w:ascii="Times New Roman" w:hAnsi="Times New Roman"/>
          <w:color w:val="000000"/>
          <w:sz w:val="22"/>
        </w:rPr>
      </w:pPr>
      <w:r w:rsidRPr="00271D3B">
        <w:rPr>
          <w:rFonts w:ascii="Times New Roman" w:hAnsi="Times New Roman"/>
          <w:color w:val="000000"/>
          <w:sz w:val="22"/>
        </w:rPr>
        <w:t xml:space="preserve">Supplementary Table S1. Percentages of patients achieving daily Cmax within therapeutic reference values of 1880 μg/L and 3348 μg/L </w:t>
      </w:r>
      <w:r w:rsidRPr="00271D3B">
        <w:rPr>
          <w:rFonts w:ascii="Times New Roman" w:hAnsi="Times New Roman"/>
          <w:color w:val="000000"/>
          <w:sz w:val="22"/>
        </w:rPr>
        <w:fldChar w:fldCharType="begin">
          <w:fldData xml:space="preserve">PEVuZE5vdGU+PENpdGU+PEF1dGhvcj5QaGlsaXBwZTwvQXV0aG9yPjxZZWFyPjIwMTk8L1llYXI+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</w:fldData>
        </w:fldChar>
      </w:r>
      <w:r w:rsidR="008B5235" w:rsidRPr="00271D3B">
        <w:rPr>
          <w:rFonts w:ascii="Times New Roman" w:hAnsi="Times New Roman"/>
          <w:color w:val="000000"/>
          <w:sz w:val="22"/>
        </w:rPr>
        <w:instrText xml:space="preserve"> ADDIN EN.CITE </w:instrText>
      </w:r>
      <w:r w:rsidR="008B5235" w:rsidRPr="00271D3B">
        <w:rPr>
          <w:rFonts w:ascii="Times New Roman" w:hAnsi="Times New Roman"/>
          <w:color w:val="000000"/>
          <w:sz w:val="22"/>
        </w:rPr>
        <w:fldChar w:fldCharType="begin">
          <w:fldData xml:space="preserve">PEVuZE5vdGU+PENpdGU+PEF1dGhvcj5QaGlsaXBwZTwvQXV0aG9yPjxZZWFyPjIwMTk8L1llYXI+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</w:fldData>
        </w:fldChar>
      </w:r>
      <w:r w:rsidR="008B5235" w:rsidRPr="00271D3B">
        <w:rPr>
          <w:rFonts w:ascii="Times New Roman" w:hAnsi="Times New Roman"/>
          <w:color w:val="000000"/>
          <w:sz w:val="22"/>
        </w:rPr>
        <w:instrText xml:space="preserve"> ADDIN EN.CITE.DATA </w:instrText>
      </w:r>
      <w:r w:rsidR="008B5235" w:rsidRPr="00271D3B">
        <w:rPr>
          <w:rFonts w:ascii="Times New Roman" w:hAnsi="Times New Roman"/>
          <w:color w:val="000000"/>
          <w:sz w:val="22"/>
        </w:rPr>
      </w:r>
      <w:r w:rsidR="008B5235" w:rsidRPr="00271D3B">
        <w:rPr>
          <w:rFonts w:ascii="Times New Roman" w:hAnsi="Times New Roman"/>
          <w:color w:val="000000"/>
          <w:sz w:val="22"/>
        </w:rPr>
        <w:fldChar w:fldCharType="end"/>
      </w:r>
      <w:r w:rsidRPr="00271D3B">
        <w:rPr>
          <w:rFonts w:ascii="Times New Roman" w:hAnsi="Times New Roman"/>
          <w:color w:val="000000"/>
          <w:sz w:val="22"/>
        </w:rPr>
      </w:r>
      <w:r w:rsidRPr="00271D3B">
        <w:rPr>
          <w:rFonts w:ascii="Times New Roman" w:hAnsi="Times New Roman"/>
          <w:color w:val="000000"/>
          <w:sz w:val="22"/>
        </w:rPr>
        <w:fldChar w:fldCharType="separate"/>
      </w:r>
      <w:r w:rsidR="008B5235" w:rsidRPr="00271D3B">
        <w:rPr>
          <w:rFonts w:ascii="Times New Roman" w:hAnsi="Times New Roman"/>
          <w:color w:val="000000"/>
          <w:sz w:val="22"/>
          <w:vertAlign w:val="superscript"/>
        </w:rPr>
        <w:t>1</w:t>
      </w:r>
      <w:r w:rsidRPr="00271D3B">
        <w:rPr>
          <w:rFonts w:ascii="Times New Roman" w:hAnsi="Times New Roman"/>
          <w:color w:val="000000"/>
          <w:sz w:val="22"/>
        </w:rPr>
        <w:fldChar w:fldCharType="end"/>
      </w:r>
      <w:r w:rsidRPr="00271D3B">
        <w:rPr>
          <w:rFonts w:ascii="Times New Roman" w:hAnsi="Times New Roman"/>
          <w:color w:val="000000"/>
          <w:sz w:val="22"/>
        </w:rPr>
        <w:t xml:space="preserve"> according to various infusion times.</w:t>
      </w:r>
    </w:p>
    <w:p w14:paraId="46E46DD5" w14:textId="3AB3EC28" w:rsidR="00C71892" w:rsidRPr="00271D3B" w:rsidRDefault="00C71892" w:rsidP="00C71892">
      <w:pPr>
        <w:widowControl/>
        <w:wordWrap/>
        <w:autoSpaceDE/>
        <w:autoSpaceDN/>
        <w:spacing w:line="240" w:lineRule="auto"/>
        <w:rPr>
          <w:rFonts w:ascii="Times New Roman" w:hAnsi="Times New Roman"/>
          <w:color w:val="000000"/>
          <w:szCs w:val="24"/>
        </w:rPr>
      </w:pPr>
      <w:r w:rsidRPr="00271D3B">
        <w:rPr>
          <w:color w:val="000000"/>
        </w:rPr>
        <w:drawing>
          <wp:inline distT="0" distB="0" distL="0" distR="0" wp14:anchorId="393029AC" wp14:editId="07BB78E4">
            <wp:extent cx="5731510" cy="5546623"/>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546623"/>
                    </a:xfrm>
                    <a:prstGeom prst="rect">
                      <a:avLst/>
                    </a:prstGeom>
                    <a:noFill/>
                    <a:ln>
                      <a:noFill/>
                    </a:ln>
                  </pic:spPr>
                </pic:pic>
              </a:graphicData>
            </a:graphic>
          </wp:inline>
        </w:drawing>
      </w:r>
      <w:r w:rsidRPr="00271D3B">
        <w:rPr>
          <w:rFonts w:ascii="Times New Roman" w:hAnsi="Times New Roman"/>
          <w:color w:val="000000"/>
          <w:szCs w:val="24"/>
        </w:rPr>
        <w:t>*Intravenous infusion for 2 hours every 6 hours</w:t>
      </w:r>
    </w:p>
    <w:p w14:paraId="3DB4185F" w14:textId="016E3EAB" w:rsidR="00E63E07" w:rsidRPr="00271D3B" w:rsidRDefault="00E63E07" w:rsidP="004F75CE">
      <w:pPr>
        <w:widowControl/>
        <w:wordWrap/>
        <w:autoSpaceDE/>
        <w:autoSpaceDN/>
        <w:spacing w:line="240" w:lineRule="auto"/>
        <w:rPr>
          <w:rFonts w:ascii="Times New Roman" w:hAnsi="Times New Roman"/>
          <w:color w:val="000000"/>
        </w:rPr>
      </w:pPr>
      <w:r w:rsidRPr="00271D3B">
        <w:rPr>
          <w:rFonts w:ascii="Times New Roman" w:hAnsi="Times New Roman"/>
          <w:color w:val="000000"/>
        </w:rPr>
        <w:t xml:space="preserve">Dosing regimens were derived from EMA </w:t>
      </w:r>
      <w:r w:rsidRPr="00271D3B">
        <w:rPr>
          <w:rFonts w:ascii="Times New Roman" w:hAnsi="Times New Roman"/>
          <w:color w:val="000000"/>
          <w:vertAlign w:val="superscript"/>
        </w:rPr>
        <w:t>6,7,8</w:t>
      </w:r>
      <w:r w:rsidRPr="00271D3B">
        <w:rPr>
          <w:rFonts w:ascii="Times New Roman" w:hAnsi="Times New Roman"/>
          <w:color w:val="000000"/>
        </w:rPr>
        <w:t xml:space="preserve">, FDA </w:t>
      </w:r>
      <w:r w:rsidRPr="00271D3B">
        <w:rPr>
          <w:rFonts w:ascii="Times New Roman" w:hAnsi="Times New Roman"/>
          <w:color w:val="000000"/>
          <w:vertAlign w:val="superscript"/>
        </w:rPr>
        <w:t>9,10</w:t>
      </w:r>
      <w:r w:rsidRPr="00271D3B">
        <w:rPr>
          <w:rFonts w:ascii="Times New Roman" w:hAnsi="Times New Roman"/>
          <w:color w:val="000000"/>
        </w:rPr>
        <w:t xml:space="preserve">, Lee, et al. </w:t>
      </w:r>
      <w:r w:rsidRPr="00271D3B">
        <w:rPr>
          <w:rFonts w:ascii="Times New Roman" w:hAnsi="Times New Roman"/>
          <w:color w:val="000000"/>
          <w:vertAlign w:val="superscript"/>
        </w:rPr>
        <w:t>2</w:t>
      </w:r>
      <w:r w:rsidRPr="00271D3B">
        <w:rPr>
          <w:rFonts w:ascii="Times New Roman" w:hAnsi="Times New Roman"/>
          <w:color w:val="000000"/>
        </w:rPr>
        <w:t xml:space="preserve">, Buffery, et al. </w:t>
      </w:r>
      <w:r w:rsidRPr="00271D3B">
        <w:rPr>
          <w:rFonts w:ascii="Times New Roman" w:hAnsi="Times New Roman"/>
          <w:color w:val="000000"/>
          <w:vertAlign w:val="superscript"/>
        </w:rPr>
        <w:t>3</w:t>
      </w:r>
      <w:r w:rsidRPr="00271D3B">
        <w:rPr>
          <w:rFonts w:ascii="Times New Roman" w:hAnsi="Times New Roman"/>
          <w:color w:val="000000"/>
        </w:rPr>
        <w:t xml:space="preserve">, Yin, et al. </w:t>
      </w:r>
      <w:r w:rsidRPr="00271D3B">
        <w:rPr>
          <w:rFonts w:ascii="Times New Roman" w:hAnsi="Times New Roman"/>
          <w:color w:val="000000"/>
          <w:vertAlign w:val="superscript"/>
        </w:rPr>
        <w:t>4</w:t>
      </w:r>
      <w:r w:rsidRPr="00271D3B">
        <w:rPr>
          <w:rFonts w:ascii="Times New Roman" w:hAnsi="Times New Roman"/>
          <w:color w:val="000000"/>
        </w:rPr>
        <w:t xml:space="preserve">, and Rhee, et al. </w:t>
      </w:r>
      <w:r w:rsidRPr="00271D3B">
        <w:rPr>
          <w:rFonts w:ascii="Times New Roman" w:hAnsi="Times New Roman"/>
          <w:color w:val="000000"/>
          <w:vertAlign w:val="superscript"/>
        </w:rPr>
        <w:t>5</w:t>
      </w:r>
      <w:r w:rsidRPr="00271D3B">
        <w:rPr>
          <w:rFonts w:ascii="Times New Roman" w:hAnsi="Times New Roman"/>
          <w:color w:val="000000"/>
        </w:rPr>
        <w:t>.</w:t>
      </w:r>
    </w:p>
    <w:p w14:paraId="44565407" w14:textId="1E538D7E" w:rsidR="00C71892" w:rsidRPr="00271D3B" w:rsidRDefault="00E63E07" w:rsidP="004F75CE">
      <w:pPr>
        <w:widowControl/>
        <w:wordWrap/>
        <w:autoSpaceDE/>
        <w:autoSpaceDN/>
        <w:spacing w:line="240" w:lineRule="auto"/>
        <w:rPr>
          <w:rFonts w:ascii="Times New Roman" w:hAnsi="Times New Roman"/>
          <w:color w:val="000000"/>
          <w:sz w:val="22"/>
        </w:rPr>
      </w:pPr>
      <w:r w:rsidRPr="00271D3B">
        <w:rPr>
          <w:rFonts w:ascii="Times New Roman" w:hAnsi="Times New Roman"/>
          <w:color w:val="000000"/>
          <w:szCs w:val="24"/>
        </w:rPr>
        <w:t>C</w:t>
      </w:r>
      <w:r w:rsidR="00A0608C" w:rsidRPr="00271D3B">
        <w:rPr>
          <w:rFonts w:ascii="Times New Roman" w:hAnsi="Times New Roman"/>
          <w:color w:val="000000"/>
          <w:szCs w:val="24"/>
        </w:rPr>
        <w:t>olored indicators represent a gradient from lighter to darker shades, corresponding to values ranging from 0 to 100.</w:t>
      </w:r>
    </w:p>
    <w:p w14:paraId="03A5CCA9" w14:textId="77777777" w:rsidR="008B5235" w:rsidRPr="00271D3B" w:rsidRDefault="008B5235">
      <w:pPr>
        <w:rPr>
          <w:color w:val="000000"/>
        </w:rPr>
      </w:pPr>
    </w:p>
    <w:p w14:paraId="185D77A6" w14:textId="05632B67" w:rsidR="008B5235" w:rsidRPr="00271D3B" w:rsidRDefault="008B5235">
      <w:pPr>
        <w:widowControl/>
        <w:wordWrap/>
        <w:autoSpaceDE/>
        <w:autoSpaceDN/>
        <w:rPr>
          <w:color w:val="000000"/>
        </w:rPr>
      </w:pPr>
      <w:r w:rsidRPr="00271D3B">
        <w:rPr>
          <w:color w:val="000000"/>
        </w:rPr>
        <w:br w:type="page"/>
      </w:r>
    </w:p>
    <w:p w14:paraId="4884CFD5" w14:textId="6D6CBBC6" w:rsidR="008B5235" w:rsidRPr="00271D3B" w:rsidRDefault="008B5235" w:rsidP="008B5235">
      <w:pPr>
        <w:spacing w:line="480" w:lineRule="auto"/>
        <w:rPr>
          <w:b/>
          <w:bCs/>
          <w:color w:val="000000"/>
        </w:rPr>
      </w:pPr>
      <w:r w:rsidRPr="00271D3B">
        <w:rPr>
          <w:rFonts w:ascii="Times New Roman" w:hAnsi="Times New Roman" w:hint="eastAsia"/>
          <w:b/>
          <w:bCs/>
          <w:color w:val="000000"/>
          <w:sz w:val="22"/>
        </w:rPr>
        <w:t>R</w:t>
      </w:r>
      <w:r w:rsidRPr="00271D3B">
        <w:rPr>
          <w:rFonts w:ascii="Times New Roman" w:hAnsi="Times New Roman"/>
          <w:b/>
          <w:bCs/>
          <w:color w:val="000000"/>
          <w:sz w:val="22"/>
        </w:rPr>
        <w:t>eferences</w:t>
      </w:r>
    </w:p>
    <w:p w14:paraId="21FA2C4B" w14:textId="77777777" w:rsidR="008B5235" w:rsidRPr="00271D3B" w:rsidRDefault="008B5235" w:rsidP="008B5235">
      <w:pPr>
        <w:pStyle w:val="EndNoteBibliography"/>
        <w:rPr>
          <w:noProof w:val="0"/>
          <w:color w:val="000000"/>
        </w:rPr>
      </w:pPr>
      <w:r w:rsidRPr="00271D3B">
        <w:rPr>
          <w:noProof w:val="0"/>
          <w:color w:val="000000"/>
        </w:rPr>
        <w:fldChar w:fldCharType="begin"/>
      </w:r>
      <w:r w:rsidRPr="00271D3B">
        <w:rPr>
          <w:noProof w:val="0"/>
          <w:color w:val="000000"/>
        </w:rPr>
        <w:instrText xml:space="preserve"> ADDIN EN.REFLIST </w:instrText>
      </w:r>
      <w:r w:rsidRPr="00271D3B">
        <w:rPr>
          <w:noProof w:val="0"/>
          <w:color w:val="000000"/>
        </w:rPr>
        <w:fldChar w:fldCharType="separate"/>
      </w:r>
      <w:r w:rsidRPr="00271D3B">
        <w:rPr>
          <w:noProof w:val="0"/>
          <w:color w:val="000000"/>
        </w:rPr>
        <w:t>1.</w:t>
      </w:r>
      <w:r w:rsidRPr="00271D3B">
        <w:rPr>
          <w:noProof w:val="0"/>
          <w:color w:val="000000"/>
        </w:rPr>
        <w:tab/>
        <w:t>Philippe M, Neely M, Rushing T, Bertrand Y, Bleyzac N, Goutelle S. Maximal concentration of intravenous busulfan as a determinant of veno-occlusive disease: a pharmacokinetic-pharmacodynamic analysis in 293 hematopoietic stem cell transplanted children. Bone Marrow Transplant. 2019;54(3):448-457.</w:t>
      </w:r>
    </w:p>
    <w:p w14:paraId="4F7DFCB8" w14:textId="3C2BD394" w:rsidR="00A0608C" w:rsidRPr="00271D3B" w:rsidRDefault="008B5235" w:rsidP="00A0608C">
      <w:pPr>
        <w:rPr>
          <w:color w:val="000000"/>
        </w:rPr>
      </w:pPr>
      <w:r w:rsidRPr="00271D3B">
        <w:rPr>
          <w:color w:val="000000"/>
        </w:rPr>
        <w:fldChar w:fldCharType="end"/>
      </w:r>
      <w:r w:rsidR="00A0608C" w:rsidRPr="00271D3B">
        <w:rPr>
          <w:color w:val="000000"/>
        </w:rPr>
        <w:t>2. Lee JW, Kang HJ, Kim S, et al. Favorable outcome of hematopoietic stem cell transplantation using a targeted once-daily intravenous busulfan-fludarabine-etoposide regimen in pediatric and infant acute lymphoblastic leukemia patients. Biol Blood Marrow Transplant. Jan 2015;21(1):190-5. doi:10.1016/j.bbmt.2014.09.013</w:t>
      </w:r>
    </w:p>
    <w:p w14:paraId="2F55081F" w14:textId="31F74C62" w:rsidR="00A0608C" w:rsidRPr="00271D3B" w:rsidRDefault="00A0608C" w:rsidP="00A0608C">
      <w:pPr>
        <w:rPr>
          <w:color w:val="000000"/>
        </w:rPr>
      </w:pPr>
      <w:r w:rsidRPr="00271D3B">
        <w:rPr>
          <w:color w:val="000000"/>
        </w:rPr>
        <w:t>3.</w:t>
      </w:r>
      <w:r w:rsidRPr="00271D3B">
        <w:rPr>
          <w:color w:val="000000"/>
        </w:rPr>
        <w:tab/>
        <w:t>Buffery PJ, Allen KM, Chin PK, Moore GA, Barclay ML, Begg EJ. Thirteen years' experience of pharmacokinetic monitoring and dosing of busulfan: can the strategy be improved? Ther Drug Monit. Feb 2014;36(1):86-92. doi:10.1097/FTD.0b013e31829dc940</w:t>
      </w:r>
    </w:p>
    <w:p w14:paraId="6C25489A" w14:textId="0D05EE5D" w:rsidR="00A0608C" w:rsidRPr="00271D3B" w:rsidRDefault="00A0608C" w:rsidP="00A0608C">
      <w:pPr>
        <w:rPr>
          <w:color w:val="000000"/>
        </w:rPr>
      </w:pPr>
      <w:r w:rsidRPr="00271D3B">
        <w:rPr>
          <w:color w:val="000000"/>
        </w:rPr>
        <w:t>4.</w:t>
      </w:r>
      <w:r w:rsidRPr="00271D3B">
        <w:rPr>
          <w:color w:val="000000"/>
        </w:rPr>
        <w:tab/>
        <w:t>Yin J, Xiao Y, Zheng H, Zhang YC. Once-daily i.v. BU-based conditioning regimen before allogeneic hematopoietic SCT: a study of influence of GST gene polymorphisms on BU pharmacokinetics and clinical outcomes in Chinese patients. Bone Marrow Transplant. May 2015;50(5):696-705. doi:10.1038/bmt.2015.14</w:t>
      </w:r>
    </w:p>
    <w:p w14:paraId="0D0DF6C8" w14:textId="5675024A" w:rsidR="003A4E89" w:rsidRPr="00271D3B" w:rsidRDefault="00A0608C" w:rsidP="00A0608C">
      <w:pPr>
        <w:rPr>
          <w:color w:val="000000"/>
        </w:rPr>
      </w:pPr>
      <w:r w:rsidRPr="00271D3B">
        <w:rPr>
          <w:color w:val="000000"/>
        </w:rPr>
        <w:t>5.</w:t>
      </w:r>
      <w:r w:rsidRPr="00271D3B">
        <w:rPr>
          <w:color w:val="000000"/>
        </w:rPr>
        <w:tab/>
        <w:t>Rhee SJ, Lee JW, Yu KS, et al. Pediatric patients undergoing hematopoietic stem cell transplantation can greatly benefit from a novel once-daily intravenous busulfan dosing nomogram. Am J Hematol. Jul 2017;92(7):607-613. doi:10.1002/ajh.24734</w:t>
      </w:r>
    </w:p>
    <w:p w14:paraId="468AC212" w14:textId="77777777" w:rsidR="00E32AE0" w:rsidRPr="00271D3B" w:rsidRDefault="00E32AE0" w:rsidP="00E32AE0">
      <w:pPr>
        <w:rPr>
          <w:color w:val="000000"/>
        </w:rPr>
      </w:pPr>
      <w:r w:rsidRPr="00271D3B">
        <w:rPr>
          <w:color w:val="000000"/>
        </w:rPr>
        <w:t>6.</w:t>
      </w:r>
      <w:r w:rsidRPr="00271D3B">
        <w:rPr>
          <w:color w:val="000000"/>
        </w:rPr>
        <w:tab/>
        <w:t xml:space="preserve">Agency EM. Product Information: Busilvex; INN-busulfan, last updated: 01/02/2022, Available from: </w:t>
      </w:r>
      <w:hyperlink r:id="rId22" w:history="1">
        <w:r w:rsidRPr="00271D3B">
          <w:rPr>
            <w:rStyle w:val="Hyperlink"/>
            <w:color w:val="000000"/>
          </w:rPr>
          <w:t>https://www.ema.europa.eu/en/documents/product-information/busilvex-epar-product-information_en.pdf</w:t>
        </w:r>
      </w:hyperlink>
      <w:r w:rsidRPr="00271D3B">
        <w:rPr>
          <w:color w:val="000000"/>
        </w:rPr>
        <w:t>.</w:t>
      </w:r>
    </w:p>
    <w:p w14:paraId="544416F0" w14:textId="77777777" w:rsidR="00E32AE0" w:rsidRPr="00271D3B" w:rsidRDefault="00E32AE0" w:rsidP="00E32AE0">
      <w:pPr>
        <w:rPr>
          <w:color w:val="000000"/>
        </w:rPr>
      </w:pPr>
      <w:r w:rsidRPr="00271D3B">
        <w:rPr>
          <w:color w:val="000000"/>
        </w:rPr>
        <w:t>7.</w:t>
      </w:r>
      <w:r w:rsidRPr="00271D3B">
        <w:rPr>
          <w:color w:val="000000"/>
        </w:rPr>
        <w:tab/>
        <w:t>Kawazoe A, Funaki T, Kim S. Population Pharmacokinetic Analysis of Busulfan in Japanese Pediatric and Adult HCT Patients. J Clin Pharmacol. Sep 2018;58(9):1196-1204. doi:10.1002/jcph.1120</w:t>
      </w:r>
    </w:p>
    <w:p w14:paraId="5330CC54" w14:textId="77777777" w:rsidR="00E32AE0" w:rsidRPr="00271D3B" w:rsidRDefault="00E32AE0" w:rsidP="00E32AE0">
      <w:pPr>
        <w:rPr>
          <w:color w:val="000000"/>
        </w:rPr>
      </w:pPr>
      <w:r w:rsidRPr="00271D3B">
        <w:rPr>
          <w:color w:val="000000"/>
        </w:rPr>
        <w:t>8.</w:t>
      </w:r>
      <w:r w:rsidRPr="00271D3B">
        <w:rPr>
          <w:color w:val="000000"/>
        </w:rPr>
        <w:tab/>
        <w:t>Nguyen L, Fuller D, Lennon S, Leger F, Puozzo C. I.V. busulfan in pediatrics: a novel dosing to improve safety/efficacy for hematopoietic progenitor cell transplantation recipients. Bone Marrow Transplant. May 2004;33(10):979-87. doi:10.1038/sj.bmt.1704446</w:t>
      </w:r>
    </w:p>
    <w:p w14:paraId="61E5C385" w14:textId="3DBA3D01" w:rsidR="00E32AE0" w:rsidRPr="00271D3B" w:rsidRDefault="00E63E07" w:rsidP="00A0608C">
      <w:pPr>
        <w:rPr>
          <w:color w:val="000000"/>
        </w:rPr>
      </w:pPr>
      <w:r w:rsidRPr="00271D3B">
        <w:rPr>
          <w:color w:val="000000"/>
        </w:rPr>
        <w:t>9.</w:t>
      </w:r>
      <w:r w:rsidRPr="00271D3B">
        <w:rPr>
          <w:color w:val="000000"/>
        </w:rPr>
        <w:tab/>
        <w:t xml:space="preserve">FDA U. HIGHLIGHTS OF PRESCRIBING INFORMATION, BUSULFEX (busulfan), Revised: 01/2015, Available from: </w:t>
      </w:r>
      <w:hyperlink r:id="rId23" w:history="1">
        <w:r w:rsidRPr="00271D3B">
          <w:rPr>
            <w:rStyle w:val="Hyperlink"/>
            <w:color w:val="000000"/>
          </w:rPr>
          <w:t>https://www.accessdata.fda.gov/drugsatfda_docs/label/2015/020954s014lbl.pdf</w:t>
        </w:r>
      </w:hyperlink>
      <w:r w:rsidRPr="00271D3B">
        <w:rPr>
          <w:color w:val="000000"/>
        </w:rPr>
        <w:t>.</w:t>
      </w:r>
    </w:p>
    <w:p w14:paraId="4293B4AE" w14:textId="56979B7C" w:rsidR="00E63E07" w:rsidRPr="00271D3B" w:rsidRDefault="00E63E07" w:rsidP="00A0608C">
      <w:pPr>
        <w:rPr>
          <w:color w:val="000000"/>
        </w:rPr>
      </w:pPr>
      <w:r w:rsidRPr="00271D3B">
        <w:rPr>
          <w:color w:val="000000"/>
        </w:rPr>
        <w:t>10.</w:t>
      </w:r>
      <w:r w:rsidRPr="00271D3B">
        <w:rPr>
          <w:color w:val="000000"/>
        </w:rPr>
        <w:tab/>
        <w:t>Booth BP, Rahman A, Dagher R, et al. Population pharmacokinetic-based dosing of intravenous busulfan in pediatric patients. J Clin Pharmacol. Jan 2007;47(1):101-11. doi:10.1177/0091270006295789</w:t>
      </w:r>
    </w:p>
    <w:sectPr w:rsidR="00E63E07" w:rsidRPr="00271D3B" w:rsidSect="00C71892">
      <w:footerReference w:type="even" r:id="rId24"/>
      <w:footerReference w:type="default" r:id="rId25"/>
      <w:footerReference w:type="first" r:id="rId2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B4D6F" w14:textId="77777777" w:rsidR="00987380" w:rsidRDefault="00987380" w:rsidP="008B5235">
      <w:pPr>
        <w:spacing w:after="0" w:line="240" w:lineRule="auto"/>
      </w:pPr>
      <w:r>
        <w:separator/>
      </w:r>
    </w:p>
  </w:endnote>
  <w:endnote w:type="continuationSeparator" w:id="0">
    <w:p w14:paraId="4C0696E0" w14:textId="77777777" w:rsidR="00987380" w:rsidRDefault="00987380" w:rsidP="008B5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5ED0" w14:textId="575ABE8F" w:rsidR="00271D3B" w:rsidRDefault="00271D3B">
    <w:pPr>
      <w:pStyle w:val="Footer"/>
    </w:pPr>
    <w:r>
      <w:rPr>
        <w:noProof/>
      </w:rPr>
      <mc:AlternateContent>
        <mc:Choice Requires="wps">
          <w:drawing>
            <wp:anchor distT="0" distB="0" distL="0" distR="0" simplePos="0" relativeHeight="251659264" behindDoc="0" locked="0" layoutInCell="1" allowOverlap="1" wp14:anchorId="4F4D6A69" wp14:editId="58C0A0E7">
              <wp:simplePos x="635" y="635"/>
              <wp:positionH relativeFrom="page">
                <wp:align>left</wp:align>
              </wp:positionH>
              <wp:positionV relativeFrom="page">
                <wp:align>bottom</wp:align>
              </wp:positionV>
              <wp:extent cx="443865" cy="443865"/>
              <wp:effectExtent l="0" t="0" r="16510" b="0"/>
              <wp:wrapNone/>
              <wp:docPr id="186877536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33E01" w14:textId="6AFE7591" w:rsidR="00271D3B" w:rsidRPr="00271D3B" w:rsidRDefault="00271D3B" w:rsidP="00271D3B">
                          <w:pPr>
                            <w:spacing w:after="0"/>
                            <w:rPr>
                              <w:rFonts w:ascii="Rockwell" w:eastAsia="Rockwell" w:hAnsi="Rockwell" w:cs="Rockwell"/>
                              <w:noProof/>
                              <w:color w:val="0078D7"/>
                              <w:sz w:val="18"/>
                              <w:szCs w:val="18"/>
                            </w:rPr>
                          </w:pPr>
                          <w:r w:rsidRPr="00271D3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4D6A69"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48D33E01" w14:textId="6AFE7591" w:rsidR="00271D3B" w:rsidRPr="00271D3B" w:rsidRDefault="00271D3B" w:rsidP="00271D3B">
                    <w:pPr>
                      <w:spacing w:after="0"/>
                      <w:rPr>
                        <w:rFonts w:ascii="Rockwell" w:eastAsia="Rockwell" w:hAnsi="Rockwell" w:cs="Rockwell"/>
                        <w:noProof/>
                        <w:color w:val="0078D7"/>
                        <w:sz w:val="18"/>
                        <w:szCs w:val="18"/>
                      </w:rPr>
                    </w:pPr>
                    <w:r w:rsidRPr="00271D3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76291" w14:textId="502A1436" w:rsidR="00271D3B" w:rsidRDefault="00271D3B">
    <w:pPr>
      <w:pStyle w:val="Footer"/>
    </w:pPr>
    <w:r>
      <w:rPr>
        <w:noProof/>
      </w:rPr>
      <mc:AlternateContent>
        <mc:Choice Requires="wps">
          <w:drawing>
            <wp:anchor distT="0" distB="0" distL="0" distR="0" simplePos="0" relativeHeight="251660288" behindDoc="0" locked="0" layoutInCell="1" allowOverlap="1" wp14:anchorId="7956420A" wp14:editId="1251FFBF">
              <wp:simplePos x="635" y="635"/>
              <wp:positionH relativeFrom="page">
                <wp:align>left</wp:align>
              </wp:positionH>
              <wp:positionV relativeFrom="page">
                <wp:align>bottom</wp:align>
              </wp:positionV>
              <wp:extent cx="443865" cy="443865"/>
              <wp:effectExtent l="0" t="0" r="16510" b="0"/>
              <wp:wrapNone/>
              <wp:docPr id="53785941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2910C4" w14:textId="76750FDC" w:rsidR="00271D3B" w:rsidRPr="00271D3B" w:rsidRDefault="00271D3B" w:rsidP="00271D3B">
                          <w:pPr>
                            <w:spacing w:after="0"/>
                            <w:rPr>
                              <w:rFonts w:ascii="Rockwell" w:eastAsia="Rockwell" w:hAnsi="Rockwell" w:cs="Rockwell"/>
                              <w:noProof/>
                              <w:color w:val="0078D7"/>
                              <w:sz w:val="18"/>
                              <w:szCs w:val="18"/>
                            </w:rPr>
                          </w:pPr>
                          <w:r w:rsidRPr="00271D3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56420A"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442910C4" w14:textId="76750FDC" w:rsidR="00271D3B" w:rsidRPr="00271D3B" w:rsidRDefault="00271D3B" w:rsidP="00271D3B">
                    <w:pPr>
                      <w:spacing w:after="0"/>
                      <w:rPr>
                        <w:rFonts w:ascii="Rockwell" w:eastAsia="Rockwell" w:hAnsi="Rockwell" w:cs="Rockwell"/>
                        <w:noProof/>
                        <w:color w:val="0078D7"/>
                        <w:sz w:val="18"/>
                        <w:szCs w:val="18"/>
                      </w:rPr>
                    </w:pPr>
                    <w:r w:rsidRPr="00271D3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19A2" w14:textId="6BA8C345" w:rsidR="00271D3B" w:rsidRDefault="00271D3B">
    <w:pPr>
      <w:pStyle w:val="Footer"/>
    </w:pPr>
    <w:r>
      <w:rPr>
        <w:noProof/>
      </w:rPr>
      <mc:AlternateContent>
        <mc:Choice Requires="wps">
          <w:drawing>
            <wp:anchor distT="0" distB="0" distL="0" distR="0" simplePos="0" relativeHeight="251658240" behindDoc="0" locked="0" layoutInCell="1" allowOverlap="1" wp14:anchorId="44583131" wp14:editId="2BD48CBC">
              <wp:simplePos x="635" y="635"/>
              <wp:positionH relativeFrom="page">
                <wp:align>left</wp:align>
              </wp:positionH>
              <wp:positionV relativeFrom="page">
                <wp:align>bottom</wp:align>
              </wp:positionV>
              <wp:extent cx="443865" cy="443865"/>
              <wp:effectExtent l="0" t="0" r="16510" b="0"/>
              <wp:wrapNone/>
              <wp:docPr id="111594838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1816A3" w14:textId="532947D3" w:rsidR="00271D3B" w:rsidRPr="00271D3B" w:rsidRDefault="00271D3B" w:rsidP="00271D3B">
                          <w:pPr>
                            <w:spacing w:after="0"/>
                            <w:rPr>
                              <w:rFonts w:ascii="Rockwell" w:eastAsia="Rockwell" w:hAnsi="Rockwell" w:cs="Rockwell"/>
                              <w:noProof/>
                              <w:color w:val="0078D7"/>
                              <w:sz w:val="18"/>
                              <w:szCs w:val="18"/>
                            </w:rPr>
                          </w:pPr>
                          <w:r w:rsidRPr="00271D3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583131"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4C1816A3" w14:textId="532947D3" w:rsidR="00271D3B" w:rsidRPr="00271D3B" w:rsidRDefault="00271D3B" w:rsidP="00271D3B">
                    <w:pPr>
                      <w:spacing w:after="0"/>
                      <w:rPr>
                        <w:rFonts w:ascii="Rockwell" w:eastAsia="Rockwell" w:hAnsi="Rockwell" w:cs="Rockwell"/>
                        <w:noProof/>
                        <w:color w:val="0078D7"/>
                        <w:sz w:val="18"/>
                        <w:szCs w:val="18"/>
                      </w:rPr>
                    </w:pPr>
                    <w:r w:rsidRPr="00271D3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88109" w14:textId="77777777" w:rsidR="00987380" w:rsidRDefault="00987380" w:rsidP="008B5235">
      <w:pPr>
        <w:spacing w:after="0" w:line="240" w:lineRule="auto"/>
      </w:pPr>
      <w:r>
        <w:separator/>
      </w:r>
    </w:p>
  </w:footnote>
  <w:footnote w:type="continuationSeparator" w:id="0">
    <w:p w14:paraId="49036A33" w14:textId="77777777" w:rsidR="00987380" w:rsidRDefault="00987380" w:rsidP="008B5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02610"/>
    <w:multiLevelType w:val="hybridMultilevel"/>
    <w:tmpl w:val="1632DB20"/>
    <w:lvl w:ilvl="0" w:tplc="1E669C6A">
      <w:start w:val="1"/>
      <w:numFmt w:val="upperRoman"/>
      <w:lvlText w:val="%1."/>
      <w:lvlJc w:val="left"/>
      <w:pPr>
        <w:ind w:left="720" w:hanging="720"/>
      </w:pPr>
      <w:rPr>
        <w:rFonts w:hint="default"/>
        <w:b/>
        <w:bCs/>
        <w:sz w:val="28"/>
        <w:szCs w:val="28"/>
      </w:rPr>
    </w:lvl>
    <w:lvl w:ilvl="1" w:tplc="6D54AFA6">
      <w:start w:val="1"/>
      <w:numFmt w:val="upperLetter"/>
      <w:lvlText w:val="%2."/>
      <w:lvlJc w:val="left"/>
      <w:pPr>
        <w:ind w:left="800" w:hanging="400"/>
      </w:pPr>
      <w:rPr>
        <w:b w:val="0"/>
        <w:sz w:val="20"/>
        <w:szCs w:val="20"/>
      </w:rPr>
    </w:lvl>
    <w:lvl w:ilvl="2" w:tplc="3B024982">
      <w:start w:val="1"/>
      <w:numFmt w:val="bullet"/>
      <w:lvlText w:val="•"/>
      <w:lvlJc w:val="left"/>
      <w:pPr>
        <w:ind w:left="1200" w:hanging="400"/>
      </w:pPr>
      <w:rPr>
        <w:rFonts w:ascii="Malgun Gothic" w:eastAsia="Malgun Gothic" w:hAnsi="Malgun Gothic" w:hint="eastAsia"/>
        <w:b w:val="0"/>
        <w:sz w:val="24"/>
        <w:szCs w:val="24"/>
        <w:lang w:val="en-US"/>
      </w:rPr>
    </w:lvl>
    <w:lvl w:ilvl="3" w:tplc="D956648E">
      <w:start w:val="1"/>
      <w:numFmt w:val="bullet"/>
      <w:lvlText w:val="–"/>
      <w:lvlJc w:val="left"/>
      <w:pPr>
        <w:ind w:left="1600" w:hanging="400"/>
      </w:pPr>
      <w:rPr>
        <w:rFonts w:ascii="Malgun Gothic" w:eastAsia="Malgun Gothic" w:hAnsi="Malgun Gothic" w:hint="eastAsia"/>
        <w:lang w:val="en-US"/>
      </w:rPr>
    </w:lvl>
    <w:lvl w:ilvl="4" w:tplc="04090009">
      <w:start w:val="1"/>
      <w:numFmt w:val="bullet"/>
      <w:lvlText w:val=""/>
      <w:lvlJc w:val="left"/>
      <w:pPr>
        <w:ind w:left="2000" w:hanging="400"/>
      </w:pPr>
      <w:rPr>
        <w:rFonts w:ascii="Wingdings" w:hAnsi="Wingdings" w:hint="default"/>
      </w:rPr>
    </w:lvl>
    <w:lvl w:ilvl="5" w:tplc="9D404BD8">
      <w:start w:val="1"/>
      <w:numFmt w:val="bullet"/>
      <w:lvlText w:val=""/>
      <w:lvlJc w:val="left"/>
      <w:pPr>
        <w:ind w:left="2360" w:hanging="360"/>
      </w:pPr>
      <w:rPr>
        <w:rFonts w:ascii="Wingdings" w:hAnsi="Wingdings" w:hint="default"/>
        <w:b w:val="0"/>
      </w:r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num w:numId="1" w16cid:durableId="248849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5"/>
  <w:bordersDoNotSurroundHeader/>
  <w:bordersDoNotSurroundFooter/>
  <w:doNotTrackFormatting/>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ematologica&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ztzfst1at2xlef2vixf05pv2s0pszv2d2e&quot;&gt;Busulfan&lt;record-ids&gt;&lt;item&gt;16&lt;/item&gt;&lt;/record-ids&gt;&lt;/item&gt;&lt;/Libraries&gt;"/>
  </w:docVars>
  <w:rsids>
    <w:rsidRoot w:val="00C71892"/>
    <w:rsid w:val="000F5AE0"/>
    <w:rsid w:val="00271D3B"/>
    <w:rsid w:val="002E0668"/>
    <w:rsid w:val="003831D0"/>
    <w:rsid w:val="003A4E89"/>
    <w:rsid w:val="004D6AA5"/>
    <w:rsid w:val="004F75CE"/>
    <w:rsid w:val="006B6EFA"/>
    <w:rsid w:val="007346FA"/>
    <w:rsid w:val="00864463"/>
    <w:rsid w:val="008B5235"/>
    <w:rsid w:val="00950CF6"/>
    <w:rsid w:val="00987380"/>
    <w:rsid w:val="00A0608C"/>
    <w:rsid w:val="00A41AD9"/>
    <w:rsid w:val="00C71892"/>
    <w:rsid w:val="00D62488"/>
    <w:rsid w:val="00DE5DFC"/>
    <w:rsid w:val="00E32AE0"/>
    <w:rsid w:val="00E34ED1"/>
    <w:rsid w:val="00E63E07"/>
    <w:rsid w:val="00E84B40"/>
    <w:rsid w:val="00E87E55"/>
    <w:rsid w:val="00FB71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5B5B48"/>
  <w15:chartTrackingRefBased/>
  <w15:docId w15:val="{21D9E99D-B969-4256-9CA7-BBB973F3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892"/>
    <w:pPr>
      <w:widowControl w:val="0"/>
      <w:wordWrap w:val="0"/>
      <w:autoSpaceDE w:val="0"/>
      <w:autoSpaceDN w:val="0"/>
    </w:pPr>
    <w:rPr>
      <w:rFonts w:ascii="Malgun Gothic" w:eastAsia="Malgun Gothic" w:hAnsi="Malgun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892"/>
    <w:pPr>
      <w:widowControl/>
      <w:wordWrap/>
      <w:autoSpaceDE/>
      <w:autoSpaceDN/>
      <w:spacing w:after="0" w:line="240" w:lineRule="auto"/>
      <w:ind w:leftChars="400" w:left="800"/>
      <w:jc w:val="left"/>
    </w:pPr>
    <w:rPr>
      <w:rFonts w:ascii="Times New Roman" w:hAnsi="Times New Roman"/>
      <w:kern w:val="0"/>
      <w:sz w:val="24"/>
      <w:szCs w:val="24"/>
      <w:lang w:eastAsia="en-US"/>
    </w:rPr>
  </w:style>
  <w:style w:type="character" w:styleId="LineNumber">
    <w:name w:val="line number"/>
    <w:basedOn w:val="DefaultParagraphFont"/>
    <w:uiPriority w:val="99"/>
    <w:semiHidden/>
    <w:unhideWhenUsed/>
    <w:rsid w:val="00C71892"/>
  </w:style>
  <w:style w:type="paragraph" w:styleId="Header">
    <w:name w:val="header"/>
    <w:basedOn w:val="Normal"/>
    <w:link w:val="HeaderChar"/>
    <w:uiPriority w:val="99"/>
    <w:unhideWhenUsed/>
    <w:rsid w:val="008B5235"/>
    <w:pPr>
      <w:tabs>
        <w:tab w:val="center" w:pos="4513"/>
        <w:tab w:val="right" w:pos="9026"/>
      </w:tabs>
      <w:snapToGrid w:val="0"/>
    </w:pPr>
  </w:style>
  <w:style w:type="character" w:customStyle="1" w:styleId="HeaderChar">
    <w:name w:val="Header Char"/>
    <w:basedOn w:val="DefaultParagraphFont"/>
    <w:link w:val="Header"/>
    <w:uiPriority w:val="99"/>
    <w:rsid w:val="008B5235"/>
    <w:rPr>
      <w:rFonts w:ascii="Malgun Gothic" w:eastAsia="Malgun Gothic" w:hAnsi="Malgun Gothic" w:cs="Times New Roman"/>
    </w:rPr>
  </w:style>
  <w:style w:type="paragraph" w:styleId="Footer">
    <w:name w:val="footer"/>
    <w:basedOn w:val="Normal"/>
    <w:link w:val="FooterChar"/>
    <w:uiPriority w:val="99"/>
    <w:unhideWhenUsed/>
    <w:rsid w:val="008B5235"/>
    <w:pPr>
      <w:tabs>
        <w:tab w:val="center" w:pos="4513"/>
        <w:tab w:val="right" w:pos="9026"/>
      </w:tabs>
      <w:snapToGrid w:val="0"/>
    </w:pPr>
  </w:style>
  <w:style w:type="character" w:customStyle="1" w:styleId="FooterChar">
    <w:name w:val="Footer Char"/>
    <w:basedOn w:val="DefaultParagraphFont"/>
    <w:link w:val="Footer"/>
    <w:uiPriority w:val="99"/>
    <w:rsid w:val="008B5235"/>
    <w:rPr>
      <w:rFonts w:ascii="Malgun Gothic" w:eastAsia="Malgun Gothic" w:hAnsi="Malgun Gothic" w:cs="Times New Roman"/>
    </w:rPr>
  </w:style>
  <w:style w:type="paragraph" w:customStyle="1" w:styleId="EndNoteBibliographyTitle">
    <w:name w:val="EndNote Bibliography Title"/>
    <w:basedOn w:val="Normal"/>
    <w:link w:val="EndNoteBibliographyTitleChar"/>
    <w:rsid w:val="008B5235"/>
    <w:pPr>
      <w:spacing w:after="0"/>
      <w:jc w:val="center"/>
    </w:pPr>
    <w:rPr>
      <w:noProof/>
    </w:rPr>
  </w:style>
  <w:style w:type="character" w:customStyle="1" w:styleId="EndNoteBibliographyTitleChar">
    <w:name w:val="EndNote Bibliography Title Char"/>
    <w:basedOn w:val="DefaultParagraphFont"/>
    <w:link w:val="EndNoteBibliographyTitle"/>
    <w:rsid w:val="008B5235"/>
    <w:rPr>
      <w:rFonts w:ascii="Malgun Gothic" w:eastAsia="Malgun Gothic" w:hAnsi="Malgun Gothic" w:cs="Times New Roman"/>
      <w:noProof/>
    </w:rPr>
  </w:style>
  <w:style w:type="paragraph" w:customStyle="1" w:styleId="EndNoteBibliography">
    <w:name w:val="EndNote Bibliography"/>
    <w:basedOn w:val="Normal"/>
    <w:link w:val="EndNoteBibliographyChar"/>
    <w:rsid w:val="008B5235"/>
    <w:pPr>
      <w:spacing w:line="240" w:lineRule="auto"/>
    </w:pPr>
    <w:rPr>
      <w:noProof/>
    </w:rPr>
  </w:style>
  <w:style w:type="character" w:customStyle="1" w:styleId="EndNoteBibliographyChar">
    <w:name w:val="EndNote Bibliography Char"/>
    <w:basedOn w:val="DefaultParagraphFont"/>
    <w:link w:val="EndNoteBibliography"/>
    <w:rsid w:val="008B5235"/>
    <w:rPr>
      <w:rFonts w:ascii="Malgun Gothic" w:eastAsia="Malgun Gothic" w:hAnsi="Malgun Gothic" w:cs="Times New Roman"/>
      <w:noProof/>
    </w:rPr>
  </w:style>
  <w:style w:type="character" w:styleId="Hyperlink">
    <w:name w:val="Hyperlink"/>
    <w:basedOn w:val="DefaultParagraphFont"/>
    <w:uiPriority w:val="99"/>
    <w:unhideWhenUsed/>
    <w:rsid w:val="00E32A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77960">
      <w:bodyDiv w:val="1"/>
      <w:marLeft w:val="0"/>
      <w:marRight w:val="0"/>
      <w:marTop w:val="0"/>
      <w:marBottom w:val="0"/>
      <w:divBdr>
        <w:top w:val="none" w:sz="0" w:space="0" w:color="auto"/>
        <w:left w:val="none" w:sz="0" w:space="0" w:color="auto"/>
        <w:bottom w:val="none" w:sz="0" w:space="0" w:color="auto"/>
        <w:right w:val="none" w:sz="0" w:space="0" w:color="auto"/>
      </w:divBdr>
      <w:divsChild>
        <w:div w:id="155415177">
          <w:marLeft w:val="0"/>
          <w:marRight w:val="0"/>
          <w:marTop w:val="0"/>
          <w:marBottom w:val="0"/>
          <w:divBdr>
            <w:top w:val="single" w:sz="2" w:space="0" w:color="E3E3E3"/>
            <w:left w:val="single" w:sz="2" w:space="0" w:color="E3E3E3"/>
            <w:bottom w:val="single" w:sz="2" w:space="0" w:color="E3E3E3"/>
            <w:right w:val="single" w:sz="2" w:space="0" w:color="E3E3E3"/>
          </w:divBdr>
          <w:divsChild>
            <w:div w:id="99424251">
              <w:marLeft w:val="0"/>
              <w:marRight w:val="0"/>
              <w:marTop w:val="0"/>
              <w:marBottom w:val="0"/>
              <w:divBdr>
                <w:top w:val="single" w:sz="2" w:space="0" w:color="E3E3E3"/>
                <w:left w:val="single" w:sz="2" w:space="0" w:color="E3E3E3"/>
                <w:bottom w:val="single" w:sz="2" w:space="0" w:color="E3E3E3"/>
                <w:right w:val="single" w:sz="2" w:space="0" w:color="E3E3E3"/>
              </w:divBdr>
              <w:divsChild>
                <w:div w:id="207957622">
                  <w:marLeft w:val="0"/>
                  <w:marRight w:val="0"/>
                  <w:marTop w:val="0"/>
                  <w:marBottom w:val="0"/>
                  <w:divBdr>
                    <w:top w:val="single" w:sz="2" w:space="0" w:color="E3E3E3"/>
                    <w:left w:val="single" w:sz="2" w:space="0" w:color="E3E3E3"/>
                    <w:bottom w:val="single" w:sz="2" w:space="0" w:color="E3E3E3"/>
                    <w:right w:val="single" w:sz="2" w:space="0" w:color="E3E3E3"/>
                  </w:divBdr>
                  <w:divsChild>
                    <w:div w:id="295456557">
                      <w:marLeft w:val="0"/>
                      <w:marRight w:val="0"/>
                      <w:marTop w:val="0"/>
                      <w:marBottom w:val="0"/>
                      <w:divBdr>
                        <w:top w:val="single" w:sz="2" w:space="0" w:color="E3E3E3"/>
                        <w:left w:val="single" w:sz="2" w:space="0" w:color="E3E3E3"/>
                        <w:bottom w:val="single" w:sz="2" w:space="0" w:color="E3E3E3"/>
                        <w:right w:val="single" w:sz="2" w:space="0" w:color="E3E3E3"/>
                      </w:divBdr>
                      <w:divsChild>
                        <w:div w:id="1310133626">
                          <w:marLeft w:val="0"/>
                          <w:marRight w:val="0"/>
                          <w:marTop w:val="0"/>
                          <w:marBottom w:val="0"/>
                          <w:divBdr>
                            <w:top w:val="single" w:sz="2" w:space="0" w:color="E3E3E3"/>
                            <w:left w:val="single" w:sz="2" w:space="0" w:color="E3E3E3"/>
                            <w:bottom w:val="single" w:sz="2" w:space="0" w:color="E3E3E3"/>
                            <w:right w:val="single" w:sz="2" w:space="0" w:color="E3E3E3"/>
                          </w:divBdr>
                          <w:divsChild>
                            <w:div w:id="314651710">
                              <w:marLeft w:val="0"/>
                              <w:marRight w:val="0"/>
                              <w:marTop w:val="100"/>
                              <w:marBottom w:val="100"/>
                              <w:divBdr>
                                <w:top w:val="single" w:sz="2" w:space="0" w:color="E3E3E3"/>
                                <w:left w:val="single" w:sz="2" w:space="0" w:color="E3E3E3"/>
                                <w:bottom w:val="single" w:sz="2" w:space="0" w:color="E3E3E3"/>
                                <w:right w:val="single" w:sz="2" w:space="0" w:color="E3E3E3"/>
                              </w:divBdr>
                              <w:divsChild>
                                <w:div w:id="163009639">
                                  <w:marLeft w:val="0"/>
                                  <w:marRight w:val="0"/>
                                  <w:marTop w:val="0"/>
                                  <w:marBottom w:val="0"/>
                                  <w:divBdr>
                                    <w:top w:val="single" w:sz="2" w:space="0" w:color="E3E3E3"/>
                                    <w:left w:val="single" w:sz="2" w:space="0" w:color="E3E3E3"/>
                                    <w:bottom w:val="single" w:sz="2" w:space="0" w:color="E3E3E3"/>
                                    <w:right w:val="single" w:sz="2" w:space="0" w:color="E3E3E3"/>
                                  </w:divBdr>
                                  <w:divsChild>
                                    <w:div w:id="107625476">
                                      <w:marLeft w:val="0"/>
                                      <w:marRight w:val="0"/>
                                      <w:marTop w:val="0"/>
                                      <w:marBottom w:val="0"/>
                                      <w:divBdr>
                                        <w:top w:val="single" w:sz="2" w:space="0" w:color="E3E3E3"/>
                                        <w:left w:val="single" w:sz="2" w:space="0" w:color="E3E3E3"/>
                                        <w:bottom w:val="single" w:sz="2" w:space="0" w:color="E3E3E3"/>
                                        <w:right w:val="single" w:sz="2" w:space="0" w:color="E3E3E3"/>
                                      </w:divBdr>
                                      <w:divsChild>
                                        <w:div w:id="1833330642">
                                          <w:marLeft w:val="0"/>
                                          <w:marRight w:val="0"/>
                                          <w:marTop w:val="0"/>
                                          <w:marBottom w:val="0"/>
                                          <w:divBdr>
                                            <w:top w:val="single" w:sz="2" w:space="0" w:color="E3E3E3"/>
                                            <w:left w:val="single" w:sz="2" w:space="0" w:color="E3E3E3"/>
                                            <w:bottom w:val="single" w:sz="2" w:space="0" w:color="E3E3E3"/>
                                            <w:right w:val="single" w:sz="2" w:space="0" w:color="E3E3E3"/>
                                          </w:divBdr>
                                          <w:divsChild>
                                            <w:div w:id="1024285552">
                                              <w:marLeft w:val="0"/>
                                              <w:marRight w:val="0"/>
                                              <w:marTop w:val="0"/>
                                              <w:marBottom w:val="0"/>
                                              <w:divBdr>
                                                <w:top w:val="single" w:sz="2" w:space="0" w:color="E3E3E3"/>
                                                <w:left w:val="single" w:sz="2" w:space="0" w:color="E3E3E3"/>
                                                <w:bottom w:val="single" w:sz="2" w:space="0" w:color="E3E3E3"/>
                                                <w:right w:val="single" w:sz="2" w:space="0" w:color="E3E3E3"/>
                                              </w:divBdr>
                                              <w:divsChild>
                                                <w:div w:id="1355182613">
                                                  <w:marLeft w:val="0"/>
                                                  <w:marRight w:val="0"/>
                                                  <w:marTop w:val="0"/>
                                                  <w:marBottom w:val="0"/>
                                                  <w:divBdr>
                                                    <w:top w:val="single" w:sz="2" w:space="0" w:color="E3E3E3"/>
                                                    <w:left w:val="single" w:sz="2" w:space="0" w:color="E3E3E3"/>
                                                    <w:bottom w:val="single" w:sz="2" w:space="0" w:color="E3E3E3"/>
                                                    <w:right w:val="single" w:sz="2" w:space="0" w:color="E3E3E3"/>
                                                  </w:divBdr>
                                                  <w:divsChild>
                                                    <w:div w:id="5127658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20292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accessdata.fda.gov/drugsatfda_docs/label/2015/020954s014lbl.pdf"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ema.europa.eu/en/documents/product-information/busilvex-epar-product-information_en.pdf" TargetMode="External"/><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S i m c y p D a t a V 2 1   x m l n s = " h t t p : / / w w w . c e r t a r a . c o m / " >  
     < I n p u t T a b l e s / >  
     < F o r e s t P l o t s / >  
     < P i e C h a r t s / >  
     < M u l t i p l e S t u d i e s / >  
     < P r o f i l e C h a r t s / >  
     < P r e d i c t e d P o p u l a t i o n P a r a m e t e r s / >  
     < M u l t i p l e P l o t F i g u r e s / >  
     < S i m c y p M o d e l D e s c r i p t i o n s / >  
     < S t a t i s t i c s C h a r t s / >  
     < S t a t i s t i c s P a r a m e t e r s / >  
     < R e s u l t s T a b l e s / >  
     < T r i a l D e s i g n T a b l e s / >  
     < D o s i n g R e g i m e n T a b l e s / >  
     < S i m u l a t e d V s O b s e r v e d S t a t s T a b l e s / >  
     < R e g i o n a l F r a c t i o n C h a r t s / >  
 < / S i m c y p D a t a V 2 1 > 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E43F0-5065-4883-9763-EB383B0DB6D0}">
  <ds:schemaRefs>
    <ds:schemaRef ds:uri="http://www.certara.com/"/>
  </ds:schemaRefs>
</ds:datastoreItem>
</file>

<file path=customXml/itemProps2.xml><?xml version="1.0" encoding="utf-8"?>
<ds:datastoreItem xmlns:ds="http://schemas.openxmlformats.org/officeDocument/2006/customXml" ds:itemID="{56BDAE3A-338E-4A05-8CCB-66BA682D8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623</Words>
  <Characters>3552</Characters>
  <Application>Microsoft Office Word</Application>
  <DocSecurity>0</DocSecurity>
  <Lines>29</Lines>
  <Paragraphs>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KimYun</dc:creator>
  <cp:keywords/>
  <dc:description/>
  <cp:lastModifiedBy>Khanapur, Soumya</cp:lastModifiedBy>
  <cp:revision>2</cp:revision>
  <dcterms:created xsi:type="dcterms:W3CDTF">2024-03-06T04:29:00Z</dcterms:created>
  <dcterms:modified xsi:type="dcterms:W3CDTF">2024-03-06T04:29:00Z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4284055c,6f633fc7,200f1556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2024-03-06T04:29:27Z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3be31fbd-4ecd-407c-9189-fb81ac049aec</vt:lpwstr>
  </property>
  <property fmtid="{D5CDD505-2E9C-101B-9397-08002B2CF9AE}" pid="11" name="MSIP_Label_2bbab825-a111-45e4-86a1-18cee0005896_ContentBits">
    <vt:lpwstr>2</vt:lpwstr>
  </property>
</Properties>
</file>