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C29C" w14:textId="6A47C923" w:rsidR="003F427F" w:rsidRPr="00E37030" w:rsidRDefault="00DF6945" w:rsidP="00674C19">
      <w:pPr>
        <w:spacing w:after="0"/>
        <w:jc w:val="center"/>
        <w:rPr>
          <w:rFonts w:ascii="Arial" w:hAnsi="Arial" w:cs="Arial"/>
          <w:b/>
          <w:bCs/>
          <w:lang w:val="en-GB"/>
        </w:rPr>
      </w:pPr>
      <w:r w:rsidRPr="00E37030">
        <w:rPr>
          <w:rFonts w:ascii="Arial" w:hAnsi="Arial" w:cs="Arial"/>
          <w:b/>
          <w:bCs/>
          <w:lang w:val="en-GB"/>
        </w:rPr>
        <w:t>SUPPLEMENTARY FILES</w:t>
      </w:r>
    </w:p>
    <w:p w14:paraId="7ABB0377" w14:textId="77777777" w:rsidR="0050301E" w:rsidRDefault="0050301E" w:rsidP="00674C19">
      <w:pPr>
        <w:spacing w:after="240"/>
        <w:rPr>
          <w:rFonts w:ascii="Arial" w:hAnsi="Arial" w:cs="Arial"/>
          <w:b/>
          <w:bCs/>
          <w:lang w:val="en-GB"/>
        </w:rPr>
      </w:pPr>
    </w:p>
    <w:p w14:paraId="1ADB1AF1" w14:textId="0CDAD5C4" w:rsidR="00525AFC" w:rsidRPr="008C3AC3" w:rsidRDefault="000640AA" w:rsidP="00525AFC">
      <w:pPr>
        <w:rPr>
          <w:rFonts w:ascii="Arial" w:hAnsi="Arial" w:cs="Arial"/>
          <w:color w:val="000000" w:themeColor="text1"/>
          <w:sz w:val="20"/>
          <w:szCs w:val="20"/>
          <w:lang w:val="id-ID"/>
        </w:rPr>
      </w:pPr>
      <w:r w:rsidRPr="008C3AC3">
        <w:rPr>
          <w:rFonts w:ascii="Arial" w:hAnsi="Arial" w:cs="Arial"/>
          <w:b/>
          <w:bCs/>
          <w:color w:val="000000" w:themeColor="text1"/>
          <w:sz w:val="20"/>
          <w:szCs w:val="20"/>
          <w:lang w:val="en-GB"/>
        </w:rPr>
        <w:t>Table S</w:t>
      </w:r>
      <w:r w:rsidR="00525AFC" w:rsidRPr="008C3AC3">
        <w:rPr>
          <w:rFonts w:ascii="Arial" w:hAnsi="Arial" w:cs="Arial"/>
          <w:b/>
          <w:bCs/>
          <w:color w:val="000000" w:themeColor="text1"/>
          <w:sz w:val="20"/>
          <w:szCs w:val="20"/>
          <w:lang w:val="en-GB"/>
        </w:rPr>
        <w:t>1</w:t>
      </w:r>
      <w:r w:rsidR="00525AFC" w:rsidRPr="008C3AC3">
        <w:rPr>
          <w:rFonts w:ascii="Arial" w:hAnsi="Arial" w:cs="Arial"/>
          <w:b/>
          <w:bCs/>
          <w:color w:val="000000" w:themeColor="text1"/>
          <w:sz w:val="20"/>
          <w:szCs w:val="20"/>
          <w:lang w:val="id-ID"/>
        </w:rPr>
        <w:t xml:space="preserve">. </w:t>
      </w:r>
      <w:r w:rsidR="00525AFC" w:rsidRPr="008C3AC3">
        <w:rPr>
          <w:rFonts w:ascii="Arial" w:hAnsi="Arial" w:cs="Arial"/>
          <w:color w:val="000000" w:themeColor="text1"/>
          <w:sz w:val="20"/>
          <w:szCs w:val="20"/>
          <w:lang w:val="id-ID"/>
        </w:rPr>
        <w:t>Search Strategy</w:t>
      </w:r>
    </w:p>
    <w:tbl>
      <w:tblPr>
        <w:tblStyle w:val="TableGrid"/>
        <w:tblW w:w="9615" w:type="dxa"/>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46"/>
        <w:gridCol w:w="7068"/>
        <w:gridCol w:w="1701"/>
      </w:tblGrid>
      <w:tr w:rsidR="00525AFC" w:rsidRPr="000640AA" w14:paraId="16864B8C" w14:textId="77777777" w:rsidTr="00AF1A79">
        <w:tc>
          <w:tcPr>
            <w:tcW w:w="9615" w:type="dxa"/>
            <w:gridSpan w:val="3"/>
            <w:tcBorders>
              <w:top w:val="single" w:sz="4" w:space="0" w:color="auto"/>
              <w:left w:val="nil"/>
              <w:bottom w:val="single" w:sz="4" w:space="0" w:color="auto"/>
              <w:right w:val="nil"/>
            </w:tcBorders>
            <w:hideMark/>
          </w:tcPr>
          <w:p w14:paraId="7A25C869" w14:textId="77777777" w:rsidR="00525AFC" w:rsidRPr="000640AA" w:rsidRDefault="00525AFC" w:rsidP="00AF1A79">
            <w:pPr>
              <w:spacing w:line="360" w:lineRule="auto"/>
              <w:rPr>
                <w:rFonts w:ascii="Arial" w:hAnsi="Arial" w:cs="Arial"/>
                <w:sz w:val="18"/>
                <w:szCs w:val="18"/>
                <w:lang w:val="id-ID"/>
              </w:rPr>
            </w:pPr>
            <w:r w:rsidRPr="000640AA">
              <w:rPr>
                <w:rFonts w:ascii="Arial" w:hAnsi="Arial" w:cs="Arial"/>
                <w:b/>
                <w:bCs/>
                <w:sz w:val="18"/>
                <w:szCs w:val="18"/>
                <w:lang w:val="en-ID"/>
              </w:rPr>
              <w:t>PUBMED</w:t>
            </w:r>
          </w:p>
        </w:tc>
      </w:tr>
      <w:tr w:rsidR="00525AFC" w:rsidRPr="000640AA" w14:paraId="14159339" w14:textId="77777777" w:rsidTr="00AF1A79">
        <w:tc>
          <w:tcPr>
            <w:tcW w:w="846" w:type="dxa"/>
            <w:tcBorders>
              <w:top w:val="single" w:sz="4" w:space="0" w:color="auto"/>
              <w:left w:val="nil"/>
              <w:bottom w:val="single" w:sz="4" w:space="0" w:color="auto"/>
              <w:right w:val="nil"/>
            </w:tcBorders>
            <w:hideMark/>
          </w:tcPr>
          <w:p w14:paraId="390D06D0"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#1</w:t>
            </w:r>
          </w:p>
        </w:tc>
        <w:tc>
          <w:tcPr>
            <w:tcW w:w="7068" w:type="dxa"/>
            <w:tcBorders>
              <w:top w:val="single" w:sz="4" w:space="0" w:color="auto"/>
              <w:left w:val="nil"/>
              <w:bottom w:val="single" w:sz="4" w:space="0" w:color="auto"/>
              <w:right w:val="nil"/>
            </w:tcBorders>
            <w:hideMark/>
          </w:tcPr>
          <w:p w14:paraId="43CB21F1" w14:textId="7AD510D8" w:rsidR="00525AFC" w:rsidRPr="000640AA" w:rsidRDefault="00525AFC" w:rsidP="00AF1A79">
            <w:pPr>
              <w:spacing w:line="360" w:lineRule="auto"/>
              <w:rPr>
                <w:rFonts w:ascii="Arial" w:hAnsi="Arial" w:cs="Arial"/>
                <w:sz w:val="18"/>
                <w:szCs w:val="18"/>
                <w:lang w:val="id-ID"/>
              </w:rPr>
            </w:pPr>
            <w:r w:rsidRPr="000640AA">
              <w:rPr>
                <w:rFonts w:ascii="Arial" w:hAnsi="Arial" w:cs="Arial"/>
                <w:sz w:val="18"/>
                <w:szCs w:val="18"/>
                <w:lang w:val="id-ID"/>
              </w:rPr>
              <w:t>(((coronary heart disease[MeSH Terms]) OR (</w:t>
            </w:r>
            <w:r w:rsidR="005736F6">
              <w:rPr>
                <w:rFonts w:ascii="Arial" w:hAnsi="Arial" w:cs="Arial"/>
                <w:sz w:val="18"/>
                <w:szCs w:val="18"/>
                <w:lang w:val="id-ID"/>
              </w:rPr>
              <w:t>CAD</w:t>
            </w:r>
            <w:r w:rsidRPr="000640AA">
              <w:rPr>
                <w:rFonts w:ascii="Arial" w:hAnsi="Arial" w:cs="Arial"/>
                <w:sz w:val="18"/>
                <w:szCs w:val="18"/>
                <w:lang w:val="id-ID"/>
              </w:rPr>
              <w:t>[MeSH Terms])) OR (cardiovascular disease[MeSH Terms])) OR (heart disease[MeSH Terms])</w:t>
            </w:r>
          </w:p>
        </w:tc>
        <w:tc>
          <w:tcPr>
            <w:tcW w:w="1701" w:type="dxa"/>
            <w:tcBorders>
              <w:top w:val="single" w:sz="4" w:space="0" w:color="auto"/>
              <w:left w:val="nil"/>
              <w:bottom w:val="single" w:sz="4" w:space="0" w:color="auto"/>
              <w:right w:val="nil"/>
            </w:tcBorders>
            <w:hideMark/>
          </w:tcPr>
          <w:p w14:paraId="62E20639"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114,286</w:t>
            </w:r>
          </w:p>
        </w:tc>
      </w:tr>
      <w:tr w:rsidR="00525AFC" w:rsidRPr="000640AA" w14:paraId="270ED964" w14:textId="77777777" w:rsidTr="00AF1A79">
        <w:tc>
          <w:tcPr>
            <w:tcW w:w="846" w:type="dxa"/>
            <w:tcBorders>
              <w:top w:val="single" w:sz="4" w:space="0" w:color="auto"/>
              <w:left w:val="nil"/>
              <w:bottom w:val="single" w:sz="4" w:space="0" w:color="auto"/>
              <w:right w:val="nil"/>
            </w:tcBorders>
            <w:hideMark/>
          </w:tcPr>
          <w:p w14:paraId="1ABDB55F"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#2</w:t>
            </w:r>
          </w:p>
        </w:tc>
        <w:tc>
          <w:tcPr>
            <w:tcW w:w="7068" w:type="dxa"/>
            <w:tcBorders>
              <w:top w:val="single" w:sz="4" w:space="0" w:color="auto"/>
              <w:left w:val="nil"/>
              <w:bottom w:val="single" w:sz="4" w:space="0" w:color="auto"/>
              <w:right w:val="nil"/>
            </w:tcBorders>
            <w:hideMark/>
          </w:tcPr>
          <w:p w14:paraId="7AE3B1CF" w14:textId="77777777" w:rsidR="00525AFC" w:rsidRPr="000640AA" w:rsidRDefault="00525AFC" w:rsidP="00AF1A79">
            <w:pPr>
              <w:spacing w:line="360" w:lineRule="auto"/>
              <w:rPr>
                <w:rFonts w:ascii="Arial" w:hAnsi="Arial" w:cs="Arial"/>
                <w:sz w:val="18"/>
                <w:szCs w:val="18"/>
                <w:lang w:val="id-ID"/>
              </w:rPr>
            </w:pPr>
            <w:r w:rsidRPr="000640AA">
              <w:rPr>
                <w:rFonts w:ascii="Arial" w:hAnsi="Arial" w:cs="Arial"/>
                <w:sz w:val="18"/>
                <w:szCs w:val="18"/>
                <w:lang w:val="id-ID"/>
              </w:rPr>
              <w:t xml:space="preserve">risk or low risk </w:t>
            </w:r>
          </w:p>
        </w:tc>
        <w:tc>
          <w:tcPr>
            <w:tcW w:w="1701" w:type="dxa"/>
            <w:tcBorders>
              <w:top w:val="single" w:sz="4" w:space="0" w:color="auto"/>
              <w:left w:val="nil"/>
              <w:bottom w:val="single" w:sz="4" w:space="0" w:color="auto"/>
              <w:right w:val="nil"/>
            </w:tcBorders>
            <w:hideMark/>
          </w:tcPr>
          <w:p w14:paraId="0C294A2A"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30,268</w:t>
            </w:r>
          </w:p>
        </w:tc>
      </w:tr>
      <w:tr w:rsidR="00525AFC" w:rsidRPr="000640AA" w14:paraId="0BD5D9E5" w14:textId="77777777" w:rsidTr="00AF1A79">
        <w:tc>
          <w:tcPr>
            <w:tcW w:w="846" w:type="dxa"/>
            <w:tcBorders>
              <w:top w:val="single" w:sz="4" w:space="0" w:color="auto"/>
              <w:left w:val="nil"/>
              <w:bottom w:val="single" w:sz="4" w:space="0" w:color="auto"/>
              <w:right w:val="nil"/>
            </w:tcBorders>
            <w:hideMark/>
          </w:tcPr>
          <w:p w14:paraId="7FB6AAA4"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#3</w:t>
            </w:r>
          </w:p>
        </w:tc>
        <w:tc>
          <w:tcPr>
            <w:tcW w:w="7068" w:type="dxa"/>
            <w:tcBorders>
              <w:top w:val="single" w:sz="4" w:space="0" w:color="auto"/>
              <w:left w:val="nil"/>
              <w:bottom w:val="single" w:sz="4" w:space="0" w:color="auto"/>
              <w:right w:val="nil"/>
            </w:tcBorders>
            <w:hideMark/>
          </w:tcPr>
          <w:p w14:paraId="1DBD4333" w14:textId="77777777" w:rsidR="00525AFC" w:rsidRPr="000640AA" w:rsidRDefault="00525AFC" w:rsidP="00AF1A79">
            <w:pPr>
              <w:spacing w:line="360" w:lineRule="auto"/>
              <w:rPr>
                <w:rFonts w:ascii="Arial" w:hAnsi="Arial" w:cs="Arial"/>
                <w:sz w:val="18"/>
                <w:szCs w:val="18"/>
                <w:lang w:val="id-ID"/>
              </w:rPr>
            </w:pPr>
            <w:r w:rsidRPr="000640AA">
              <w:rPr>
                <w:rFonts w:ascii="Arial" w:hAnsi="Arial" w:cs="Arial"/>
                <w:sz w:val="18"/>
                <w:szCs w:val="18"/>
              </w:rPr>
              <w:t xml:space="preserve">discharge OR </w:t>
            </w:r>
            <w:r w:rsidRPr="000640AA">
              <w:rPr>
                <w:rFonts w:ascii="Arial" w:hAnsi="Arial" w:cs="Arial"/>
                <w:sz w:val="18"/>
                <w:szCs w:val="18"/>
                <w:lang w:val="id-ID"/>
              </w:rPr>
              <w:t>early discharge</w:t>
            </w:r>
          </w:p>
        </w:tc>
        <w:tc>
          <w:tcPr>
            <w:tcW w:w="1701" w:type="dxa"/>
            <w:tcBorders>
              <w:top w:val="single" w:sz="4" w:space="0" w:color="auto"/>
              <w:left w:val="nil"/>
              <w:bottom w:val="single" w:sz="4" w:space="0" w:color="auto"/>
              <w:right w:val="nil"/>
            </w:tcBorders>
            <w:hideMark/>
          </w:tcPr>
          <w:p w14:paraId="00C7CB7B"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2,833</w:t>
            </w:r>
          </w:p>
        </w:tc>
      </w:tr>
      <w:tr w:rsidR="00525AFC" w:rsidRPr="000640AA" w14:paraId="056F8399" w14:textId="77777777" w:rsidTr="00AF1A79">
        <w:tc>
          <w:tcPr>
            <w:tcW w:w="846" w:type="dxa"/>
            <w:tcBorders>
              <w:top w:val="single" w:sz="4" w:space="0" w:color="auto"/>
              <w:left w:val="nil"/>
              <w:bottom w:val="single" w:sz="4" w:space="0" w:color="auto"/>
              <w:right w:val="nil"/>
            </w:tcBorders>
            <w:hideMark/>
          </w:tcPr>
          <w:p w14:paraId="2614E01D"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#4</w:t>
            </w:r>
          </w:p>
        </w:tc>
        <w:tc>
          <w:tcPr>
            <w:tcW w:w="7068" w:type="dxa"/>
            <w:tcBorders>
              <w:top w:val="single" w:sz="4" w:space="0" w:color="auto"/>
              <w:left w:val="nil"/>
              <w:bottom w:val="single" w:sz="4" w:space="0" w:color="auto"/>
              <w:right w:val="nil"/>
            </w:tcBorders>
            <w:hideMark/>
          </w:tcPr>
          <w:p w14:paraId="09E6872D"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"length of stay"[</w:t>
            </w:r>
            <w:proofErr w:type="spellStart"/>
            <w:r w:rsidRPr="000640AA">
              <w:rPr>
                <w:rFonts w:ascii="Arial" w:hAnsi="Arial" w:cs="Arial"/>
                <w:sz w:val="18"/>
                <w:szCs w:val="18"/>
                <w:lang w:val="en-ID"/>
              </w:rPr>
              <w:t>MeSH</w:t>
            </w:r>
            <w:proofErr w:type="spellEnd"/>
            <w:r w:rsidRPr="000640AA">
              <w:rPr>
                <w:rFonts w:ascii="Arial" w:hAnsi="Arial" w:cs="Arial"/>
                <w:sz w:val="18"/>
                <w:szCs w:val="18"/>
                <w:lang w:val="en-ID"/>
              </w:rPr>
              <w:t xml:space="preserve"> Terms] OR hospital </w:t>
            </w:r>
            <w:proofErr w:type="gramStart"/>
            <w:r w:rsidRPr="000640AA">
              <w:rPr>
                <w:rFonts w:ascii="Arial" w:hAnsi="Arial" w:cs="Arial"/>
                <w:sz w:val="18"/>
                <w:szCs w:val="18"/>
                <w:lang w:val="en-ID"/>
              </w:rPr>
              <w:t>stay[</w:t>
            </w:r>
            <w:proofErr w:type="gramEnd"/>
            <w:r w:rsidRPr="000640AA">
              <w:rPr>
                <w:rFonts w:ascii="Arial" w:hAnsi="Arial" w:cs="Arial"/>
                <w:sz w:val="18"/>
                <w:szCs w:val="18"/>
                <w:lang w:val="en-ID"/>
              </w:rPr>
              <w:t>Text Word]</w:t>
            </w:r>
          </w:p>
        </w:tc>
        <w:tc>
          <w:tcPr>
            <w:tcW w:w="1701" w:type="dxa"/>
            <w:tcBorders>
              <w:top w:val="single" w:sz="4" w:space="0" w:color="auto"/>
              <w:left w:val="nil"/>
              <w:bottom w:val="single" w:sz="4" w:space="0" w:color="auto"/>
              <w:right w:val="nil"/>
            </w:tcBorders>
            <w:hideMark/>
          </w:tcPr>
          <w:p w14:paraId="6BDC81E1"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13,419</w:t>
            </w:r>
          </w:p>
        </w:tc>
      </w:tr>
      <w:tr w:rsidR="00525AFC" w:rsidRPr="000640AA" w14:paraId="672D44A1" w14:textId="77777777" w:rsidTr="00AF1A79">
        <w:tc>
          <w:tcPr>
            <w:tcW w:w="846" w:type="dxa"/>
            <w:tcBorders>
              <w:top w:val="single" w:sz="4" w:space="0" w:color="auto"/>
              <w:left w:val="nil"/>
              <w:bottom w:val="single" w:sz="4" w:space="0" w:color="auto"/>
              <w:right w:val="nil"/>
            </w:tcBorders>
            <w:hideMark/>
          </w:tcPr>
          <w:p w14:paraId="22184134" w14:textId="77777777" w:rsidR="00525AFC" w:rsidRPr="000640AA" w:rsidRDefault="00525AFC" w:rsidP="00AF1A79">
            <w:pPr>
              <w:spacing w:line="360" w:lineRule="auto"/>
              <w:rPr>
                <w:rFonts w:ascii="Arial" w:hAnsi="Arial" w:cs="Arial"/>
                <w:sz w:val="18"/>
                <w:szCs w:val="18"/>
                <w:lang w:val="id-ID"/>
              </w:rPr>
            </w:pPr>
            <w:r w:rsidRPr="000640AA">
              <w:rPr>
                <w:rFonts w:ascii="Arial" w:hAnsi="Arial" w:cs="Arial"/>
                <w:sz w:val="18"/>
                <w:szCs w:val="18"/>
                <w:lang w:val="id-ID"/>
              </w:rPr>
              <w:t>#5</w:t>
            </w:r>
          </w:p>
        </w:tc>
        <w:tc>
          <w:tcPr>
            <w:tcW w:w="7068" w:type="dxa"/>
            <w:tcBorders>
              <w:top w:val="single" w:sz="4" w:space="0" w:color="auto"/>
              <w:left w:val="nil"/>
              <w:bottom w:val="single" w:sz="4" w:space="0" w:color="auto"/>
              <w:right w:val="nil"/>
            </w:tcBorders>
            <w:hideMark/>
          </w:tcPr>
          <w:p w14:paraId="178A1959" w14:textId="77777777" w:rsidR="00525AFC" w:rsidRPr="000640AA" w:rsidRDefault="00525AFC" w:rsidP="00AF1A79">
            <w:pPr>
              <w:spacing w:line="360" w:lineRule="auto"/>
              <w:rPr>
                <w:rFonts w:ascii="Arial" w:hAnsi="Arial" w:cs="Arial"/>
                <w:sz w:val="18"/>
                <w:szCs w:val="18"/>
                <w:lang w:val="id-ID"/>
              </w:rPr>
            </w:pPr>
            <w:r w:rsidRPr="000640AA">
              <w:rPr>
                <w:rFonts w:ascii="Arial" w:hAnsi="Arial" w:cs="Arial"/>
                <w:sz w:val="18"/>
                <w:szCs w:val="18"/>
                <w:lang w:val="id-ID"/>
              </w:rPr>
              <w:t>("mortality"[Subheading] OR "mortality"[MeSH Terms] OR mortality[Text Word]) OR ("death"[MeSH Terms] OR death[Text Word])</w:t>
            </w:r>
          </w:p>
        </w:tc>
        <w:tc>
          <w:tcPr>
            <w:tcW w:w="1701" w:type="dxa"/>
            <w:tcBorders>
              <w:top w:val="single" w:sz="4" w:space="0" w:color="auto"/>
              <w:left w:val="nil"/>
              <w:bottom w:val="single" w:sz="4" w:space="0" w:color="auto"/>
              <w:right w:val="nil"/>
            </w:tcBorders>
            <w:hideMark/>
          </w:tcPr>
          <w:p w14:paraId="27FB1A50" w14:textId="77777777" w:rsidR="00525AFC" w:rsidRPr="000640AA" w:rsidRDefault="00525AFC" w:rsidP="00AF1A79">
            <w:pPr>
              <w:spacing w:line="360" w:lineRule="auto"/>
              <w:jc w:val="center"/>
              <w:rPr>
                <w:rFonts w:ascii="Arial" w:hAnsi="Arial" w:cs="Arial"/>
                <w:sz w:val="18"/>
                <w:szCs w:val="18"/>
                <w:shd w:val="clear" w:color="auto" w:fill="FFFFFF"/>
              </w:rPr>
            </w:pPr>
            <w:r w:rsidRPr="000640AA">
              <w:rPr>
                <w:rFonts w:ascii="Arial" w:hAnsi="Arial" w:cs="Arial"/>
                <w:sz w:val="18"/>
                <w:szCs w:val="18"/>
                <w:shd w:val="clear" w:color="auto" w:fill="FFFFFF"/>
              </w:rPr>
              <w:t>136,024</w:t>
            </w:r>
          </w:p>
        </w:tc>
      </w:tr>
      <w:tr w:rsidR="00525AFC" w:rsidRPr="000640AA" w14:paraId="5331D041" w14:textId="77777777" w:rsidTr="00AF1A79">
        <w:tc>
          <w:tcPr>
            <w:tcW w:w="846" w:type="dxa"/>
            <w:tcBorders>
              <w:top w:val="single" w:sz="4" w:space="0" w:color="auto"/>
              <w:left w:val="nil"/>
              <w:bottom w:val="single" w:sz="4" w:space="0" w:color="auto"/>
              <w:right w:val="nil"/>
            </w:tcBorders>
            <w:hideMark/>
          </w:tcPr>
          <w:p w14:paraId="4EAEBEF6" w14:textId="77777777" w:rsidR="00525AFC" w:rsidRPr="000640AA" w:rsidRDefault="00525AFC" w:rsidP="00AF1A79">
            <w:pPr>
              <w:spacing w:line="360" w:lineRule="auto"/>
              <w:rPr>
                <w:rFonts w:ascii="Arial" w:hAnsi="Arial" w:cs="Arial"/>
                <w:sz w:val="18"/>
                <w:szCs w:val="18"/>
                <w:lang w:val="id-ID"/>
              </w:rPr>
            </w:pPr>
            <w:r w:rsidRPr="000640AA">
              <w:rPr>
                <w:rFonts w:ascii="Arial" w:hAnsi="Arial" w:cs="Arial"/>
                <w:sz w:val="18"/>
                <w:szCs w:val="18"/>
                <w:lang w:val="en-ID"/>
              </w:rPr>
              <w:t>#</w:t>
            </w:r>
            <w:r w:rsidRPr="000640AA">
              <w:rPr>
                <w:rFonts w:ascii="Arial" w:hAnsi="Arial" w:cs="Arial"/>
                <w:sz w:val="18"/>
                <w:szCs w:val="18"/>
                <w:lang w:val="id-ID"/>
              </w:rPr>
              <w:t>6</w:t>
            </w:r>
          </w:p>
        </w:tc>
        <w:tc>
          <w:tcPr>
            <w:tcW w:w="7068" w:type="dxa"/>
            <w:tcBorders>
              <w:top w:val="single" w:sz="4" w:space="0" w:color="auto"/>
              <w:left w:val="nil"/>
              <w:bottom w:val="single" w:sz="4" w:space="0" w:color="auto"/>
              <w:right w:val="nil"/>
            </w:tcBorders>
            <w:hideMark/>
          </w:tcPr>
          <w:p w14:paraId="20E0C17B" w14:textId="77777777" w:rsidR="00525AFC" w:rsidRPr="000640AA" w:rsidRDefault="00525AFC" w:rsidP="00AF1A79">
            <w:pPr>
              <w:spacing w:line="360" w:lineRule="auto"/>
              <w:rPr>
                <w:rFonts w:ascii="Arial" w:hAnsi="Arial" w:cs="Arial"/>
                <w:sz w:val="18"/>
                <w:szCs w:val="18"/>
                <w:lang w:val="en-ID"/>
              </w:rPr>
            </w:pPr>
            <w:proofErr w:type="gramStart"/>
            <w:r w:rsidRPr="000640AA">
              <w:rPr>
                <w:rFonts w:ascii="Arial" w:hAnsi="Arial" w:cs="Arial"/>
                <w:sz w:val="18"/>
                <w:szCs w:val="18"/>
                <w:lang w:val="en-ID"/>
              </w:rPr>
              <w:t>readmission[</w:t>
            </w:r>
            <w:proofErr w:type="gramEnd"/>
            <w:r w:rsidRPr="000640AA">
              <w:rPr>
                <w:rFonts w:ascii="Arial" w:hAnsi="Arial" w:cs="Arial"/>
                <w:sz w:val="18"/>
                <w:szCs w:val="18"/>
                <w:lang w:val="en-ID"/>
              </w:rPr>
              <w:t>All Fields] OR ("patient readmission"[</w:t>
            </w:r>
            <w:proofErr w:type="spellStart"/>
            <w:r w:rsidRPr="000640AA">
              <w:rPr>
                <w:rFonts w:ascii="Arial" w:hAnsi="Arial" w:cs="Arial"/>
                <w:sz w:val="18"/>
                <w:szCs w:val="18"/>
                <w:lang w:val="en-ID"/>
              </w:rPr>
              <w:t>MeSH</w:t>
            </w:r>
            <w:proofErr w:type="spellEnd"/>
            <w:r w:rsidRPr="000640AA">
              <w:rPr>
                <w:rFonts w:ascii="Arial" w:hAnsi="Arial" w:cs="Arial"/>
                <w:sz w:val="18"/>
                <w:szCs w:val="18"/>
                <w:lang w:val="en-ID"/>
              </w:rPr>
              <w:t xml:space="preserve"> Terms] OR rehospitalization[Text Word])</w:t>
            </w:r>
          </w:p>
        </w:tc>
        <w:tc>
          <w:tcPr>
            <w:tcW w:w="1701" w:type="dxa"/>
            <w:tcBorders>
              <w:top w:val="single" w:sz="4" w:space="0" w:color="auto"/>
              <w:left w:val="nil"/>
              <w:bottom w:val="single" w:sz="4" w:space="0" w:color="auto"/>
              <w:right w:val="nil"/>
            </w:tcBorders>
            <w:hideMark/>
          </w:tcPr>
          <w:p w14:paraId="696B448D"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3,518</w:t>
            </w:r>
          </w:p>
        </w:tc>
      </w:tr>
      <w:tr w:rsidR="00525AFC" w:rsidRPr="000640AA" w14:paraId="6BA85B39" w14:textId="77777777" w:rsidTr="00AF1A79">
        <w:tc>
          <w:tcPr>
            <w:tcW w:w="846" w:type="dxa"/>
            <w:tcBorders>
              <w:top w:val="single" w:sz="4" w:space="0" w:color="auto"/>
              <w:left w:val="nil"/>
              <w:bottom w:val="single" w:sz="4" w:space="0" w:color="auto"/>
              <w:right w:val="nil"/>
            </w:tcBorders>
          </w:tcPr>
          <w:p w14:paraId="390F3132"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#7</w:t>
            </w:r>
          </w:p>
        </w:tc>
        <w:tc>
          <w:tcPr>
            <w:tcW w:w="7068" w:type="dxa"/>
            <w:tcBorders>
              <w:top w:val="single" w:sz="4" w:space="0" w:color="auto"/>
              <w:left w:val="nil"/>
              <w:bottom w:val="single" w:sz="4" w:space="0" w:color="auto"/>
              <w:right w:val="nil"/>
            </w:tcBorders>
          </w:tcPr>
          <w:p w14:paraId="16DF0E01"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w:t>
            </w:r>
            <w:proofErr w:type="gramStart"/>
            <w:r w:rsidRPr="000640AA">
              <w:rPr>
                <w:rFonts w:ascii="Arial" w:hAnsi="Arial" w:cs="Arial"/>
                <w:sz w:val="18"/>
                <w:szCs w:val="18"/>
                <w:lang w:val="en-ID"/>
              </w:rPr>
              <w:t>primary[</w:t>
            </w:r>
            <w:proofErr w:type="gramEnd"/>
            <w:r w:rsidRPr="000640AA">
              <w:rPr>
                <w:rFonts w:ascii="Arial" w:hAnsi="Arial" w:cs="Arial"/>
                <w:sz w:val="18"/>
                <w:szCs w:val="18"/>
                <w:lang w:val="en-ID"/>
              </w:rPr>
              <w:t>All Fields] AND ("percutaneous coronary intervention"[</w:t>
            </w:r>
            <w:proofErr w:type="spellStart"/>
            <w:r w:rsidRPr="000640AA">
              <w:rPr>
                <w:rFonts w:ascii="Arial" w:hAnsi="Arial" w:cs="Arial"/>
                <w:sz w:val="18"/>
                <w:szCs w:val="18"/>
                <w:lang w:val="en-ID"/>
              </w:rPr>
              <w:t>MeSH</w:t>
            </w:r>
            <w:proofErr w:type="spellEnd"/>
            <w:r w:rsidRPr="000640AA">
              <w:rPr>
                <w:rFonts w:ascii="Arial" w:hAnsi="Arial" w:cs="Arial"/>
                <w:sz w:val="18"/>
                <w:szCs w:val="18"/>
                <w:lang w:val="en-ID"/>
              </w:rPr>
              <w:t xml:space="preserve"> Terms] OR percutaneous coronary intervention[Text Word])) OR PCI[All Fields]</w:t>
            </w:r>
          </w:p>
        </w:tc>
        <w:tc>
          <w:tcPr>
            <w:tcW w:w="1701" w:type="dxa"/>
            <w:tcBorders>
              <w:top w:val="single" w:sz="4" w:space="0" w:color="auto"/>
              <w:left w:val="nil"/>
              <w:bottom w:val="single" w:sz="4" w:space="0" w:color="auto"/>
              <w:right w:val="nil"/>
            </w:tcBorders>
          </w:tcPr>
          <w:p w14:paraId="0628F0BE"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5,893</w:t>
            </w:r>
          </w:p>
        </w:tc>
      </w:tr>
      <w:tr w:rsidR="00525AFC" w:rsidRPr="000640AA" w14:paraId="3FA97660" w14:textId="77777777" w:rsidTr="00AF1A79">
        <w:tc>
          <w:tcPr>
            <w:tcW w:w="846" w:type="dxa"/>
            <w:tcBorders>
              <w:top w:val="single" w:sz="4" w:space="0" w:color="auto"/>
              <w:left w:val="nil"/>
              <w:bottom w:val="single" w:sz="4" w:space="0" w:color="auto"/>
              <w:right w:val="nil"/>
            </w:tcBorders>
          </w:tcPr>
          <w:p w14:paraId="34C08E5F"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#8</w:t>
            </w:r>
          </w:p>
        </w:tc>
        <w:tc>
          <w:tcPr>
            <w:tcW w:w="7068" w:type="dxa"/>
            <w:tcBorders>
              <w:top w:val="single" w:sz="4" w:space="0" w:color="auto"/>
              <w:left w:val="nil"/>
              <w:bottom w:val="single" w:sz="4" w:space="0" w:color="auto"/>
              <w:right w:val="nil"/>
            </w:tcBorders>
          </w:tcPr>
          <w:p w14:paraId="5A22A54E"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#1 AND #2 AND #3 AND #4 AND #5 AND #6 AND #7</w:t>
            </w:r>
          </w:p>
          <w:p w14:paraId="7E2C9685"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 xml:space="preserve">((((((coronary heart disease or cad or heart disease) AND (primary percutaneous coronary intervention or </w:t>
            </w:r>
            <w:proofErr w:type="spellStart"/>
            <w:r w:rsidRPr="000640AA">
              <w:rPr>
                <w:rFonts w:ascii="Arial" w:hAnsi="Arial" w:cs="Arial"/>
                <w:sz w:val="18"/>
                <w:szCs w:val="18"/>
                <w:lang w:val="en-ID"/>
              </w:rPr>
              <w:t>pci</w:t>
            </w:r>
            <w:proofErr w:type="spellEnd"/>
            <w:r w:rsidRPr="000640AA">
              <w:rPr>
                <w:rFonts w:ascii="Arial" w:hAnsi="Arial" w:cs="Arial"/>
                <w:sz w:val="18"/>
                <w:szCs w:val="18"/>
                <w:lang w:val="en-ID"/>
              </w:rPr>
              <w:t>)) AND (discharge or early discharge)) AND (readmission or rehospitalization)) AND (length of stay or hospital stay)) AND (mortality or death)) AND (risk or low risk)</w:t>
            </w:r>
          </w:p>
        </w:tc>
        <w:tc>
          <w:tcPr>
            <w:tcW w:w="1701" w:type="dxa"/>
            <w:tcBorders>
              <w:top w:val="single" w:sz="4" w:space="0" w:color="auto"/>
              <w:left w:val="nil"/>
              <w:bottom w:val="single" w:sz="4" w:space="0" w:color="auto"/>
              <w:right w:val="nil"/>
            </w:tcBorders>
          </w:tcPr>
          <w:p w14:paraId="0F976FD2"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32</w:t>
            </w:r>
          </w:p>
        </w:tc>
      </w:tr>
      <w:tr w:rsidR="00525AFC" w:rsidRPr="000640AA" w14:paraId="1DED7503" w14:textId="77777777" w:rsidTr="00AF1A79">
        <w:tc>
          <w:tcPr>
            <w:tcW w:w="9615" w:type="dxa"/>
            <w:gridSpan w:val="3"/>
            <w:tcBorders>
              <w:top w:val="single" w:sz="4" w:space="0" w:color="auto"/>
              <w:left w:val="nil"/>
              <w:bottom w:val="single" w:sz="4" w:space="0" w:color="auto"/>
              <w:right w:val="nil"/>
            </w:tcBorders>
            <w:hideMark/>
          </w:tcPr>
          <w:p w14:paraId="632F055C" w14:textId="77777777" w:rsidR="00525AFC" w:rsidRPr="000640AA" w:rsidRDefault="00525AFC" w:rsidP="00AF1A79">
            <w:pPr>
              <w:spacing w:line="360" w:lineRule="auto"/>
              <w:rPr>
                <w:rFonts w:ascii="Arial" w:hAnsi="Arial" w:cs="Arial"/>
                <w:sz w:val="18"/>
                <w:szCs w:val="18"/>
                <w:lang w:val="id-ID"/>
              </w:rPr>
            </w:pPr>
            <w:r w:rsidRPr="000640AA">
              <w:rPr>
                <w:rFonts w:ascii="Arial" w:hAnsi="Arial" w:cs="Arial"/>
                <w:b/>
                <w:bCs/>
                <w:sz w:val="18"/>
                <w:szCs w:val="18"/>
                <w:lang w:val="id-ID"/>
              </w:rPr>
              <w:t>SCIENCEDIRECT</w:t>
            </w:r>
          </w:p>
        </w:tc>
      </w:tr>
      <w:tr w:rsidR="00525AFC" w:rsidRPr="000640AA" w14:paraId="4D1F983D" w14:textId="77777777" w:rsidTr="00AF1A79">
        <w:tc>
          <w:tcPr>
            <w:tcW w:w="846" w:type="dxa"/>
            <w:tcBorders>
              <w:top w:val="single" w:sz="4" w:space="0" w:color="auto"/>
              <w:left w:val="nil"/>
              <w:bottom w:val="single" w:sz="4" w:space="0" w:color="auto"/>
              <w:right w:val="nil"/>
            </w:tcBorders>
            <w:hideMark/>
          </w:tcPr>
          <w:p w14:paraId="39AEBEB8" w14:textId="77777777" w:rsidR="00525AFC" w:rsidRPr="000640AA" w:rsidRDefault="00525AFC" w:rsidP="00AF1A79">
            <w:pPr>
              <w:spacing w:line="360" w:lineRule="auto"/>
              <w:rPr>
                <w:rFonts w:ascii="Arial" w:hAnsi="Arial" w:cs="Arial"/>
                <w:sz w:val="18"/>
                <w:szCs w:val="18"/>
                <w:lang w:val="id-ID"/>
              </w:rPr>
            </w:pPr>
            <w:r w:rsidRPr="000640AA">
              <w:rPr>
                <w:rFonts w:ascii="Arial" w:hAnsi="Arial" w:cs="Arial"/>
                <w:sz w:val="18"/>
                <w:szCs w:val="18"/>
                <w:lang w:val="en-ID"/>
              </w:rPr>
              <w:t>#1</w:t>
            </w:r>
          </w:p>
        </w:tc>
        <w:tc>
          <w:tcPr>
            <w:tcW w:w="7068" w:type="dxa"/>
            <w:tcBorders>
              <w:top w:val="single" w:sz="4" w:space="0" w:color="auto"/>
              <w:left w:val="nil"/>
              <w:bottom w:val="single" w:sz="4" w:space="0" w:color="auto"/>
              <w:right w:val="nil"/>
            </w:tcBorders>
            <w:hideMark/>
          </w:tcPr>
          <w:p w14:paraId="7FD76F62"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id-ID"/>
              </w:rPr>
              <w:t>coronary heart disease or cad or heart disease</w:t>
            </w:r>
          </w:p>
        </w:tc>
        <w:tc>
          <w:tcPr>
            <w:tcW w:w="1701" w:type="dxa"/>
            <w:tcBorders>
              <w:top w:val="single" w:sz="4" w:space="0" w:color="auto"/>
              <w:left w:val="nil"/>
              <w:bottom w:val="single" w:sz="4" w:space="0" w:color="auto"/>
              <w:right w:val="nil"/>
            </w:tcBorders>
            <w:hideMark/>
          </w:tcPr>
          <w:p w14:paraId="06D8FAF1"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66,973</w:t>
            </w:r>
          </w:p>
        </w:tc>
      </w:tr>
      <w:tr w:rsidR="00525AFC" w:rsidRPr="000640AA" w14:paraId="23A71348" w14:textId="77777777" w:rsidTr="00AF1A79">
        <w:tc>
          <w:tcPr>
            <w:tcW w:w="846" w:type="dxa"/>
            <w:tcBorders>
              <w:top w:val="single" w:sz="4" w:space="0" w:color="auto"/>
              <w:left w:val="nil"/>
              <w:bottom w:val="single" w:sz="4" w:space="0" w:color="auto"/>
              <w:right w:val="nil"/>
            </w:tcBorders>
            <w:hideMark/>
          </w:tcPr>
          <w:p w14:paraId="502027D6" w14:textId="77777777" w:rsidR="00525AFC" w:rsidRPr="000640AA" w:rsidRDefault="00525AFC" w:rsidP="00AF1A79">
            <w:pPr>
              <w:spacing w:line="360" w:lineRule="auto"/>
              <w:rPr>
                <w:rFonts w:ascii="Arial" w:hAnsi="Arial" w:cs="Arial"/>
                <w:sz w:val="18"/>
                <w:szCs w:val="18"/>
                <w:lang w:val="id-ID"/>
              </w:rPr>
            </w:pPr>
            <w:r w:rsidRPr="000640AA">
              <w:rPr>
                <w:rFonts w:ascii="Arial" w:hAnsi="Arial" w:cs="Arial"/>
                <w:sz w:val="18"/>
                <w:szCs w:val="18"/>
                <w:lang w:val="en-ID"/>
              </w:rPr>
              <w:t>#2</w:t>
            </w:r>
          </w:p>
        </w:tc>
        <w:tc>
          <w:tcPr>
            <w:tcW w:w="7068" w:type="dxa"/>
            <w:tcBorders>
              <w:top w:val="single" w:sz="4" w:space="0" w:color="auto"/>
              <w:left w:val="nil"/>
              <w:bottom w:val="single" w:sz="4" w:space="0" w:color="auto"/>
              <w:right w:val="nil"/>
            </w:tcBorders>
            <w:hideMark/>
          </w:tcPr>
          <w:p w14:paraId="7CA5281C"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id-ID"/>
              </w:rPr>
              <w:t>risk or low risk</w:t>
            </w:r>
          </w:p>
        </w:tc>
        <w:tc>
          <w:tcPr>
            <w:tcW w:w="1701" w:type="dxa"/>
            <w:tcBorders>
              <w:top w:val="single" w:sz="4" w:space="0" w:color="auto"/>
              <w:left w:val="nil"/>
              <w:bottom w:val="single" w:sz="4" w:space="0" w:color="auto"/>
              <w:right w:val="nil"/>
            </w:tcBorders>
            <w:hideMark/>
          </w:tcPr>
          <w:p w14:paraId="6700C589"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shd w:val="clear" w:color="auto" w:fill="FFFFFF"/>
              </w:rPr>
              <w:t>1,000,000+</w:t>
            </w:r>
          </w:p>
        </w:tc>
      </w:tr>
      <w:tr w:rsidR="00525AFC" w:rsidRPr="000640AA" w14:paraId="72ABF0F0" w14:textId="77777777" w:rsidTr="00AF1A79">
        <w:tc>
          <w:tcPr>
            <w:tcW w:w="846" w:type="dxa"/>
            <w:tcBorders>
              <w:top w:val="single" w:sz="4" w:space="0" w:color="auto"/>
              <w:left w:val="nil"/>
              <w:bottom w:val="single" w:sz="4" w:space="0" w:color="auto"/>
              <w:right w:val="nil"/>
            </w:tcBorders>
            <w:hideMark/>
          </w:tcPr>
          <w:p w14:paraId="5B9B63F5" w14:textId="77777777" w:rsidR="00525AFC" w:rsidRPr="000640AA" w:rsidRDefault="00525AFC" w:rsidP="00AF1A79">
            <w:pPr>
              <w:spacing w:line="360" w:lineRule="auto"/>
              <w:rPr>
                <w:rFonts w:ascii="Arial" w:hAnsi="Arial" w:cs="Arial"/>
                <w:sz w:val="18"/>
                <w:szCs w:val="18"/>
              </w:rPr>
            </w:pPr>
            <w:r w:rsidRPr="000640AA">
              <w:rPr>
                <w:rFonts w:ascii="Arial" w:hAnsi="Arial" w:cs="Arial"/>
                <w:sz w:val="18"/>
                <w:szCs w:val="18"/>
                <w:lang w:val="id-ID"/>
              </w:rPr>
              <w:t>#</w:t>
            </w:r>
            <w:r w:rsidRPr="000640AA">
              <w:rPr>
                <w:rFonts w:ascii="Arial" w:hAnsi="Arial" w:cs="Arial"/>
                <w:sz w:val="18"/>
                <w:szCs w:val="18"/>
              </w:rPr>
              <w:t>3</w:t>
            </w:r>
          </w:p>
        </w:tc>
        <w:tc>
          <w:tcPr>
            <w:tcW w:w="7068" w:type="dxa"/>
            <w:tcBorders>
              <w:top w:val="single" w:sz="4" w:space="0" w:color="auto"/>
              <w:left w:val="nil"/>
              <w:bottom w:val="single" w:sz="4" w:space="0" w:color="auto"/>
              <w:right w:val="nil"/>
            </w:tcBorders>
            <w:hideMark/>
          </w:tcPr>
          <w:p w14:paraId="73568DAF" w14:textId="77777777" w:rsidR="00525AFC" w:rsidRPr="000640AA" w:rsidRDefault="00525AFC" w:rsidP="00AF1A79">
            <w:pPr>
              <w:spacing w:line="360" w:lineRule="auto"/>
              <w:rPr>
                <w:rFonts w:ascii="Arial" w:hAnsi="Arial" w:cs="Arial"/>
                <w:sz w:val="18"/>
                <w:szCs w:val="18"/>
              </w:rPr>
            </w:pPr>
            <w:r w:rsidRPr="000640AA">
              <w:rPr>
                <w:rFonts w:ascii="Arial" w:hAnsi="Arial" w:cs="Arial"/>
                <w:sz w:val="18"/>
                <w:szCs w:val="18"/>
              </w:rPr>
              <w:t>Discharge or early discharge</w:t>
            </w:r>
          </w:p>
        </w:tc>
        <w:tc>
          <w:tcPr>
            <w:tcW w:w="1701" w:type="dxa"/>
            <w:tcBorders>
              <w:top w:val="single" w:sz="4" w:space="0" w:color="auto"/>
              <w:left w:val="nil"/>
              <w:bottom w:val="single" w:sz="4" w:space="0" w:color="auto"/>
              <w:right w:val="nil"/>
            </w:tcBorders>
            <w:hideMark/>
          </w:tcPr>
          <w:p w14:paraId="5A86710D"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814,437</w:t>
            </w:r>
          </w:p>
        </w:tc>
      </w:tr>
      <w:tr w:rsidR="00525AFC" w:rsidRPr="000640AA" w14:paraId="4DBD2C2B" w14:textId="77777777" w:rsidTr="00AF1A79">
        <w:tc>
          <w:tcPr>
            <w:tcW w:w="846" w:type="dxa"/>
            <w:tcBorders>
              <w:top w:val="single" w:sz="4" w:space="0" w:color="auto"/>
              <w:left w:val="nil"/>
              <w:bottom w:val="single" w:sz="4" w:space="0" w:color="auto"/>
              <w:right w:val="nil"/>
            </w:tcBorders>
            <w:hideMark/>
          </w:tcPr>
          <w:p w14:paraId="494712A2" w14:textId="77777777" w:rsidR="00525AFC" w:rsidRPr="000640AA" w:rsidRDefault="00525AFC" w:rsidP="00AF1A79">
            <w:pPr>
              <w:spacing w:line="360" w:lineRule="auto"/>
              <w:rPr>
                <w:rFonts w:ascii="Arial" w:hAnsi="Arial" w:cs="Arial"/>
                <w:sz w:val="18"/>
                <w:szCs w:val="18"/>
              </w:rPr>
            </w:pPr>
            <w:r w:rsidRPr="000640AA">
              <w:rPr>
                <w:rFonts w:ascii="Arial" w:hAnsi="Arial" w:cs="Arial"/>
                <w:sz w:val="18"/>
                <w:szCs w:val="18"/>
                <w:lang w:val="en-ID"/>
              </w:rPr>
              <w:t>#</w:t>
            </w:r>
            <w:r w:rsidRPr="000640AA">
              <w:rPr>
                <w:rFonts w:ascii="Arial" w:hAnsi="Arial" w:cs="Arial"/>
                <w:sz w:val="18"/>
                <w:szCs w:val="18"/>
              </w:rPr>
              <w:t>4</w:t>
            </w:r>
          </w:p>
        </w:tc>
        <w:tc>
          <w:tcPr>
            <w:tcW w:w="7068" w:type="dxa"/>
            <w:tcBorders>
              <w:top w:val="single" w:sz="4" w:space="0" w:color="auto"/>
              <w:left w:val="nil"/>
              <w:bottom w:val="single" w:sz="4" w:space="0" w:color="auto"/>
              <w:right w:val="nil"/>
            </w:tcBorders>
            <w:hideMark/>
          </w:tcPr>
          <w:p w14:paraId="46A2BCF9"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Length of stay or hospital stay</w:t>
            </w:r>
          </w:p>
        </w:tc>
        <w:tc>
          <w:tcPr>
            <w:tcW w:w="1701" w:type="dxa"/>
            <w:tcBorders>
              <w:top w:val="single" w:sz="4" w:space="0" w:color="auto"/>
              <w:left w:val="nil"/>
              <w:bottom w:val="single" w:sz="4" w:space="0" w:color="auto"/>
              <w:right w:val="nil"/>
            </w:tcBorders>
            <w:hideMark/>
          </w:tcPr>
          <w:p w14:paraId="6C387A6A"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54,744</w:t>
            </w:r>
          </w:p>
        </w:tc>
      </w:tr>
      <w:tr w:rsidR="00525AFC" w:rsidRPr="000640AA" w14:paraId="496DF96C" w14:textId="77777777" w:rsidTr="000640AA">
        <w:trPr>
          <w:trHeight w:val="163"/>
        </w:trPr>
        <w:tc>
          <w:tcPr>
            <w:tcW w:w="846" w:type="dxa"/>
            <w:tcBorders>
              <w:top w:val="single" w:sz="4" w:space="0" w:color="auto"/>
              <w:left w:val="nil"/>
              <w:bottom w:val="single" w:sz="4" w:space="0" w:color="auto"/>
              <w:right w:val="nil"/>
            </w:tcBorders>
            <w:hideMark/>
          </w:tcPr>
          <w:p w14:paraId="6D544A9B" w14:textId="77777777" w:rsidR="00525AFC" w:rsidRPr="000640AA" w:rsidRDefault="00525AFC" w:rsidP="00AF1A79">
            <w:pPr>
              <w:spacing w:line="360" w:lineRule="auto"/>
              <w:rPr>
                <w:rFonts w:ascii="Arial" w:hAnsi="Arial" w:cs="Arial"/>
                <w:sz w:val="18"/>
                <w:szCs w:val="18"/>
              </w:rPr>
            </w:pPr>
            <w:r w:rsidRPr="000640AA">
              <w:rPr>
                <w:rFonts w:ascii="Arial" w:hAnsi="Arial" w:cs="Arial"/>
                <w:sz w:val="18"/>
                <w:szCs w:val="18"/>
                <w:lang w:val="id-ID"/>
              </w:rPr>
              <w:t>#</w:t>
            </w:r>
            <w:r w:rsidRPr="000640AA">
              <w:rPr>
                <w:rFonts w:ascii="Arial" w:hAnsi="Arial" w:cs="Arial"/>
                <w:sz w:val="18"/>
                <w:szCs w:val="18"/>
              </w:rPr>
              <w:t>5</w:t>
            </w:r>
          </w:p>
        </w:tc>
        <w:tc>
          <w:tcPr>
            <w:tcW w:w="7068" w:type="dxa"/>
            <w:tcBorders>
              <w:top w:val="single" w:sz="4" w:space="0" w:color="auto"/>
              <w:left w:val="nil"/>
              <w:bottom w:val="single" w:sz="4" w:space="0" w:color="auto"/>
              <w:right w:val="nil"/>
            </w:tcBorders>
          </w:tcPr>
          <w:p w14:paraId="55BF061B" w14:textId="77777777" w:rsidR="00525AFC" w:rsidRPr="000640AA" w:rsidRDefault="00525AFC" w:rsidP="00AF1A79">
            <w:pPr>
              <w:spacing w:line="360" w:lineRule="auto"/>
              <w:rPr>
                <w:rFonts w:ascii="Arial" w:hAnsi="Arial" w:cs="Arial"/>
                <w:sz w:val="18"/>
                <w:szCs w:val="18"/>
              </w:rPr>
            </w:pPr>
            <w:r w:rsidRPr="000640AA">
              <w:rPr>
                <w:rFonts w:ascii="Arial" w:hAnsi="Arial" w:cs="Arial"/>
                <w:sz w:val="18"/>
                <w:szCs w:val="18"/>
              </w:rPr>
              <w:t>Mortality or death</w:t>
            </w:r>
          </w:p>
        </w:tc>
        <w:tc>
          <w:tcPr>
            <w:tcW w:w="1701" w:type="dxa"/>
            <w:tcBorders>
              <w:top w:val="single" w:sz="4" w:space="0" w:color="auto"/>
              <w:left w:val="nil"/>
              <w:bottom w:val="single" w:sz="4" w:space="0" w:color="auto"/>
              <w:right w:val="nil"/>
            </w:tcBorders>
            <w:hideMark/>
          </w:tcPr>
          <w:p w14:paraId="1C5A25EF"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897,607</w:t>
            </w:r>
          </w:p>
        </w:tc>
      </w:tr>
      <w:tr w:rsidR="00525AFC" w:rsidRPr="000640AA" w14:paraId="4579D2DB" w14:textId="77777777" w:rsidTr="000640AA">
        <w:trPr>
          <w:trHeight w:val="267"/>
        </w:trPr>
        <w:tc>
          <w:tcPr>
            <w:tcW w:w="846" w:type="dxa"/>
            <w:tcBorders>
              <w:top w:val="single" w:sz="4" w:space="0" w:color="auto"/>
              <w:left w:val="nil"/>
              <w:bottom w:val="single" w:sz="4" w:space="0" w:color="auto"/>
              <w:right w:val="nil"/>
            </w:tcBorders>
          </w:tcPr>
          <w:p w14:paraId="1B067589" w14:textId="77777777" w:rsidR="00525AFC" w:rsidRPr="000640AA" w:rsidRDefault="00525AFC" w:rsidP="00AF1A79">
            <w:pPr>
              <w:spacing w:line="360" w:lineRule="auto"/>
              <w:rPr>
                <w:rFonts w:ascii="Arial" w:hAnsi="Arial" w:cs="Arial"/>
                <w:sz w:val="18"/>
                <w:szCs w:val="18"/>
              </w:rPr>
            </w:pPr>
            <w:r w:rsidRPr="000640AA">
              <w:rPr>
                <w:rFonts w:ascii="Arial" w:hAnsi="Arial" w:cs="Arial"/>
                <w:sz w:val="18"/>
                <w:szCs w:val="18"/>
              </w:rPr>
              <w:t>#6</w:t>
            </w:r>
          </w:p>
        </w:tc>
        <w:tc>
          <w:tcPr>
            <w:tcW w:w="7068" w:type="dxa"/>
            <w:tcBorders>
              <w:top w:val="single" w:sz="4" w:space="0" w:color="auto"/>
              <w:left w:val="nil"/>
              <w:bottom w:val="single" w:sz="4" w:space="0" w:color="auto"/>
              <w:right w:val="nil"/>
            </w:tcBorders>
          </w:tcPr>
          <w:p w14:paraId="61D7BF51"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readmission or rehospitalization</w:t>
            </w:r>
          </w:p>
        </w:tc>
        <w:tc>
          <w:tcPr>
            <w:tcW w:w="1701" w:type="dxa"/>
            <w:tcBorders>
              <w:top w:val="single" w:sz="4" w:space="0" w:color="auto"/>
              <w:left w:val="nil"/>
              <w:bottom w:val="single" w:sz="4" w:space="0" w:color="auto"/>
              <w:right w:val="nil"/>
            </w:tcBorders>
          </w:tcPr>
          <w:p w14:paraId="2CD36942"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6,267</w:t>
            </w:r>
          </w:p>
        </w:tc>
      </w:tr>
      <w:tr w:rsidR="00525AFC" w:rsidRPr="000640AA" w14:paraId="39E560CE" w14:textId="77777777" w:rsidTr="00AF1A79">
        <w:trPr>
          <w:trHeight w:val="800"/>
        </w:trPr>
        <w:tc>
          <w:tcPr>
            <w:tcW w:w="846" w:type="dxa"/>
            <w:tcBorders>
              <w:top w:val="single" w:sz="4" w:space="0" w:color="auto"/>
              <w:left w:val="nil"/>
              <w:bottom w:val="single" w:sz="4" w:space="0" w:color="auto"/>
              <w:right w:val="nil"/>
            </w:tcBorders>
          </w:tcPr>
          <w:p w14:paraId="6D9AF924" w14:textId="77777777" w:rsidR="00525AFC" w:rsidRPr="000640AA" w:rsidRDefault="00525AFC" w:rsidP="00AF1A79">
            <w:pPr>
              <w:spacing w:line="360" w:lineRule="auto"/>
              <w:rPr>
                <w:rFonts w:ascii="Arial" w:hAnsi="Arial" w:cs="Arial"/>
                <w:sz w:val="18"/>
                <w:szCs w:val="18"/>
              </w:rPr>
            </w:pPr>
            <w:r w:rsidRPr="000640AA">
              <w:rPr>
                <w:rFonts w:ascii="Arial" w:hAnsi="Arial" w:cs="Arial"/>
                <w:sz w:val="18"/>
                <w:szCs w:val="18"/>
              </w:rPr>
              <w:t>#7</w:t>
            </w:r>
          </w:p>
        </w:tc>
        <w:tc>
          <w:tcPr>
            <w:tcW w:w="7068" w:type="dxa"/>
            <w:tcBorders>
              <w:top w:val="single" w:sz="4" w:space="0" w:color="auto"/>
              <w:left w:val="nil"/>
              <w:bottom w:val="single" w:sz="4" w:space="0" w:color="auto"/>
              <w:right w:val="nil"/>
            </w:tcBorders>
          </w:tcPr>
          <w:p w14:paraId="6D54D542"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 xml:space="preserve">primary percutaneous coronary intervention or </w:t>
            </w:r>
            <w:proofErr w:type="spellStart"/>
            <w:r w:rsidRPr="000640AA">
              <w:rPr>
                <w:rFonts w:ascii="Arial" w:hAnsi="Arial" w:cs="Arial"/>
                <w:sz w:val="18"/>
                <w:szCs w:val="18"/>
                <w:lang w:val="en-ID"/>
              </w:rPr>
              <w:t>pci</w:t>
            </w:r>
            <w:proofErr w:type="spellEnd"/>
            <w:r w:rsidRPr="000640AA">
              <w:rPr>
                <w:rFonts w:ascii="Arial" w:hAnsi="Arial" w:cs="Arial"/>
                <w:sz w:val="18"/>
                <w:szCs w:val="18"/>
                <w:lang w:val="en-ID"/>
              </w:rPr>
              <w:t xml:space="preserve"> or percutaneous coronary intervention or angioplasty</w:t>
            </w:r>
          </w:p>
        </w:tc>
        <w:tc>
          <w:tcPr>
            <w:tcW w:w="1701" w:type="dxa"/>
            <w:tcBorders>
              <w:top w:val="single" w:sz="4" w:space="0" w:color="auto"/>
              <w:left w:val="nil"/>
              <w:bottom w:val="single" w:sz="4" w:space="0" w:color="auto"/>
              <w:right w:val="nil"/>
            </w:tcBorders>
          </w:tcPr>
          <w:p w14:paraId="6A86367E"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10,374</w:t>
            </w:r>
          </w:p>
        </w:tc>
      </w:tr>
      <w:tr w:rsidR="00525AFC" w:rsidRPr="000640AA" w14:paraId="508E4E5F" w14:textId="77777777" w:rsidTr="00AF1A79">
        <w:trPr>
          <w:trHeight w:val="800"/>
        </w:trPr>
        <w:tc>
          <w:tcPr>
            <w:tcW w:w="846" w:type="dxa"/>
            <w:tcBorders>
              <w:top w:val="single" w:sz="4" w:space="0" w:color="auto"/>
              <w:left w:val="nil"/>
              <w:bottom w:val="single" w:sz="4" w:space="0" w:color="auto"/>
              <w:right w:val="nil"/>
            </w:tcBorders>
          </w:tcPr>
          <w:p w14:paraId="2FBFA14B" w14:textId="77777777" w:rsidR="00525AFC" w:rsidRPr="000640AA" w:rsidRDefault="00525AFC" w:rsidP="00AF1A79">
            <w:pPr>
              <w:spacing w:line="360" w:lineRule="auto"/>
              <w:rPr>
                <w:rFonts w:ascii="Arial" w:hAnsi="Arial" w:cs="Arial"/>
                <w:sz w:val="18"/>
                <w:szCs w:val="18"/>
              </w:rPr>
            </w:pPr>
            <w:r w:rsidRPr="000640AA">
              <w:rPr>
                <w:rFonts w:ascii="Arial" w:hAnsi="Arial" w:cs="Arial"/>
                <w:sz w:val="18"/>
                <w:szCs w:val="18"/>
              </w:rPr>
              <w:t>#8</w:t>
            </w:r>
          </w:p>
        </w:tc>
        <w:tc>
          <w:tcPr>
            <w:tcW w:w="7068" w:type="dxa"/>
            <w:tcBorders>
              <w:top w:val="single" w:sz="4" w:space="0" w:color="auto"/>
              <w:left w:val="nil"/>
              <w:bottom w:val="single" w:sz="4" w:space="0" w:color="auto"/>
              <w:right w:val="nil"/>
            </w:tcBorders>
          </w:tcPr>
          <w:p w14:paraId="659B87A5"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#1 AND #2 AND #3 AND #4 AND #5 AND #6 AND #7</w:t>
            </w:r>
          </w:p>
          <w:p w14:paraId="1AAFB722"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 xml:space="preserve">coronary heart disease or cad or heart disease AND risk or low risk AND Discharge or early discharge AND Length of stay or hospital stay AND Mortality or death AND readmission or rehospitalization AND primary percutaneous coronary intervention or </w:t>
            </w:r>
            <w:proofErr w:type="spellStart"/>
            <w:r w:rsidRPr="000640AA">
              <w:rPr>
                <w:rFonts w:ascii="Arial" w:hAnsi="Arial" w:cs="Arial"/>
                <w:sz w:val="18"/>
                <w:szCs w:val="18"/>
                <w:lang w:val="en-ID"/>
              </w:rPr>
              <w:t>pci</w:t>
            </w:r>
            <w:proofErr w:type="spellEnd"/>
            <w:r w:rsidRPr="000640AA">
              <w:rPr>
                <w:rFonts w:ascii="Arial" w:hAnsi="Arial" w:cs="Arial"/>
                <w:sz w:val="18"/>
                <w:szCs w:val="18"/>
                <w:lang w:val="en-ID"/>
              </w:rPr>
              <w:t xml:space="preserve"> or percutaneous coronary intervention or angioplasty</w:t>
            </w:r>
          </w:p>
        </w:tc>
        <w:tc>
          <w:tcPr>
            <w:tcW w:w="1701" w:type="dxa"/>
            <w:tcBorders>
              <w:top w:val="single" w:sz="4" w:space="0" w:color="auto"/>
              <w:left w:val="nil"/>
              <w:bottom w:val="single" w:sz="4" w:space="0" w:color="auto"/>
              <w:right w:val="nil"/>
            </w:tcBorders>
          </w:tcPr>
          <w:p w14:paraId="6211664C"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103</w:t>
            </w:r>
          </w:p>
        </w:tc>
      </w:tr>
      <w:tr w:rsidR="00525AFC" w:rsidRPr="000640AA" w14:paraId="173BFC0E" w14:textId="77777777" w:rsidTr="00AF1A79">
        <w:trPr>
          <w:trHeight w:val="800"/>
        </w:trPr>
        <w:tc>
          <w:tcPr>
            <w:tcW w:w="846" w:type="dxa"/>
            <w:tcBorders>
              <w:top w:val="single" w:sz="4" w:space="0" w:color="auto"/>
              <w:left w:val="nil"/>
              <w:bottom w:val="single" w:sz="4" w:space="0" w:color="auto"/>
              <w:right w:val="nil"/>
            </w:tcBorders>
          </w:tcPr>
          <w:p w14:paraId="7E616767" w14:textId="77777777" w:rsidR="00525AFC" w:rsidRPr="000640AA" w:rsidRDefault="00525AFC" w:rsidP="00AF1A79">
            <w:pPr>
              <w:spacing w:line="360" w:lineRule="auto"/>
              <w:rPr>
                <w:rFonts w:ascii="Arial" w:hAnsi="Arial" w:cs="Arial"/>
                <w:sz w:val="18"/>
                <w:szCs w:val="18"/>
              </w:rPr>
            </w:pPr>
          </w:p>
        </w:tc>
        <w:tc>
          <w:tcPr>
            <w:tcW w:w="7068" w:type="dxa"/>
            <w:tcBorders>
              <w:top w:val="single" w:sz="4" w:space="0" w:color="auto"/>
              <w:left w:val="nil"/>
              <w:bottom w:val="single" w:sz="4" w:space="0" w:color="auto"/>
              <w:right w:val="nil"/>
            </w:tcBorders>
          </w:tcPr>
          <w:p w14:paraId="79C8D2E6"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((((coronary heart disease OR myocardial infarction OR cardiovascular disease) AND (low risk or risk)) AND (early discharge)) AND (primary percutaneous coronary intervention)) AND (hospital readmission)</w:t>
            </w:r>
          </w:p>
        </w:tc>
        <w:tc>
          <w:tcPr>
            <w:tcW w:w="1701" w:type="dxa"/>
            <w:tcBorders>
              <w:top w:val="single" w:sz="4" w:space="0" w:color="auto"/>
              <w:left w:val="nil"/>
              <w:bottom w:val="single" w:sz="4" w:space="0" w:color="auto"/>
              <w:right w:val="nil"/>
            </w:tcBorders>
          </w:tcPr>
          <w:p w14:paraId="284FC4C2" w14:textId="77777777" w:rsidR="00525AFC" w:rsidRPr="000640AA" w:rsidRDefault="00525AFC" w:rsidP="00AF1A79">
            <w:pPr>
              <w:spacing w:line="360" w:lineRule="auto"/>
              <w:jc w:val="center"/>
              <w:rPr>
                <w:rFonts w:ascii="Arial" w:hAnsi="Arial" w:cs="Arial"/>
                <w:sz w:val="18"/>
                <w:szCs w:val="18"/>
              </w:rPr>
            </w:pPr>
            <w:r w:rsidRPr="000640AA">
              <w:rPr>
                <w:rFonts w:ascii="Arial" w:hAnsi="Arial" w:cs="Arial"/>
                <w:sz w:val="18"/>
                <w:szCs w:val="18"/>
              </w:rPr>
              <w:t>360</w:t>
            </w:r>
          </w:p>
        </w:tc>
      </w:tr>
      <w:tr w:rsidR="00525AFC" w:rsidRPr="000640AA" w14:paraId="2C348664" w14:textId="77777777" w:rsidTr="00AF1A79">
        <w:tc>
          <w:tcPr>
            <w:tcW w:w="9615" w:type="dxa"/>
            <w:gridSpan w:val="3"/>
            <w:tcBorders>
              <w:top w:val="single" w:sz="4" w:space="0" w:color="auto"/>
              <w:left w:val="nil"/>
              <w:bottom w:val="single" w:sz="4" w:space="0" w:color="auto"/>
              <w:right w:val="nil"/>
            </w:tcBorders>
            <w:hideMark/>
          </w:tcPr>
          <w:p w14:paraId="734153B0"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b/>
                <w:bCs/>
                <w:sz w:val="18"/>
                <w:szCs w:val="18"/>
                <w:lang w:val="en-ID"/>
              </w:rPr>
              <w:t>SCOPUS</w:t>
            </w:r>
          </w:p>
        </w:tc>
      </w:tr>
      <w:tr w:rsidR="00525AFC" w:rsidRPr="000640AA" w14:paraId="711A0599" w14:textId="77777777" w:rsidTr="00AF1A79">
        <w:tc>
          <w:tcPr>
            <w:tcW w:w="846" w:type="dxa"/>
            <w:tcBorders>
              <w:top w:val="single" w:sz="4" w:space="0" w:color="auto"/>
              <w:left w:val="nil"/>
              <w:bottom w:val="single" w:sz="4" w:space="0" w:color="auto"/>
              <w:right w:val="nil"/>
            </w:tcBorders>
            <w:hideMark/>
          </w:tcPr>
          <w:p w14:paraId="7614831D" w14:textId="77777777" w:rsidR="00525AFC" w:rsidRPr="000640AA" w:rsidRDefault="00525AFC" w:rsidP="00AF1A79">
            <w:pPr>
              <w:spacing w:line="360" w:lineRule="auto"/>
              <w:rPr>
                <w:rFonts w:ascii="Arial" w:hAnsi="Arial" w:cs="Arial"/>
                <w:color w:val="000000" w:themeColor="text1"/>
                <w:sz w:val="18"/>
                <w:szCs w:val="18"/>
                <w:lang w:val="en-ID"/>
              </w:rPr>
            </w:pPr>
            <w:r w:rsidRPr="000640AA">
              <w:rPr>
                <w:rFonts w:ascii="Arial" w:hAnsi="Arial" w:cs="Arial"/>
                <w:color w:val="000000" w:themeColor="text1"/>
                <w:sz w:val="18"/>
                <w:szCs w:val="18"/>
                <w:lang w:val="en-ID"/>
              </w:rPr>
              <w:t>#1</w:t>
            </w:r>
          </w:p>
        </w:tc>
        <w:tc>
          <w:tcPr>
            <w:tcW w:w="7068" w:type="dxa"/>
            <w:tcBorders>
              <w:top w:val="single" w:sz="4" w:space="0" w:color="auto"/>
              <w:left w:val="nil"/>
              <w:bottom w:val="single" w:sz="4" w:space="0" w:color="auto"/>
              <w:right w:val="nil"/>
            </w:tcBorders>
            <w:hideMark/>
          </w:tcPr>
          <w:p w14:paraId="0BF6F91B" w14:textId="77777777" w:rsidR="00525AFC" w:rsidRPr="000640AA" w:rsidRDefault="00525AFC" w:rsidP="00AF1A79">
            <w:pPr>
              <w:spacing w:line="360" w:lineRule="auto"/>
              <w:rPr>
                <w:rFonts w:ascii="Arial" w:hAnsi="Arial" w:cs="Arial"/>
                <w:color w:val="000000" w:themeColor="text1"/>
                <w:sz w:val="18"/>
                <w:szCs w:val="18"/>
                <w:lang w:val="en-ID"/>
              </w:rPr>
            </w:pPr>
            <w:r w:rsidRPr="000640AA">
              <w:rPr>
                <w:rFonts w:ascii="Arial" w:hAnsi="Arial" w:cs="Arial"/>
                <w:color w:val="000000" w:themeColor="text1"/>
                <w:sz w:val="18"/>
                <w:szCs w:val="18"/>
                <w:lang w:val="en-ID"/>
              </w:rPr>
              <w:t xml:space="preserve">coronary AND artery AND disease OR cad OR coronary AND heart AND disease AND primary AND percutaneous AND coronary AND intervention OR </w:t>
            </w:r>
            <w:proofErr w:type="spellStart"/>
            <w:r w:rsidRPr="000640AA">
              <w:rPr>
                <w:rFonts w:ascii="Arial" w:hAnsi="Arial" w:cs="Arial"/>
                <w:color w:val="000000" w:themeColor="text1"/>
                <w:sz w:val="18"/>
                <w:szCs w:val="18"/>
                <w:lang w:val="en-ID"/>
              </w:rPr>
              <w:t>pci</w:t>
            </w:r>
            <w:proofErr w:type="spellEnd"/>
            <w:r w:rsidRPr="000640AA">
              <w:rPr>
                <w:rFonts w:ascii="Arial" w:hAnsi="Arial" w:cs="Arial"/>
                <w:color w:val="000000" w:themeColor="text1"/>
                <w:sz w:val="18"/>
                <w:szCs w:val="18"/>
                <w:lang w:val="en-ID"/>
              </w:rPr>
              <w:t xml:space="preserve"> OR percutaneous AND coronary AND intervention OR angioplasty</w:t>
            </w:r>
          </w:p>
        </w:tc>
        <w:tc>
          <w:tcPr>
            <w:tcW w:w="1701" w:type="dxa"/>
            <w:tcBorders>
              <w:top w:val="single" w:sz="4" w:space="0" w:color="auto"/>
              <w:left w:val="nil"/>
              <w:bottom w:val="single" w:sz="4" w:space="0" w:color="auto"/>
              <w:right w:val="nil"/>
            </w:tcBorders>
            <w:hideMark/>
          </w:tcPr>
          <w:p w14:paraId="1CBF472B" w14:textId="77777777" w:rsidR="00525AFC" w:rsidRPr="000640AA" w:rsidRDefault="00525AFC" w:rsidP="00AF1A79">
            <w:pPr>
              <w:pStyle w:val="Heading2"/>
              <w:shd w:val="clear" w:color="auto" w:fill="FFFFFF"/>
              <w:spacing w:before="0" w:line="360" w:lineRule="auto"/>
              <w:jc w:val="center"/>
              <w:rPr>
                <w:rFonts w:ascii="Arial" w:eastAsiaTheme="minorHAnsi" w:hAnsi="Arial" w:cs="Arial"/>
                <w:b w:val="0"/>
                <w:bCs/>
                <w:noProof w:val="0"/>
                <w:sz w:val="18"/>
                <w:szCs w:val="18"/>
                <w:lang w:val="en-ID" w:eastAsia="en-US"/>
              </w:rPr>
            </w:pPr>
            <w:r w:rsidRPr="000640AA">
              <w:rPr>
                <w:rFonts w:ascii="Arial" w:eastAsiaTheme="minorHAnsi" w:hAnsi="Arial" w:cs="Arial"/>
                <w:b w:val="0"/>
                <w:bCs/>
                <w:noProof w:val="0"/>
                <w:sz w:val="18"/>
                <w:szCs w:val="18"/>
                <w:lang w:val="en-ID" w:eastAsia="en-US"/>
              </w:rPr>
              <w:t>69,784</w:t>
            </w:r>
          </w:p>
        </w:tc>
      </w:tr>
      <w:tr w:rsidR="00525AFC" w:rsidRPr="000640AA" w14:paraId="2A533EE7" w14:textId="77777777" w:rsidTr="00AF1A79">
        <w:tc>
          <w:tcPr>
            <w:tcW w:w="846" w:type="dxa"/>
            <w:tcBorders>
              <w:top w:val="single" w:sz="4" w:space="0" w:color="auto"/>
              <w:left w:val="nil"/>
              <w:bottom w:val="single" w:sz="4" w:space="0" w:color="auto"/>
              <w:right w:val="nil"/>
            </w:tcBorders>
            <w:hideMark/>
          </w:tcPr>
          <w:p w14:paraId="0E55BBA4" w14:textId="77777777" w:rsidR="00525AFC" w:rsidRPr="000640AA" w:rsidRDefault="00525AFC" w:rsidP="00AF1A79">
            <w:pPr>
              <w:spacing w:line="360" w:lineRule="auto"/>
              <w:rPr>
                <w:rFonts w:ascii="Arial" w:hAnsi="Arial" w:cs="Arial"/>
                <w:color w:val="000000" w:themeColor="text1"/>
                <w:sz w:val="18"/>
                <w:szCs w:val="18"/>
                <w:lang w:val="en-ID"/>
              </w:rPr>
            </w:pPr>
            <w:r w:rsidRPr="000640AA">
              <w:rPr>
                <w:rFonts w:ascii="Arial" w:hAnsi="Arial" w:cs="Arial"/>
                <w:color w:val="000000" w:themeColor="text1"/>
                <w:sz w:val="18"/>
                <w:szCs w:val="18"/>
                <w:lang w:val="en-ID"/>
              </w:rPr>
              <w:lastRenderedPageBreak/>
              <w:t>#2</w:t>
            </w:r>
          </w:p>
        </w:tc>
        <w:tc>
          <w:tcPr>
            <w:tcW w:w="7068" w:type="dxa"/>
            <w:tcBorders>
              <w:top w:val="single" w:sz="4" w:space="0" w:color="auto"/>
              <w:left w:val="nil"/>
              <w:bottom w:val="single" w:sz="4" w:space="0" w:color="auto"/>
              <w:right w:val="nil"/>
            </w:tcBorders>
            <w:hideMark/>
          </w:tcPr>
          <w:p w14:paraId="0A0C3C34" w14:textId="77777777" w:rsidR="00525AFC" w:rsidRPr="000640AA" w:rsidRDefault="00525AFC" w:rsidP="00AF1A79">
            <w:pPr>
              <w:spacing w:line="360" w:lineRule="auto"/>
              <w:rPr>
                <w:rFonts w:ascii="Arial" w:hAnsi="Arial" w:cs="Arial"/>
                <w:color w:val="000000" w:themeColor="text1"/>
                <w:sz w:val="18"/>
                <w:szCs w:val="18"/>
                <w:lang w:val="en-ID"/>
              </w:rPr>
            </w:pPr>
            <w:r w:rsidRPr="000640AA">
              <w:rPr>
                <w:rFonts w:ascii="Arial" w:hAnsi="Arial" w:cs="Arial"/>
                <w:color w:val="000000" w:themeColor="text1"/>
                <w:sz w:val="18"/>
                <w:szCs w:val="18"/>
                <w:lang w:val="en-ID"/>
              </w:rPr>
              <w:t xml:space="preserve">coronary AND artery AND disease OR cad OR coronary AND heart AND disease AND primary AND percutaneous AND coronary AND intervention OR </w:t>
            </w:r>
            <w:proofErr w:type="spellStart"/>
            <w:r w:rsidRPr="000640AA">
              <w:rPr>
                <w:rFonts w:ascii="Arial" w:hAnsi="Arial" w:cs="Arial"/>
                <w:color w:val="000000" w:themeColor="text1"/>
                <w:sz w:val="18"/>
                <w:szCs w:val="18"/>
                <w:lang w:val="en-ID"/>
              </w:rPr>
              <w:t>pci</w:t>
            </w:r>
            <w:proofErr w:type="spellEnd"/>
            <w:r w:rsidRPr="000640AA">
              <w:rPr>
                <w:rFonts w:ascii="Arial" w:hAnsi="Arial" w:cs="Arial"/>
                <w:color w:val="000000" w:themeColor="text1"/>
                <w:sz w:val="18"/>
                <w:szCs w:val="18"/>
                <w:lang w:val="en-ID"/>
              </w:rPr>
              <w:t xml:space="preserve"> OR percutaneous AND coronary AND intervention OR angioplasty AND early AND discharge OR reduce AND length AND of AND stay</w:t>
            </w:r>
          </w:p>
        </w:tc>
        <w:tc>
          <w:tcPr>
            <w:tcW w:w="1701" w:type="dxa"/>
            <w:tcBorders>
              <w:top w:val="single" w:sz="4" w:space="0" w:color="auto"/>
              <w:left w:val="nil"/>
              <w:bottom w:val="single" w:sz="4" w:space="0" w:color="auto"/>
              <w:right w:val="nil"/>
            </w:tcBorders>
          </w:tcPr>
          <w:p w14:paraId="126E3E28" w14:textId="77777777" w:rsidR="00525AFC" w:rsidRPr="000640AA" w:rsidRDefault="00525AFC" w:rsidP="00AF1A79">
            <w:pPr>
              <w:pStyle w:val="Heading2"/>
              <w:shd w:val="clear" w:color="auto" w:fill="FFFFFF"/>
              <w:spacing w:before="0" w:line="360" w:lineRule="auto"/>
              <w:jc w:val="center"/>
              <w:rPr>
                <w:rFonts w:ascii="Arial" w:eastAsiaTheme="minorHAnsi" w:hAnsi="Arial" w:cs="Arial"/>
                <w:b w:val="0"/>
                <w:bCs/>
                <w:noProof w:val="0"/>
                <w:sz w:val="18"/>
                <w:szCs w:val="18"/>
                <w:lang w:val="en-ID" w:eastAsia="en-US"/>
              </w:rPr>
            </w:pPr>
            <w:r w:rsidRPr="000640AA">
              <w:rPr>
                <w:rFonts w:ascii="Arial" w:eastAsiaTheme="minorHAnsi" w:hAnsi="Arial" w:cs="Arial"/>
                <w:b w:val="0"/>
                <w:bCs/>
                <w:noProof w:val="0"/>
                <w:sz w:val="18"/>
                <w:szCs w:val="18"/>
                <w:lang w:val="en-ID" w:eastAsia="en-US"/>
              </w:rPr>
              <w:t>1,240</w:t>
            </w:r>
          </w:p>
        </w:tc>
      </w:tr>
      <w:tr w:rsidR="00525AFC" w:rsidRPr="000640AA" w14:paraId="3CDB3C47" w14:textId="77777777" w:rsidTr="00AF1A79">
        <w:tc>
          <w:tcPr>
            <w:tcW w:w="846" w:type="dxa"/>
            <w:tcBorders>
              <w:top w:val="single" w:sz="4" w:space="0" w:color="auto"/>
              <w:left w:val="nil"/>
              <w:bottom w:val="single" w:sz="4" w:space="0" w:color="auto"/>
              <w:right w:val="nil"/>
            </w:tcBorders>
            <w:hideMark/>
          </w:tcPr>
          <w:p w14:paraId="56A0EA80" w14:textId="77777777" w:rsidR="00525AFC" w:rsidRPr="000640AA" w:rsidRDefault="00525AFC" w:rsidP="00AF1A79">
            <w:pPr>
              <w:spacing w:line="360" w:lineRule="auto"/>
              <w:rPr>
                <w:rFonts w:ascii="Arial" w:hAnsi="Arial" w:cs="Arial"/>
                <w:color w:val="000000" w:themeColor="text1"/>
                <w:sz w:val="18"/>
                <w:szCs w:val="18"/>
                <w:lang w:val="en-ID"/>
              </w:rPr>
            </w:pPr>
            <w:r w:rsidRPr="000640AA">
              <w:rPr>
                <w:rFonts w:ascii="Arial" w:hAnsi="Arial" w:cs="Arial"/>
                <w:color w:val="000000" w:themeColor="text1"/>
                <w:sz w:val="18"/>
                <w:szCs w:val="18"/>
                <w:lang w:val="en-ID"/>
              </w:rPr>
              <w:t>#3</w:t>
            </w:r>
          </w:p>
        </w:tc>
        <w:tc>
          <w:tcPr>
            <w:tcW w:w="7068" w:type="dxa"/>
            <w:tcBorders>
              <w:top w:val="single" w:sz="4" w:space="0" w:color="auto"/>
              <w:left w:val="nil"/>
              <w:bottom w:val="single" w:sz="4" w:space="0" w:color="auto"/>
              <w:right w:val="nil"/>
            </w:tcBorders>
            <w:hideMark/>
          </w:tcPr>
          <w:p w14:paraId="76510E62" w14:textId="77777777" w:rsidR="00525AFC" w:rsidRPr="000640AA" w:rsidRDefault="00525AFC" w:rsidP="00AF1A79">
            <w:pPr>
              <w:spacing w:line="360" w:lineRule="auto"/>
              <w:rPr>
                <w:rFonts w:ascii="Arial" w:hAnsi="Arial" w:cs="Arial"/>
                <w:color w:val="000000" w:themeColor="text1"/>
                <w:sz w:val="18"/>
                <w:szCs w:val="18"/>
                <w:lang w:val="en-ID"/>
              </w:rPr>
            </w:pPr>
            <w:r w:rsidRPr="000640AA">
              <w:rPr>
                <w:rFonts w:ascii="Arial" w:hAnsi="Arial" w:cs="Arial"/>
                <w:color w:val="000000" w:themeColor="text1"/>
                <w:sz w:val="18"/>
                <w:szCs w:val="18"/>
                <w:lang w:val="en-ID"/>
              </w:rPr>
              <w:t xml:space="preserve">coronary AND artery AND disease OR cad OR coronary AND heart AND disease AND primary AND percutaneous AND coronary AND intervention OR </w:t>
            </w:r>
            <w:proofErr w:type="spellStart"/>
            <w:r w:rsidRPr="000640AA">
              <w:rPr>
                <w:rFonts w:ascii="Arial" w:hAnsi="Arial" w:cs="Arial"/>
                <w:color w:val="000000" w:themeColor="text1"/>
                <w:sz w:val="18"/>
                <w:szCs w:val="18"/>
                <w:lang w:val="en-ID"/>
              </w:rPr>
              <w:t>pci</w:t>
            </w:r>
            <w:proofErr w:type="spellEnd"/>
            <w:r w:rsidRPr="000640AA">
              <w:rPr>
                <w:rFonts w:ascii="Arial" w:hAnsi="Arial" w:cs="Arial"/>
                <w:color w:val="000000" w:themeColor="text1"/>
                <w:sz w:val="18"/>
                <w:szCs w:val="18"/>
                <w:lang w:val="en-ID"/>
              </w:rPr>
              <w:t xml:space="preserve"> OR percutaneous AND coronary AND intervention OR angioplasty AND early AND discharge OR reduce AND length AND of AND stay AND mortality OR death AND length AND of AND stay OR hospitalization OR length AND in AND hospital</w:t>
            </w:r>
          </w:p>
        </w:tc>
        <w:tc>
          <w:tcPr>
            <w:tcW w:w="1701" w:type="dxa"/>
            <w:tcBorders>
              <w:top w:val="single" w:sz="4" w:space="0" w:color="auto"/>
              <w:left w:val="nil"/>
              <w:bottom w:val="single" w:sz="4" w:space="0" w:color="auto"/>
              <w:right w:val="nil"/>
            </w:tcBorders>
            <w:hideMark/>
          </w:tcPr>
          <w:p w14:paraId="1EA1B64C" w14:textId="77777777" w:rsidR="00525AFC" w:rsidRPr="000640AA" w:rsidRDefault="00525AFC" w:rsidP="00AF1A79">
            <w:pPr>
              <w:pStyle w:val="Heading2"/>
              <w:shd w:val="clear" w:color="auto" w:fill="FFFFFF"/>
              <w:spacing w:before="0" w:line="360" w:lineRule="auto"/>
              <w:jc w:val="center"/>
              <w:rPr>
                <w:rFonts w:ascii="Arial" w:eastAsia="Times New Roman" w:hAnsi="Arial" w:cs="Arial"/>
                <w:b w:val="0"/>
                <w:bCs/>
                <w:noProof w:val="0"/>
                <w:sz w:val="18"/>
                <w:szCs w:val="18"/>
                <w:lang w:val="en-ID" w:eastAsia="en-US"/>
              </w:rPr>
            </w:pPr>
            <w:r w:rsidRPr="000640AA">
              <w:rPr>
                <w:rFonts w:ascii="Arial" w:eastAsia="Times New Roman" w:hAnsi="Arial" w:cs="Arial"/>
                <w:b w:val="0"/>
                <w:bCs/>
                <w:noProof w:val="0"/>
                <w:sz w:val="18"/>
                <w:szCs w:val="18"/>
                <w:lang w:val="en-ID" w:eastAsia="en-US"/>
              </w:rPr>
              <w:t>365</w:t>
            </w:r>
          </w:p>
        </w:tc>
      </w:tr>
      <w:tr w:rsidR="00525AFC" w:rsidRPr="000640AA" w14:paraId="57F42EA6" w14:textId="77777777" w:rsidTr="00AF1A79">
        <w:tc>
          <w:tcPr>
            <w:tcW w:w="9615" w:type="dxa"/>
            <w:gridSpan w:val="3"/>
            <w:tcBorders>
              <w:top w:val="single" w:sz="4" w:space="0" w:color="auto"/>
              <w:left w:val="nil"/>
              <w:bottom w:val="single" w:sz="4" w:space="0" w:color="auto"/>
              <w:right w:val="nil"/>
            </w:tcBorders>
            <w:hideMark/>
          </w:tcPr>
          <w:p w14:paraId="41A45240" w14:textId="77777777" w:rsidR="00525AFC" w:rsidRPr="000640AA" w:rsidRDefault="00525AFC" w:rsidP="00AF1A79">
            <w:pPr>
              <w:spacing w:line="360" w:lineRule="auto"/>
              <w:rPr>
                <w:rFonts w:ascii="Arial" w:hAnsi="Arial" w:cs="Arial"/>
                <w:b/>
                <w:bCs/>
                <w:sz w:val="18"/>
                <w:szCs w:val="18"/>
                <w:lang w:val="en-ID"/>
              </w:rPr>
            </w:pPr>
            <w:r w:rsidRPr="000640AA">
              <w:rPr>
                <w:rFonts w:ascii="Arial" w:hAnsi="Arial" w:cs="Arial"/>
                <w:b/>
                <w:bCs/>
                <w:sz w:val="18"/>
                <w:szCs w:val="18"/>
                <w:lang w:val="id-ID"/>
              </w:rPr>
              <w:t>EBSCO-host Academic Search Complete</w:t>
            </w:r>
          </w:p>
        </w:tc>
      </w:tr>
      <w:tr w:rsidR="00525AFC" w:rsidRPr="000640AA" w14:paraId="7C932638" w14:textId="77777777" w:rsidTr="00AF1A79">
        <w:tc>
          <w:tcPr>
            <w:tcW w:w="846" w:type="dxa"/>
            <w:tcBorders>
              <w:top w:val="single" w:sz="4" w:space="0" w:color="auto"/>
              <w:left w:val="nil"/>
              <w:bottom w:val="single" w:sz="4" w:space="0" w:color="auto"/>
              <w:right w:val="nil"/>
            </w:tcBorders>
            <w:hideMark/>
          </w:tcPr>
          <w:p w14:paraId="4DAE887F"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S1</w:t>
            </w:r>
          </w:p>
        </w:tc>
        <w:tc>
          <w:tcPr>
            <w:tcW w:w="7068" w:type="dxa"/>
            <w:tcBorders>
              <w:top w:val="single" w:sz="4" w:space="0" w:color="auto"/>
              <w:left w:val="nil"/>
              <w:bottom w:val="single" w:sz="4" w:space="0" w:color="auto"/>
              <w:right w:val="nil"/>
            </w:tcBorders>
            <w:hideMark/>
          </w:tcPr>
          <w:p w14:paraId="3BB74315" w14:textId="77777777" w:rsidR="00525AFC" w:rsidRPr="000640AA" w:rsidRDefault="00525AFC" w:rsidP="00AF1A79">
            <w:pPr>
              <w:spacing w:line="360" w:lineRule="auto"/>
              <w:rPr>
                <w:rFonts w:ascii="Arial" w:eastAsia="Microsoft JhengHei" w:hAnsi="Arial" w:cs="Arial"/>
                <w:sz w:val="18"/>
                <w:szCs w:val="18"/>
                <w:lang w:val="en-ID" w:eastAsia="zh-TW"/>
              </w:rPr>
            </w:pPr>
            <w:r w:rsidRPr="000640AA">
              <w:rPr>
                <w:rFonts w:ascii="Arial" w:eastAsia="Microsoft JhengHei" w:hAnsi="Arial" w:cs="Arial"/>
                <w:sz w:val="18"/>
                <w:szCs w:val="18"/>
                <w:lang w:val="en-ID" w:eastAsia="zh-TW"/>
              </w:rPr>
              <w:t>coronary artery disease or cad or coronary heart disease</w:t>
            </w:r>
          </w:p>
        </w:tc>
        <w:tc>
          <w:tcPr>
            <w:tcW w:w="1701" w:type="dxa"/>
            <w:tcBorders>
              <w:top w:val="single" w:sz="4" w:space="0" w:color="auto"/>
              <w:left w:val="nil"/>
              <w:bottom w:val="single" w:sz="4" w:space="0" w:color="auto"/>
              <w:right w:val="nil"/>
            </w:tcBorders>
            <w:hideMark/>
          </w:tcPr>
          <w:p w14:paraId="00955965"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76,347</w:t>
            </w:r>
          </w:p>
        </w:tc>
      </w:tr>
      <w:tr w:rsidR="00525AFC" w:rsidRPr="000640AA" w14:paraId="2E9D069D" w14:textId="77777777" w:rsidTr="00AF1A79">
        <w:tc>
          <w:tcPr>
            <w:tcW w:w="846" w:type="dxa"/>
            <w:tcBorders>
              <w:top w:val="single" w:sz="4" w:space="0" w:color="auto"/>
              <w:left w:val="nil"/>
              <w:bottom w:val="single" w:sz="4" w:space="0" w:color="auto"/>
              <w:right w:val="nil"/>
            </w:tcBorders>
            <w:hideMark/>
          </w:tcPr>
          <w:p w14:paraId="342E2AD5"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S2</w:t>
            </w:r>
          </w:p>
        </w:tc>
        <w:tc>
          <w:tcPr>
            <w:tcW w:w="7068" w:type="dxa"/>
            <w:tcBorders>
              <w:top w:val="single" w:sz="4" w:space="0" w:color="auto"/>
              <w:left w:val="nil"/>
              <w:bottom w:val="single" w:sz="4" w:space="0" w:color="auto"/>
              <w:right w:val="nil"/>
            </w:tcBorders>
            <w:hideMark/>
          </w:tcPr>
          <w:p w14:paraId="6A2DEF63" w14:textId="77777777" w:rsidR="00525AFC" w:rsidRPr="000640AA" w:rsidRDefault="00525AFC" w:rsidP="00AF1A79">
            <w:pPr>
              <w:spacing w:line="360" w:lineRule="auto"/>
              <w:rPr>
                <w:rFonts w:ascii="Arial" w:eastAsia="Microsoft JhengHei" w:hAnsi="Arial" w:cs="Arial"/>
                <w:sz w:val="18"/>
                <w:szCs w:val="18"/>
                <w:lang w:val="en-ID" w:eastAsia="zh-TW"/>
              </w:rPr>
            </w:pPr>
            <w:r w:rsidRPr="000640AA">
              <w:rPr>
                <w:rFonts w:ascii="Arial" w:eastAsia="Microsoft JhengHei" w:hAnsi="Arial" w:cs="Arial"/>
                <w:sz w:val="18"/>
                <w:szCs w:val="18"/>
                <w:lang w:val="en-ID" w:eastAsia="zh-TW"/>
              </w:rPr>
              <w:t xml:space="preserve">primary percutaneous coronary intervention or </w:t>
            </w:r>
            <w:proofErr w:type="spellStart"/>
            <w:r w:rsidRPr="000640AA">
              <w:rPr>
                <w:rFonts w:ascii="Arial" w:eastAsia="Microsoft JhengHei" w:hAnsi="Arial" w:cs="Arial"/>
                <w:sz w:val="18"/>
                <w:szCs w:val="18"/>
                <w:lang w:val="en-ID" w:eastAsia="zh-TW"/>
              </w:rPr>
              <w:t>pci</w:t>
            </w:r>
            <w:proofErr w:type="spellEnd"/>
            <w:r w:rsidRPr="000640AA">
              <w:rPr>
                <w:rFonts w:ascii="Arial" w:eastAsia="Microsoft JhengHei" w:hAnsi="Arial" w:cs="Arial"/>
                <w:sz w:val="18"/>
                <w:szCs w:val="18"/>
                <w:lang w:val="en-ID" w:eastAsia="zh-TW"/>
              </w:rPr>
              <w:t xml:space="preserve"> or percutaneous coronary intervention or angioplasty</w:t>
            </w:r>
          </w:p>
        </w:tc>
        <w:tc>
          <w:tcPr>
            <w:tcW w:w="1701" w:type="dxa"/>
            <w:tcBorders>
              <w:top w:val="single" w:sz="4" w:space="0" w:color="auto"/>
              <w:left w:val="nil"/>
              <w:bottom w:val="single" w:sz="4" w:space="0" w:color="auto"/>
              <w:right w:val="nil"/>
            </w:tcBorders>
          </w:tcPr>
          <w:p w14:paraId="7F45AA23" w14:textId="77777777" w:rsidR="00525AFC" w:rsidRPr="000640AA" w:rsidRDefault="00525AFC" w:rsidP="00AF1A79">
            <w:pPr>
              <w:pStyle w:val="Heading1"/>
              <w:rPr>
                <w:rFonts w:ascii="Arial" w:hAnsi="Arial" w:cs="Arial"/>
                <w:sz w:val="18"/>
                <w:szCs w:val="18"/>
              </w:rPr>
            </w:pPr>
            <w:r w:rsidRPr="000640AA">
              <w:rPr>
                <w:rFonts w:ascii="Arial" w:hAnsi="Arial" w:cs="Arial"/>
                <w:sz w:val="18"/>
                <w:szCs w:val="18"/>
              </w:rPr>
              <w:t>33,237</w:t>
            </w:r>
          </w:p>
        </w:tc>
      </w:tr>
      <w:tr w:rsidR="00525AFC" w:rsidRPr="000640AA" w14:paraId="6FCCDBCC" w14:textId="77777777" w:rsidTr="00AF1A79">
        <w:tc>
          <w:tcPr>
            <w:tcW w:w="846" w:type="dxa"/>
            <w:tcBorders>
              <w:top w:val="single" w:sz="4" w:space="0" w:color="auto"/>
              <w:left w:val="nil"/>
              <w:bottom w:val="single" w:sz="4" w:space="0" w:color="auto"/>
              <w:right w:val="nil"/>
            </w:tcBorders>
            <w:hideMark/>
          </w:tcPr>
          <w:p w14:paraId="59137F4A"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S3</w:t>
            </w:r>
          </w:p>
        </w:tc>
        <w:tc>
          <w:tcPr>
            <w:tcW w:w="7068" w:type="dxa"/>
            <w:tcBorders>
              <w:top w:val="single" w:sz="4" w:space="0" w:color="auto"/>
              <w:left w:val="nil"/>
              <w:bottom w:val="single" w:sz="4" w:space="0" w:color="auto"/>
              <w:right w:val="nil"/>
            </w:tcBorders>
            <w:hideMark/>
          </w:tcPr>
          <w:p w14:paraId="5C0713F2" w14:textId="77777777" w:rsidR="00525AFC" w:rsidRPr="000640AA" w:rsidRDefault="00525AFC" w:rsidP="00AF1A79">
            <w:pPr>
              <w:spacing w:line="360" w:lineRule="auto"/>
              <w:rPr>
                <w:rFonts w:ascii="Arial" w:eastAsia="Microsoft JhengHei" w:hAnsi="Arial" w:cs="Arial"/>
                <w:sz w:val="18"/>
                <w:szCs w:val="18"/>
                <w:lang w:val="en-ID" w:eastAsia="zh-TW"/>
              </w:rPr>
            </w:pPr>
            <w:r w:rsidRPr="000640AA">
              <w:rPr>
                <w:rFonts w:ascii="Arial" w:eastAsia="Microsoft JhengHei" w:hAnsi="Arial" w:cs="Arial"/>
                <w:sz w:val="18"/>
                <w:szCs w:val="18"/>
                <w:lang w:val="en-ID" w:eastAsia="zh-TW"/>
              </w:rPr>
              <w:t>early discharge or reduce length of stay</w:t>
            </w:r>
          </w:p>
        </w:tc>
        <w:tc>
          <w:tcPr>
            <w:tcW w:w="1701" w:type="dxa"/>
            <w:tcBorders>
              <w:top w:val="single" w:sz="4" w:space="0" w:color="auto"/>
              <w:left w:val="nil"/>
              <w:bottom w:val="single" w:sz="4" w:space="0" w:color="auto"/>
              <w:right w:val="nil"/>
            </w:tcBorders>
            <w:hideMark/>
          </w:tcPr>
          <w:p w14:paraId="1695117E"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4825</w:t>
            </w:r>
          </w:p>
        </w:tc>
      </w:tr>
      <w:tr w:rsidR="00525AFC" w:rsidRPr="000640AA" w14:paraId="732BEFAA" w14:textId="77777777" w:rsidTr="00AF1A79">
        <w:tc>
          <w:tcPr>
            <w:tcW w:w="846" w:type="dxa"/>
            <w:tcBorders>
              <w:top w:val="single" w:sz="4" w:space="0" w:color="auto"/>
              <w:left w:val="nil"/>
              <w:bottom w:val="single" w:sz="4" w:space="0" w:color="auto"/>
              <w:right w:val="nil"/>
            </w:tcBorders>
            <w:hideMark/>
          </w:tcPr>
          <w:p w14:paraId="211916D3"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S4</w:t>
            </w:r>
          </w:p>
        </w:tc>
        <w:tc>
          <w:tcPr>
            <w:tcW w:w="7068" w:type="dxa"/>
            <w:tcBorders>
              <w:top w:val="single" w:sz="4" w:space="0" w:color="auto"/>
              <w:left w:val="nil"/>
              <w:bottom w:val="single" w:sz="4" w:space="0" w:color="auto"/>
              <w:right w:val="nil"/>
            </w:tcBorders>
            <w:hideMark/>
          </w:tcPr>
          <w:p w14:paraId="5A8D5DEA" w14:textId="77777777" w:rsidR="00525AFC" w:rsidRPr="000640AA" w:rsidRDefault="00525AFC" w:rsidP="00AF1A79">
            <w:pPr>
              <w:spacing w:line="360" w:lineRule="auto"/>
              <w:rPr>
                <w:rFonts w:ascii="Arial" w:eastAsia="Microsoft JhengHei" w:hAnsi="Arial" w:cs="Arial"/>
                <w:sz w:val="18"/>
                <w:szCs w:val="18"/>
                <w:lang w:val="en-ID" w:eastAsia="zh-TW"/>
              </w:rPr>
            </w:pPr>
            <w:r w:rsidRPr="000640AA">
              <w:rPr>
                <w:rFonts w:ascii="Arial" w:eastAsia="Microsoft JhengHei" w:hAnsi="Arial" w:cs="Arial"/>
                <w:sz w:val="18"/>
                <w:szCs w:val="18"/>
                <w:lang w:val="en-ID" w:eastAsia="zh-TW"/>
              </w:rPr>
              <w:t>Low risk</w:t>
            </w:r>
          </w:p>
        </w:tc>
        <w:tc>
          <w:tcPr>
            <w:tcW w:w="1701" w:type="dxa"/>
            <w:tcBorders>
              <w:top w:val="single" w:sz="4" w:space="0" w:color="auto"/>
              <w:left w:val="nil"/>
              <w:bottom w:val="single" w:sz="4" w:space="0" w:color="auto"/>
              <w:right w:val="nil"/>
            </w:tcBorders>
            <w:hideMark/>
          </w:tcPr>
          <w:p w14:paraId="7C58BBDC"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48,015</w:t>
            </w:r>
          </w:p>
        </w:tc>
      </w:tr>
      <w:tr w:rsidR="00525AFC" w:rsidRPr="000640AA" w14:paraId="2A5F61DB" w14:textId="77777777" w:rsidTr="00AF1A79">
        <w:tc>
          <w:tcPr>
            <w:tcW w:w="846" w:type="dxa"/>
            <w:tcBorders>
              <w:top w:val="single" w:sz="4" w:space="0" w:color="auto"/>
              <w:left w:val="nil"/>
              <w:bottom w:val="single" w:sz="4" w:space="0" w:color="auto"/>
              <w:right w:val="nil"/>
            </w:tcBorders>
            <w:hideMark/>
          </w:tcPr>
          <w:p w14:paraId="779639A0"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S5</w:t>
            </w:r>
          </w:p>
        </w:tc>
        <w:tc>
          <w:tcPr>
            <w:tcW w:w="7068" w:type="dxa"/>
            <w:tcBorders>
              <w:top w:val="single" w:sz="4" w:space="0" w:color="auto"/>
              <w:left w:val="nil"/>
              <w:bottom w:val="single" w:sz="4" w:space="0" w:color="auto"/>
              <w:right w:val="nil"/>
            </w:tcBorders>
            <w:hideMark/>
          </w:tcPr>
          <w:p w14:paraId="592DAC7B" w14:textId="77777777" w:rsidR="00525AFC" w:rsidRPr="000640AA" w:rsidRDefault="00525AFC" w:rsidP="00AF1A79">
            <w:pPr>
              <w:spacing w:line="360" w:lineRule="auto"/>
              <w:rPr>
                <w:rFonts w:ascii="Arial" w:eastAsia="Microsoft JhengHei" w:hAnsi="Arial" w:cs="Arial"/>
                <w:sz w:val="18"/>
                <w:szCs w:val="18"/>
                <w:lang w:val="en-ID" w:eastAsia="zh-TW"/>
              </w:rPr>
            </w:pPr>
            <w:r w:rsidRPr="000640AA">
              <w:rPr>
                <w:rFonts w:ascii="Arial" w:eastAsia="Microsoft JhengHei" w:hAnsi="Arial" w:cs="Arial"/>
                <w:sz w:val="18"/>
                <w:szCs w:val="18"/>
                <w:lang w:val="en-ID" w:eastAsia="zh-TW"/>
              </w:rPr>
              <w:t>readmission or rehospitalization or readmittance or re-hospitalization or re-admittance or re-admission</w:t>
            </w:r>
          </w:p>
        </w:tc>
        <w:tc>
          <w:tcPr>
            <w:tcW w:w="1701" w:type="dxa"/>
            <w:tcBorders>
              <w:top w:val="single" w:sz="4" w:space="0" w:color="auto"/>
              <w:left w:val="nil"/>
              <w:bottom w:val="single" w:sz="4" w:space="0" w:color="auto"/>
              <w:right w:val="nil"/>
            </w:tcBorders>
            <w:hideMark/>
          </w:tcPr>
          <w:p w14:paraId="483EC02D"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29,159</w:t>
            </w:r>
          </w:p>
        </w:tc>
      </w:tr>
      <w:tr w:rsidR="00525AFC" w:rsidRPr="000640AA" w14:paraId="09B3247D" w14:textId="77777777" w:rsidTr="00AF1A79">
        <w:tc>
          <w:tcPr>
            <w:tcW w:w="846" w:type="dxa"/>
            <w:tcBorders>
              <w:top w:val="single" w:sz="4" w:space="0" w:color="auto"/>
              <w:left w:val="nil"/>
              <w:bottom w:val="single" w:sz="4" w:space="0" w:color="auto"/>
              <w:right w:val="nil"/>
            </w:tcBorders>
          </w:tcPr>
          <w:p w14:paraId="2839CA6E"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S6</w:t>
            </w:r>
          </w:p>
        </w:tc>
        <w:tc>
          <w:tcPr>
            <w:tcW w:w="7068" w:type="dxa"/>
            <w:tcBorders>
              <w:top w:val="single" w:sz="4" w:space="0" w:color="auto"/>
              <w:left w:val="nil"/>
              <w:bottom w:val="single" w:sz="4" w:space="0" w:color="auto"/>
              <w:right w:val="nil"/>
            </w:tcBorders>
          </w:tcPr>
          <w:p w14:paraId="4C179675" w14:textId="77777777" w:rsidR="00525AFC" w:rsidRPr="000640AA" w:rsidRDefault="00525AFC" w:rsidP="00AF1A79">
            <w:pPr>
              <w:spacing w:line="360" w:lineRule="auto"/>
              <w:rPr>
                <w:rFonts w:ascii="Arial" w:eastAsia="Microsoft JhengHei" w:hAnsi="Arial" w:cs="Arial"/>
                <w:sz w:val="18"/>
                <w:szCs w:val="18"/>
                <w:lang w:val="en-ID" w:eastAsia="zh-TW"/>
              </w:rPr>
            </w:pPr>
            <w:r w:rsidRPr="000640AA">
              <w:rPr>
                <w:rFonts w:ascii="Arial" w:eastAsia="Microsoft JhengHei" w:hAnsi="Arial" w:cs="Arial"/>
                <w:sz w:val="18"/>
                <w:szCs w:val="18"/>
                <w:lang w:val="en-ID" w:eastAsia="zh-TW"/>
              </w:rPr>
              <w:t>mortality or death</w:t>
            </w:r>
          </w:p>
        </w:tc>
        <w:tc>
          <w:tcPr>
            <w:tcW w:w="1701" w:type="dxa"/>
            <w:tcBorders>
              <w:top w:val="single" w:sz="4" w:space="0" w:color="auto"/>
              <w:left w:val="nil"/>
              <w:bottom w:val="single" w:sz="4" w:space="0" w:color="auto"/>
              <w:right w:val="nil"/>
            </w:tcBorders>
          </w:tcPr>
          <w:p w14:paraId="3FF3DEB2"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527,669</w:t>
            </w:r>
          </w:p>
        </w:tc>
      </w:tr>
      <w:tr w:rsidR="00525AFC" w:rsidRPr="000640AA" w14:paraId="45E98688" w14:textId="77777777" w:rsidTr="00AF1A79">
        <w:tc>
          <w:tcPr>
            <w:tcW w:w="846" w:type="dxa"/>
            <w:tcBorders>
              <w:top w:val="single" w:sz="4" w:space="0" w:color="auto"/>
              <w:left w:val="nil"/>
              <w:bottom w:val="single" w:sz="4" w:space="0" w:color="auto"/>
              <w:right w:val="nil"/>
            </w:tcBorders>
          </w:tcPr>
          <w:p w14:paraId="388B9060"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S7</w:t>
            </w:r>
          </w:p>
        </w:tc>
        <w:tc>
          <w:tcPr>
            <w:tcW w:w="7068" w:type="dxa"/>
            <w:tcBorders>
              <w:top w:val="single" w:sz="4" w:space="0" w:color="auto"/>
              <w:left w:val="nil"/>
              <w:bottom w:val="single" w:sz="4" w:space="0" w:color="auto"/>
              <w:right w:val="nil"/>
            </w:tcBorders>
          </w:tcPr>
          <w:p w14:paraId="5D2E78DB" w14:textId="77777777" w:rsidR="00525AFC" w:rsidRPr="000640AA" w:rsidRDefault="00525AFC" w:rsidP="00AF1A79">
            <w:pPr>
              <w:spacing w:line="360" w:lineRule="auto"/>
              <w:rPr>
                <w:rFonts w:ascii="Arial" w:eastAsia="Microsoft JhengHei" w:hAnsi="Arial" w:cs="Arial"/>
                <w:sz w:val="18"/>
                <w:szCs w:val="18"/>
                <w:lang w:val="en-ID" w:eastAsia="zh-TW"/>
              </w:rPr>
            </w:pPr>
            <w:r w:rsidRPr="000640AA">
              <w:rPr>
                <w:rFonts w:ascii="Arial" w:eastAsia="Microsoft JhengHei" w:hAnsi="Arial" w:cs="Arial"/>
                <w:sz w:val="18"/>
                <w:szCs w:val="18"/>
                <w:lang w:val="en-ID" w:eastAsia="zh-TW"/>
              </w:rPr>
              <w:t>length of stay or hospitalization or length in hospital</w:t>
            </w:r>
          </w:p>
        </w:tc>
        <w:tc>
          <w:tcPr>
            <w:tcW w:w="1701" w:type="dxa"/>
            <w:tcBorders>
              <w:top w:val="single" w:sz="4" w:space="0" w:color="auto"/>
              <w:left w:val="nil"/>
              <w:bottom w:val="single" w:sz="4" w:space="0" w:color="auto"/>
              <w:right w:val="nil"/>
            </w:tcBorders>
          </w:tcPr>
          <w:p w14:paraId="5ADF5C6C"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163,449</w:t>
            </w:r>
          </w:p>
        </w:tc>
      </w:tr>
      <w:tr w:rsidR="00525AFC" w:rsidRPr="000640AA" w14:paraId="1E4B8D30" w14:textId="77777777" w:rsidTr="00AF1A79">
        <w:tc>
          <w:tcPr>
            <w:tcW w:w="846" w:type="dxa"/>
            <w:tcBorders>
              <w:top w:val="single" w:sz="4" w:space="0" w:color="auto"/>
              <w:left w:val="nil"/>
              <w:bottom w:val="single" w:sz="4" w:space="0" w:color="auto"/>
              <w:right w:val="nil"/>
            </w:tcBorders>
          </w:tcPr>
          <w:p w14:paraId="2ADAED71"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S8</w:t>
            </w:r>
          </w:p>
        </w:tc>
        <w:tc>
          <w:tcPr>
            <w:tcW w:w="7068" w:type="dxa"/>
            <w:tcBorders>
              <w:top w:val="single" w:sz="4" w:space="0" w:color="auto"/>
              <w:left w:val="nil"/>
              <w:bottom w:val="single" w:sz="4" w:space="0" w:color="auto"/>
              <w:right w:val="nil"/>
            </w:tcBorders>
          </w:tcPr>
          <w:p w14:paraId="2BD3E051" w14:textId="77777777" w:rsidR="00525AFC" w:rsidRPr="000640AA" w:rsidRDefault="00525AFC" w:rsidP="00AF1A79">
            <w:pPr>
              <w:spacing w:line="360" w:lineRule="auto"/>
              <w:rPr>
                <w:rFonts w:ascii="Arial" w:eastAsia="Microsoft JhengHei" w:hAnsi="Arial" w:cs="Arial"/>
                <w:sz w:val="18"/>
                <w:szCs w:val="18"/>
                <w:lang w:val="en-ID" w:eastAsia="zh-TW"/>
              </w:rPr>
            </w:pPr>
            <w:r w:rsidRPr="000640AA">
              <w:rPr>
                <w:rFonts w:ascii="Arial" w:eastAsia="Microsoft JhengHei" w:hAnsi="Arial" w:cs="Arial"/>
                <w:sz w:val="18"/>
                <w:szCs w:val="18"/>
                <w:lang w:val="en-ID" w:eastAsia="zh-TW"/>
              </w:rPr>
              <w:t xml:space="preserve">coronary artery disease or cad or coronary heart disease AND primary percutaneous coronary intervention or </w:t>
            </w:r>
            <w:proofErr w:type="spellStart"/>
            <w:r w:rsidRPr="000640AA">
              <w:rPr>
                <w:rFonts w:ascii="Arial" w:eastAsia="Microsoft JhengHei" w:hAnsi="Arial" w:cs="Arial"/>
                <w:sz w:val="18"/>
                <w:szCs w:val="18"/>
                <w:lang w:val="en-ID" w:eastAsia="zh-TW"/>
              </w:rPr>
              <w:t>pci</w:t>
            </w:r>
            <w:proofErr w:type="spellEnd"/>
            <w:r w:rsidRPr="000640AA">
              <w:rPr>
                <w:rFonts w:ascii="Arial" w:eastAsia="Microsoft JhengHei" w:hAnsi="Arial" w:cs="Arial"/>
                <w:sz w:val="18"/>
                <w:szCs w:val="18"/>
                <w:lang w:val="en-ID" w:eastAsia="zh-TW"/>
              </w:rPr>
              <w:t xml:space="preserve"> or percutaneous coronary intervention or angioplasty AND early discharge or reduce length of stay AND readmission or rehospitalization or readmittance or re-hospitalization or re-admittance or re-admission AND mortality or death AND length of stay or hospitalization or length in hospital</w:t>
            </w:r>
          </w:p>
        </w:tc>
        <w:tc>
          <w:tcPr>
            <w:tcW w:w="1701" w:type="dxa"/>
            <w:tcBorders>
              <w:top w:val="single" w:sz="4" w:space="0" w:color="auto"/>
              <w:left w:val="nil"/>
              <w:bottom w:val="single" w:sz="4" w:space="0" w:color="auto"/>
              <w:right w:val="nil"/>
            </w:tcBorders>
          </w:tcPr>
          <w:p w14:paraId="7A515C36"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5</w:t>
            </w:r>
          </w:p>
        </w:tc>
      </w:tr>
      <w:tr w:rsidR="00525AFC" w:rsidRPr="000640AA" w14:paraId="0DCD9445" w14:textId="77777777" w:rsidTr="00AF1A79">
        <w:tc>
          <w:tcPr>
            <w:tcW w:w="846" w:type="dxa"/>
            <w:tcBorders>
              <w:top w:val="single" w:sz="4" w:space="0" w:color="auto"/>
              <w:left w:val="nil"/>
              <w:bottom w:val="single" w:sz="4" w:space="0" w:color="auto"/>
              <w:right w:val="nil"/>
            </w:tcBorders>
          </w:tcPr>
          <w:p w14:paraId="537430CB"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S9</w:t>
            </w:r>
          </w:p>
        </w:tc>
        <w:tc>
          <w:tcPr>
            <w:tcW w:w="7068" w:type="dxa"/>
            <w:tcBorders>
              <w:top w:val="single" w:sz="4" w:space="0" w:color="auto"/>
              <w:left w:val="nil"/>
              <w:bottom w:val="single" w:sz="4" w:space="0" w:color="auto"/>
              <w:right w:val="nil"/>
            </w:tcBorders>
          </w:tcPr>
          <w:p w14:paraId="2B80CB17" w14:textId="77777777" w:rsidR="00525AFC" w:rsidRPr="000640AA" w:rsidRDefault="00525AFC" w:rsidP="00AF1A79">
            <w:pPr>
              <w:spacing w:line="360" w:lineRule="auto"/>
              <w:rPr>
                <w:rFonts w:ascii="Arial" w:eastAsia="Microsoft JhengHei" w:hAnsi="Arial" w:cs="Arial"/>
                <w:sz w:val="18"/>
                <w:szCs w:val="18"/>
                <w:lang w:val="en-ID" w:eastAsia="zh-TW"/>
              </w:rPr>
            </w:pPr>
            <w:r w:rsidRPr="000640AA">
              <w:rPr>
                <w:rFonts w:ascii="Arial" w:eastAsia="Microsoft JhengHei" w:hAnsi="Arial" w:cs="Arial"/>
                <w:sz w:val="18"/>
                <w:szCs w:val="18"/>
                <w:lang w:val="en-ID" w:eastAsia="zh-TW"/>
              </w:rPr>
              <w:t xml:space="preserve">coronary artery disease or cad or coronary heart disease AND primary percutaneous coronary intervention or </w:t>
            </w:r>
            <w:proofErr w:type="spellStart"/>
            <w:r w:rsidRPr="000640AA">
              <w:rPr>
                <w:rFonts w:ascii="Arial" w:eastAsia="Microsoft JhengHei" w:hAnsi="Arial" w:cs="Arial"/>
                <w:sz w:val="18"/>
                <w:szCs w:val="18"/>
                <w:lang w:val="en-ID" w:eastAsia="zh-TW"/>
              </w:rPr>
              <w:t>pci</w:t>
            </w:r>
            <w:proofErr w:type="spellEnd"/>
            <w:r w:rsidRPr="000640AA">
              <w:rPr>
                <w:rFonts w:ascii="Arial" w:eastAsia="Microsoft JhengHei" w:hAnsi="Arial" w:cs="Arial"/>
                <w:sz w:val="18"/>
                <w:szCs w:val="18"/>
                <w:lang w:val="en-ID" w:eastAsia="zh-TW"/>
              </w:rPr>
              <w:t xml:space="preserve"> or percutaneous coronary intervention or angioplasty AND early discharge or reduce length of stay</w:t>
            </w:r>
          </w:p>
        </w:tc>
        <w:tc>
          <w:tcPr>
            <w:tcW w:w="1701" w:type="dxa"/>
            <w:tcBorders>
              <w:top w:val="single" w:sz="4" w:space="0" w:color="auto"/>
              <w:left w:val="nil"/>
              <w:bottom w:val="single" w:sz="4" w:space="0" w:color="auto"/>
              <w:right w:val="nil"/>
            </w:tcBorders>
          </w:tcPr>
          <w:p w14:paraId="06FC080D"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21</w:t>
            </w:r>
          </w:p>
        </w:tc>
      </w:tr>
      <w:tr w:rsidR="00525AFC" w:rsidRPr="000640AA" w14:paraId="69895B0F" w14:textId="77777777" w:rsidTr="00AF1A79">
        <w:tc>
          <w:tcPr>
            <w:tcW w:w="9615" w:type="dxa"/>
            <w:gridSpan w:val="3"/>
            <w:tcBorders>
              <w:top w:val="single" w:sz="4" w:space="0" w:color="auto"/>
              <w:left w:val="nil"/>
              <w:bottom w:val="single" w:sz="4" w:space="0" w:color="auto"/>
              <w:right w:val="nil"/>
            </w:tcBorders>
            <w:hideMark/>
          </w:tcPr>
          <w:p w14:paraId="22BDE1BA" w14:textId="77777777" w:rsidR="00525AFC" w:rsidRPr="000640AA" w:rsidRDefault="00525AFC" w:rsidP="00AF1A79">
            <w:pPr>
              <w:spacing w:line="360" w:lineRule="auto"/>
              <w:rPr>
                <w:rFonts w:ascii="Arial" w:hAnsi="Arial" w:cs="Arial"/>
                <w:sz w:val="18"/>
                <w:szCs w:val="18"/>
                <w:lang w:val="id-ID"/>
              </w:rPr>
            </w:pPr>
            <w:r w:rsidRPr="000640AA">
              <w:rPr>
                <w:rFonts w:ascii="Arial" w:hAnsi="Arial" w:cs="Arial"/>
                <w:b/>
                <w:bCs/>
                <w:sz w:val="18"/>
                <w:szCs w:val="18"/>
                <w:lang w:val="en-ID"/>
              </w:rPr>
              <w:t>Taylor and Francis</w:t>
            </w:r>
          </w:p>
        </w:tc>
      </w:tr>
      <w:tr w:rsidR="00525AFC" w:rsidRPr="000640AA" w14:paraId="7E7F27BC" w14:textId="77777777" w:rsidTr="00AF1A79">
        <w:tc>
          <w:tcPr>
            <w:tcW w:w="846" w:type="dxa"/>
            <w:tcBorders>
              <w:top w:val="single" w:sz="4" w:space="0" w:color="auto"/>
              <w:left w:val="nil"/>
              <w:bottom w:val="single" w:sz="4" w:space="0" w:color="auto"/>
              <w:right w:val="nil"/>
            </w:tcBorders>
            <w:hideMark/>
          </w:tcPr>
          <w:p w14:paraId="55773B05"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1</w:t>
            </w:r>
          </w:p>
        </w:tc>
        <w:tc>
          <w:tcPr>
            <w:tcW w:w="7068" w:type="dxa"/>
            <w:tcBorders>
              <w:top w:val="single" w:sz="4" w:space="0" w:color="auto"/>
              <w:left w:val="nil"/>
              <w:bottom w:val="single" w:sz="4" w:space="0" w:color="auto"/>
              <w:right w:val="nil"/>
            </w:tcBorders>
            <w:hideMark/>
          </w:tcPr>
          <w:p w14:paraId="5A201039"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((((coronary heart disease OR myocardial infarction OR cardiovascular disease) AND (low risk or risk)) AND (early discharge)) AND (primary percutaneous coronary intervention)) AND (hospital readmission)</w:t>
            </w:r>
          </w:p>
        </w:tc>
        <w:tc>
          <w:tcPr>
            <w:tcW w:w="1701" w:type="dxa"/>
            <w:tcBorders>
              <w:top w:val="single" w:sz="4" w:space="0" w:color="auto"/>
              <w:left w:val="nil"/>
              <w:bottom w:val="single" w:sz="4" w:space="0" w:color="auto"/>
              <w:right w:val="nil"/>
            </w:tcBorders>
            <w:hideMark/>
          </w:tcPr>
          <w:p w14:paraId="1B1B39A5"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217</w:t>
            </w:r>
          </w:p>
        </w:tc>
      </w:tr>
      <w:tr w:rsidR="00525AFC" w:rsidRPr="000640AA" w14:paraId="5CBD7A03" w14:textId="77777777" w:rsidTr="00AF1A79">
        <w:tc>
          <w:tcPr>
            <w:tcW w:w="846" w:type="dxa"/>
            <w:tcBorders>
              <w:top w:val="single" w:sz="4" w:space="0" w:color="auto"/>
              <w:left w:val="nil"/>
              <w:bottom w:val="single" w:sz="4" w:space="0" w:color="auto"/>
              <w:right w:val="nil"/>
            </w:tcBorders>
            <w:hideMark/>
          </w:tcPr>
          <w:p w14:paraId="6F244B5C"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2.</w:t>
            </w:r>
          </w:p>
        </w:tc>
        <w:tc>
          <w:tcPr>
            <w:tcW w:w="7068" w:type="dxa"/>
            <w:tcBorders>
              <w:top w:val="single" w:sz="4" w:space="0" w:color="auto"/>
              <w:left w:val="nil"/>
              <w:bottom w:val="single" w:sz="4" w:space="0" w:color="auto"/>
              <w:right w:val="nil"/>
            </w:tcBorders>
            <w:hideMark/>
          </w:tcPr>
          <w:p w14:paraId="5E6BF032"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Coronary artery disease AND discharge AND percutaneous coronary intervention AND readmission</w:t>
            </w:r>
          </w:p>
        </w:tc>
        <w:tc>
          <w:tcPr>
            <w:tcW w:w="1701" w:type="dxa"/>
            <w:tcBorders>
              <w:top w:val="single" w:sz="4" w:space="0" w:color="auto"/>
              <w:left w:val="nil"/>
              <w:bottom w:val="single" w:sz="4" w:space="0" w:color="auto"/>
              <w:right w:val="nil"/>
            </w:tcBorders>
            <w:hideMark/>
          </w:tcPr>
          <w:p w14:paraId="6DEA9E08"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199</w:t>
            </w:r>
          </w:p>
        </w:tc>
      </w:tr>
      <w:tr w:rsidR="00525AFC" w:rsidRPr="000640AA" w14:paraId="3281302B" w14:textId="77777777" w:rsidTr="00AF1A79">
        <w:tc>
          <w:tcPr>
            <w:tcW w:w="846" w:type="dxa"/>
            <w:tcBorders>
              <w:top w:val="single" w:sz="4" w:space="0" w:color="auto"/>
              <w:left w:val="nil"/>
              <w:bottom w:val="single" w:sz="4" w:space="0" w:color="auto"/>
              <w:right w:val="nil"/>
            </w:tcBorders>
            <w:hideMark/>
          </w:tcPr>
          <w:p w14:paraId="6BFEAE83"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3.</w:t>
            </w:r>
          </w:p>
        </w:tc>
        <w:tc>
          <w:tcPr>
            <w:tcW w:w="7068" w:type="dxa"/>
            <w:tcBorders>
              <w:top w:val="single" w:sz="4" w:space="0" w:color="auto"/>
              <w:left w:val="nil"/>
              <w:bottom w:val="single" w:sz="4" w:space="0" w:color="auto"/>
              <w:right w:val="nil"/>
            </w:tcBorders>
            <w:hideMark/>
          </w:tcPr>
          <w:p w14:paraId="2479C73C"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Coronary artery disease AND discharge AND percutaneous coronary intervention AND readmission AND mortality OR death AND length of stay</w:t>
            </w:r>
          </w:p>
        </w:tc>
        <w:tc>
          <w:tcPr>
            <w:tcW w:w="1701" w:type="dxa"/>
            <w:tcBorders>
              <w:top w:val="single" w:sz="4" w:space="0" w:color="auto"/>
              <w:left w:val="nil"/>
              <w:bottom w:val="single" w:sz="4" w:space="0" w:color="auto"/>
              <w:right w:val="nil"/>
            </w:tcBorders>
            <w:hideMark/>
          </w:tcPr>
          <w:p w14:paraId="6EDD1525"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91</w:t>
            </w:r>
          </w:p>
        </w:tc>
      </w:tr>
      <w:tr w:rsidR="00525AFC" w:rsidRPr="000640AA" w14:paraId="72004F27" w14:textId="77777777" w:rsidTr="00AF1A79">
        <w:tc>
          <w:tcPr>
            <w:tcW w:w="846" w:type="dxa"/>
            <w:tcBorders>
              <w:top w:val="single" w:sz="4" w:space="0" w:color="auto"/>
              <w:left w:val="nil"/>
              <w:bottom w:val="single" w:sz="4" w:space="0" w:color="auto"/>
              <w:right w:val="nil"/>
            </w:tcBorders>
          </w:tcPr>
          <w:p w14:paraId="2121A1B0"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4.</w:t>
            </w:r>
          </w:p>
        </w:tc>
        <w:tc>
          <w:tcPr>
            <w:tcW w:w="7068" w:type="dxa"/>
            <w:tcBorders>
              <w:top w:val="single" w:sz="4" w:space="0" w:color="auto"/>
              <w:left w:val="nil"/>
              <w:bottom w:val="single" w:sz="4" w:space="0" w:color="auto"/>
              <w:right w:val="nil"/>
            </w:tcBorders>
          </w:tcPr>
          <w:p w14:paraId="22449C07"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Coronary artery disease AND discharge AND percutaneous coronary intervention AND readmission AND (mortality OR death) AND length of stay</w:t>
            </w:r>
          </w:p>
        </w:tc>
        <w:tc>
          <w:tcPr>
            <w:tcW w:w="1701" w:type="dxa"/>
            <w:tcBorders>
              <w:top w:val="single" w:sz="4" w:space="0" w:color="auto"/>
              <w:left w:val="nil"/>
              <w:bottom w:val="single" w:sz="4" w:space="0" w:color="auto"/>
              <w:right w:val="nil"/>
            </w:tcBorders>
          </w:tcPr>
          <w:p w14:paraId="3D229022"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85</w:t>
            </w:r>
          </w:p>
        </w:tc>
      </w:tr>
      <w:tr w:rsidR="00525AFC" w:rsidRPr="000640AA" w14:paraId="660B4181" w14:textId="77777777" w:rsidTr="00AF1A79">
        <w:tc>
          <w:tcPr>
            <w:tcW w:w="9615" w:type="dxa"/>
            <w:gridSpan w:val="3"/>
            <w:tcBorders>
              <w:top w:val="single" w:sz="4" w:space="0" w:color="auto"/>
              <w:left w:val="nil"/>
              <w:bottom w:val="single" w:sz="4" w:space="0" w:color="auto"/>
              <w:right w:val="nil"/>
            </w:tcBorders>
          </w:tcPr>
          <w:p w14:paraId="10E96D1A" w14:textId="77777777" w:rsidR="00525AFC" w:rsidRPr="003255F5" w:rsidRDefault="00525AFC" w:rsidP="00AF1A79">
            <w:pPr>
              <w:spacing w:line="360" w:lineRule="auto"/>
              <w:rPr>
                <w:rFonts w:ascii="Arial" w:hAnsi="Arial" w:cs="Arial"/>
                <w:b/>
                <w:bCs/>
                <w:sz w:val="18"/>
                <w:szCs w:val="18"/>
                <w:lang w:val="en-ID"/>
              </w:rPr>
            </w:pPr>
            <w:r w:rsidRPr="003255F5">
              <w:rPr>
                <w:rFonts w:ascii="Arial" w:hAnsi="Arial" w:cs="Arial"/>
                <w:b/>
                <w:bCs/>
                <w:sz w:val="18"/>
                <w:szCs w:val="18"/>
                <w:lang w:val="en-ID"/>
              </w:rPr>
              <w:t>Google Scholar</w:t>
            </w:r>
          </w:p>
        </w:tc>
      </w:tr>
      <w:tr w:rsidR="00525AFC" w:rsidRPr="000640AA" w14:paraId="26BD011F" w14:textId="77777777" w:rsidTr="00AF1A79">
        <w:tc>
          <w:tcPr>
            <w:tcW w:w="846" w:type="dxa"/>
            <w:tcBorders>
              <w:top w:val="single" w:sz="4" w:space="0" w:color="auto"/>
              <w:left w:val="nil"/>
              <w:bottom w:val="single" w:sz="4" w:space="0" w:color="auto"/>
              <w:right w:val="nil"/>
            </w:tcBorders>
          </w:tcPr>
          <w:p w14:paraId="58DCE181"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1.</w:t>
            </w:r>
          </w:p>
        </w:tc>
        <w:tc>
          <w:tcPr>
            <w:tcW w:w="7068" w:type="dxa"/>
            <w:tcBorders>
              <w:top w:val="single" w:sz="4" w:space="0" w:color="auto"/>
              <w:left w:val="nil"/>
              <w:bottom w:val="single" w:sz="4" w:space="0" w:color="auto"/>
              <w:right w:val="nil"/>
            </w:tcBorders>
          </w:tcPr>
          <w:p w14:paraId="2CC4046E" w14:textId="77777777" w:rsidR="00525AFC" w:rsidRPr="000640AA" w:rsidRDefault="00525AFC" w:rsidP="00AF1A79">
            <w:pPr>
              <w:spacing w:line="360" w:lineRule="auto"/>
              <w:rPr>
                <w:rFonts w:ascii="Arial" w:hAnsi="Arial" w:cs="Arial"/>
                <w:sz w:val="18"/>
                <w:szCs w:val="18"/>
                <w:lang w:val="en-ID"/>
              </w:rPr>
            </w:pPr>
            <w:r w:rsidRPr="000640AA">
              <w:rPr>
                <w:rFonts w:ascii="Arial" w:eastAsia="Microsoft JhengHei" w:hAnsi="Arial" w:cs="Arial"/>
                <w:sz w:val="18"/>
                <w:szCs w:val="18"/>
                <w:lang w:val="en-ID" w:eastAsia="zh-TW"/>
              </w:rPr>
              <w:t xml:space="preserve">coronary artery disease or cad or coronary heart disease AND primary percutaneous coronary intervention or </w:t>
            </w:r>
            <w:proofErr w:type="spellStart"/>
            <w:r w:rsidRPr="000640AA">
              <w:rPr>
                <w:rFonts w:ascii="Arial" w:eastAsia="Microsoft JhengHei" w:hAnsi="Arial" w:cs="Arial"/>
                <w:sz w:val="18"/>
                <w:szCs w:val="18"/>
                <w:lang w:val="en-ID" w:eastAsia="zh-TW"/>
              </w:rPr>
              <w:t>pci</w:t>
            </w:r>
            <w:proofErr w:type="spellEnd"/>
            <w:r w:rsidRPr="000640AA">
              <w:rPr>
                <w:rFonts w:ascii="Arial" w:eastAsia="Microsoft JhengHei" w:hAnsi="Arial" w:cs="Arial"/>
                <w:sz w:val="18"/>
                <w:szCs w:val="18"/>
                <w:lang w:val="en-ID" w:eastAsia="zh-TW"/>
              </w:rPr>
              <w:t xml:space="preserve"> or percutaneous coronary intervention or angioplasty AND early discharge or reduce length of stay</w:t>
            </w:r>
          </w:p>
        </w:tc>
        <w:tc>
          <w:tcPr>
            <w:tcW w:w="1701" w:type="dxa"/>
            <w:tcBorders>
              <w:top w:val="single" w:sz="4" w:space="0" w:color="auto"/>
              <w:left w:val="nil"/>
              <w:bottom w:val="single" w:sz="4" w:space="0" w:color="auto"/>
              <w:right w:val="nil"/>
            </w:tcBorders>
          </w:tcPr>
          <w:p w14:paraId="76EABF62"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5.830</w:t>
            </w:r>
          </w:p>
        </w:tc>
      </w:tr>
      <w:tr w:rsidR="00525AFC" w:rsidRPr="000640AA" w14:paraId="4B074FFF" w14:textId="77777777" w:rsidTr="00AF1A79">
        <w:tc>
          <w:tcPr>
            <w:tcW w:w="846" w:type="dxa"/>
            <w:tcBorders>
              <w:top w:val="single" w:sz="4" w:space="0" w:color="auto"/>
              <w:left w:val="nil"/>
              <w:bottom w:val="single" w:sz="4" w:space="0" w:color="auto"/>
              <w:right w:val="nil"/>
            </w:tcBorders>
          </w:tcPr>
          <w:p w14:paraId="3BE0D91B"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2.</w:t>
            </w:r>
          </w:p>
        </w:tc>
        <w:tc>
          <w:tcPr>
            <w:tcW w:w="7068" w:type="dxa"/>
            <w:tcBorders>
              <w:top w:val="single" w:sz="4" w:space="0" w:color="auto"/>
              <w:left w:val="nil"/>
              <w:bottom w:val="single" w:sz="4" w:space="0" w:color="auto"/>
              <w:right w:val="nil"/>
            </w:tcBorders>
          </w:tcPr>
          <w:p w14:paraId="3BF5A84A" w14:textId="77777777" w:rsidR="00525AFC" w:rsidRPr="000640AA" w:rsidRDefault="00525AFC" w:rsidP="00AF1A79">
            <w:pPr>
              <w:spacing w:line="360" w:lineRule="auto"/>
              <w:rPr>
                <w:rFonts w:ascii="Arial" w:hAnsi="Arial" w:cs="Arial"/>
                <w:sz w:val="18"/>
                <w:szCs w:val="18"/>
                <w:lang w:val="en-ID"/>
              </w:rPr>
            </w:pPr>
            <w:r w:rsidRPr="000640AA">
              <w:rPr>
                <w:rFonts w:ascii="Arial" w:hAnsi="Arial" w:cs="Arial"/>
                <w:sz w:val="18"/>
                <w:szCs w:val="18"/>
                <w:lang w:val="en-ID"/>
              </w:rPr>
              <w:t>The first 100 articles were taken based on relevance</w:t>
            </w:r>
          </w:p>
        </w:tc>
        <w:tc>
          <w:tcPr>
            <w:tcW w:w="1701" w:type="dxa"/>
            <w:tcBorders>
              <w:top w:val="single" w:sz="4" w:space="0" w:color="auto"/>
              <w:left w:val="nil"/>
              <w:bottom w:val="single" w:sz="4" w:space="0" w:color="auto"/>
              <w:right w:val="nil"/>
            </w:tcBorders>
          </w:tcPr>
          <w:p w14:paraId="5A4603A9" w14:textId="77777777" w:rsidR="00525AFC" w:rsidRPr="000640AA" w:rsidRDefault="00525AFC" w:rsidP="00AF1A79">
            <w:pPr>
              <w:spacing w:line="360" w:lineRule="auto"/>
              <w:jc w:val="center"/>
              <w:rPr>
                <w:rFonts w:ascii="Arial" w:hAnsi="Arial" w:cs="Arial"/>
                <w:sz w:val="18"/>
                <w:szCs w:val="18"/>
                <w:lang w:val="en-ID"/>
              </w:rPr>
            </w:pPr>
            <w:r w:rsidRPr="000640AA">
              <w:rPr>
                <w:rFonts w:ascii="Arial" w:hAnsi="Arial" w:cs="Arial"/>
                <w:sz w:val="18"/>
                <w:szCs w:val="18"/>
                <w:lang w:val="en-ID"/>
              </w:rPr>
              <w:t>100</w:t>
            </w:r>
          </w:p>
        </w:tc>
      </w:tr>
    </w:tbl>
    <w:p w14:paraId="7294CF29" w14:textId="77777777" w:rsidR="00525AFC" w:rsidRPr="0034130B" w:rsidRDefault="00525AFC" w:rsidP="00525AFC">
      <w:pPr>
        <w:rPr>
          <w:rFonts w:ascii="Arial" w:hAnsi="Arial" w:cs="Arial"/>
        </w:rPr>
      </w:pPr>
    </w:p>
    <w:p w14:paraId="51DC5CD1" w14:textId="77777777" w:rsidR="00525AFC" w:rsidRPr="0034130B" w:rsidRDefault="00525AFC" w:rsidP="00525AFC">
      <w:pPr>
        <w:rPr>
          <w:rFonts w:ascii="Arial" w:hAnsi="Arial" w:cs="Arial"/>
        </w:rPr>
      </w:pPr>
    </w:p>
    <w:p w14:paraId="093E0CA6" w14:textId="77777777" w:rsidR="00525AFC" w:rsidRDefault="00525AFC" w:rsidP="00674C19">
      <w:pPr>
        <w:spacing w:after="240"/>
        <w:rPr>
          <w:rFonts w:ascii="Arial" w:hAnsi="Arial" w:cs="Arial"/>
          <w:b/>
          <w:bCs/>
          <w:sz w:val="20"/>
          <w:szCs w:val="20"/>
        </w:rPr>
        <w:sectPr w:rsidR="00525AFC" w:rsidSect="004758DC">
          <w:footerReference w:type="even" r:id="rId6"/>
          <w:footerReference w:type="default" r:id="rId7"/>
          <w:footerReference w:type="first" r:id="rId8"/>
          <w:pgSz w:w="11906" w:h="16838"/>
          <w:pgMar w:top="1440" w:right="1440" w:bottom="1440" w:left="1440" w:header="708" w:footer="708" w:gutter="0"/>
          <w:cols w:space="708"/>
          <w:docGrid w:linePitch="360"/>
        </w:sectPr>
      </w:pPr>
    </w:p>
    <w:p w14:paraId="2524098E" w14:textId="0F7605FF" w:rsidR="00674C19" w:rsidRPr="00283C37" w:rsidRDefault="00674C19" w:rsidP="00674C19">
      <w:pPr>
        <w:spacing w:after="240"/>
        <w:rPr>
          <w:rFonts w:ascii="Arial" w:hAnsi="Arial" w:cs="Arial"/>
          <w:sz w:val="20"/>
          <w:szCs w:val="20"/>
        </w:rPr>
      </w:pPr>
      <w:r w:rsidRPr="00283C37">
        <w:rPr>
          <w:rFonts w:ascii="Arial" w:hAnsi="Arial" w:cs="Arial"/>
          <w:b/>
          <w:bCs/>
          <w:sz w:val="20"/>
          <w:szCs w:val="20"/>
        </w:rPr>
        <w:lastRenderedPageBreak/>
        <w:t xml:space="preserve">Tabel </w:t>
      </w:r>
      <w:r w:rsidR="0050301E">
        <w:rPr>
          <w:rFonts w:ascii="Arial" w:hAnsi="Arial" w:cs="Arial"/>
          <w:b/>
          <w:bCs/>
          <w:sz w:val="20"/>
          <w:szCs w:val="20"/>
        </w:rPr>
        <w:t>S</w:t>
      </w:r>
      <w:r w:rsidR="00525AFC">
        <w:rPr>
          <w:rFonts w:ascii="Arial" w:hAnsi="Arial" w:cs="Arial"/>
          <w:b/>
          <w:bCs/>
          <w:sz w:val="20"/>
          <w:szCs w:val="20"/>
        </w:rPr>
        <w:t>2</w:t>
      </w:r>
      <w:r w:rsidRPr="00283C37">
        <w:rPr>
          <w:rFonts w:ascii="Arial" w:hAnsi="Arial" w:cs="Arial"/>
          <w:b/>
          <w:bCs/>
          <w:sz w:val="20"/>
          <w:szCs w:val="20"/>
        </w:rPr>
        <w:t xml:space="preserve">. </w:t>
      </w:r>
      <w:r w:rsidRPr="00283C37">
        <w:rPr>
          <w:rFonts w:ascii="Arial" w:hAnsi="Arial" w:cs="Arial"/>
          <w:sz w:val="20"/>
          <w:szCs w:val="20"/>
        </w:rPr>
        <w:t>Data Extraction of Included Studies</w:t>
      </w:r>
    </w:p>
    <w:tbl>
      <w:tblPr>
        <w:tblW w:w="14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2370"/>
        <w:gridCol w:w="1418"/>
        <w:gridCol w:w="1275"/>
        <w:gridCol w:w="1701"/>
        <w:gridCol w:w="1418"/>
        <w:gridCol w:w="1276"/>
        <w:gridCol w:w="1275"/>
        <w:gridCol w:w="1438"/>
        <w:gridCol w:w="946"/>
      </w:tblGrid>
      <w:tr w:rsidR="008C3AC3" w:rsidRPr="008C3AC3" w14:paraId="37DF938E" w14:textId="77777777" w:rsidTr="00E66782">
        <w:trPr>
          <w:trHeight w:val="478"/>
          <w:tblHeader/>
          <w:jc w:val="center"/>
        </w:trPr>
        <w:tc>
          <w:tcPr>
            <w:tcW w:w="1372" w:type="dxa"/>
            <w:vMerge w:val="restart"/>
            <w:shd w:val="clear" w:color="auto" w:fill="auto"/>
          </w:tcPr>
          <w:p w14:paraId="7FA9F843" w14:textId="77777777" w:rsidR="008C3AC3" w:rsidRPr="008C3AC3" w:rsidRDefault="008C3AC3" w:rsidP="008C3AC3">
            <w:pPr>
              <w:spacing w:after="0" w:line="276" w:lineRule="auto"/>
              <w:jc w:val="center"/>
              <w:rPr>
                <w:rFonts w:ascii="Arial" w:eastAsia="Calibri" w:hAnsi="Arial" w:cs="Arial"/>
                <w:b/>
                <w:bCs/>
                <w:sz w:val="14"/>
                <w:szCs w:val="14"/>
                <w:lang w:val="en-GB"/>
              </w:rPr>
            </w:pPr>
            <w:bookmarkStart w:id="0" w:name="_Hlk145364269"/>
            <w:r w:rsidRPr="008C3AC3">
              <w:rPr>
                <w:rStyle w:val="fontstyle01"/>
                <w:rFonts w:ascii="Arial" w:eastAsia="Calibri" w:hAnsi="Arial" w:cs="Arial"/>
                <w:b/>
                <w:bCs/>
                <w:color w:val="auto"/>
                <w:sz w:val="14"/>
                <w:szCs w:val="14"/>
              </w:rPr>
              <w:t>First Author/ Year/ Country/ Study Design</w:t>
            </w:r>
          </w:p>
        </w:tc>
        <w:tc>
          <w:tcPr>
            <w:tcW w:w="2370" w:type="dxa"/>
            <w:vMerge w:val="restart"/>
            <w:shd w:val="clear" w:color="auto" w:fill="auto"/>
          </w:tcPr>
          <w:p w14:paraId="36A6259D" w14:textId="77777777" w:rsidR="008C3AC3" w:rsidRPr="008C3AC3" w:rsidRDefault="008C3AC3" w:rsidP="008C3AC3">
            <w:pPr>
              <w:spacing w:before="120"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Low-risk Patients Criteria and Revascularization Access</w:t>
            </w:r>
          </w:p>
        </w:tc>
        <w:tc>
          <w:tcPr>
            <w:tcW w:w="1418" w:type="dxa"/>
            <w:vMerge w:val="restart"/>
            <w:shd w:val="clear" w:color="auto" w:fill="auto"/>
          </w:tcPr>
          <w:p w14:paraId="1EFDDADE" w14:textId="77777777" w:rsidR="008C3AC3" w:rsidRPr="008C3AC3" w:rsidRDefault="008C3AC3" w:rsidP="008C3AC3">
            <w:pPr>
              <w:spacing w:before="240"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Sample</w:t>
            </w:r>
          </w:p>
        </w:tc>
        <w:tc>
          <w:tcPr>
            <w:tcW w:w="1275" w:type="dxa"/>
            <w:vMerge w:val="restart"/>
            <w:shd w:val="clear" w:color="auto" w:fill="auto"/>
          </w:tcPr>
          <w:p w14:paraId="0BC24088" w14:textId="77777777" w:rsidR="008C3AC3" w:rsidRPr="008C3AC3" w:rsidRDefault="008C3AC3" w:rsidP="008C3AC3">
            <w:pPr>
              <w:spacing w:before="240"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Mean Age (y)</w:t>
            </w:r>
          </w:p>
        </w:tc>
        <w:tc>
          <w:tcPr>
            <w:tcW w:w="1701" w:type="dxa"/>
            <w:vMerge w:val="restart"/>
            <w:shd w:val="clear" w:color="auto" w:fill="auto"/>
          </w:tcPr>
          <w:p w14:paraId="363258A1" w14:textId="77777777" w:rsidR="008C3AC3" w:rsidRPr="008C3AC3" w:rsidRDefault="008C3AC3" w:rsidP="008C3AC3">
            <w:pPr>
              <w:spacing w:before="240"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Early Discharge Strategy</w:t>
            </w:r>
          </w:p>
        </w:tc>
        <w:tc>
          <w:tcPr>
            <w:tcW w:w="1418" w:type="dxa"/>
            <w:vMerge w:val="restart"/>
            <w:shd w:val="clear" w:color="auto" w:fill="auto"/>
          </w:tcPr>
          <w:p w14:paraId="447EED4F" w14:textId="77777777" w:rsidR="008C3AC3" w:rsidRPr="008C3AC3" w:rsidRDefault="008C3AC3" w:rsidP="008C3AC3">
            <w:pPr>
              <w:spacing w:before="240"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Comparison</w:t>
            </w:r>
          </w:p>
        </w:tc>
        <w:tc>
          <w:tcPr>
            <w:tcW w:w="2551" w:type="dxa"/>
            <w:gridSpan w:val="2"/>
            <w:shd w:val="clear" w:color="auto" w:fill="auto"/>
          </w:tcPr>
          <w:p w14:paraId="5462BADA" w14:textId="77777777" w:rsidR="008C3AC3" w:rsidRPr="008C3AC3" w:rsidRDefault="008C3AC3" w:rsidP="008C3AC3">
            <w:pPr>
              <w:spacing w:before="120"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Primary Outcome</w:t>
            </w:r>
          </w:p>
        </w:tc>
        <w:tc>
          <w:tcPr>
            <w:tcW w:w="1438" w:type="dxa"/>
          </w:tcPr>
          <w:p w14:paraId="6AA71E26" w14:textId="77777777" w:rsidR="008C3AC3" w:rsidRPr="008C3AC3" w:rsidRDefault="008C3AC3" w:rsidP="008C3AC3">
            <w:pPr>
              <w:spacing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Secondary Outcome</w:t>
            </w:r>
          </w:p>
        </w:tc>
        <w:tc>
          <w:tcPr>
            <w:tcW w:w="946" w:type="dxa"/>
            <w:vMerge w:val="restart"/>
            <w:shd w:val="clear" w:color="auto" w:fill="auto"/>
          </w:tcPr>
          <w:p w14:paraId="283C99A8" w14:textId="77777777" w:rsidR="008C3AC3" w:rsidRPr="008C3AC3" w:rsidRDefault="008C3AC3" w:rsidP="008C3AC3">
            <w:pPr>
              <w:spacing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Appraisal Results</w:t>
            </w:r>
          </w:p>
        </w:tc>
      </w:tr>
      <w:tr w:rsidR="008C3AC3" w:rsidRPr="008C3AC3" w14:paraId="35DDA41A" w14:textId="77777777" w:rsidTr="00E66782">
        <w:trPr>
          <w:trHeight w:val="54"/>
          <w:tblHeader/>
          <w:jc w:val="center"/>
        </w:trPr>
        <w:tc>
          <w:tcPr>
            <w:tcW w:w="1372" w:type="dxa"/>
            <w:vMerge/>
            <w:shd w:val="clear" w:color="auto" w:fill="auto"/>
          </w:tcPr>
          <w:p w14:paraId="172C7A0B" w14:textId="77777777" w:rsidR="008C3AC3" w:rsidRPr="008C3AC3" w:rsidRDefault="008C3AC3" w:rsidP="008C3AC3">
            <w:pPr>
              <w:spacing w:after="0" w:line="276" w:lineRule="auto"/>
              <w:jc w:val="center"/>
              <w:rPr>
                <w:rStyle w:val="fontstyle01"/>
                <w:rFonts w:ascii="Arial" w:eastAsia="Calibri" w:hAnsi="Arial" w:cs="Arial"/>
                <w:color w:val="auto"/>
                <w:sz w:val="14"/>
                <w:szCs w:val="14"/>
              </w:rPr>
            </w:pPr>
          </w:p>
        </w:tc>
        <w:tc>
          <w:tcPr>
            <w:tcW w:w="2370" w:type="dxa"/>
            <w:vMerge/>
            <w:shd w:val="clear" w:color="auto" w:fill="auto"/>
          </w:tcPr>
          <w:p w14:paraId="2052A81A" w14:textId="77777777" w:rsidR="008C3AC3" w:rsidRPr="008C3AC3" w:rsidRDefault="008C3AC3" w:rsidP="008C3AC3">
            <w:pPr>
              <w:spacing w:after="0" w:line="276" w:lineRule="auto"/>
              <w:jc w:val="center"/>
              <w:rPr>
                <w:rFonts w:ascii="Arial" w:eastAsia="Calibri" w:hAnsi="Arial" w:cs="Arial"/>
                <w:b/>
                <w:bCs/>
                <w:sz w:val="14"/>
                <w:szCs w:val="14"/>
                <w:lang w:val="en-GB"/>
              </w:rPr>
            </w:pPr>
          </w:p>
        </w:tc>
        <w:tc>
          <w:tcPr>
            <w:tcW w:w="1418" w:type="dxa"/>
            <w:vMerge/>
            <w:shd w:val="clear" w:color="auto" w:fill="auto"/>
          </w:tcPr>
          <w:p w14:paraId="1E07B873" w14:textId="77777777" w:rsidR="008C3AC3" w:rsidRPr="008C3AC3" w:rsidRDefault="008C3AC3" w:rsidP="008C3AC3">
            <w:pPr>
              <w:spacing w:after="0" w:line="276" w:lineRule="auto"/>
              <w:jc w:val="center"/>
              <w:rPr>
                <w:rFonts w:ascii="Arial" w:eastAsia="Calibri" w:hAnsi="Arial" w:cs="Arial"/>
                <w:b/>
                <w:bCs/>
                <w:sz w:val="14"/>
                <w:szCs w:val="14"/>
                <w:lang w:val="en-GB"/>
              </w:rPr>
            </w:pPr>
          </w:p>
        </w:tc>
        <w:tc>
          <w:tcPr>
            <w:tcW w:w="1275" w:type="dxa"/>
            <w:vMerge/>
            <w:shd w:val="clear" w:color="auto" w:fill="auto"/>
          </w:tcPr>
          <w:p w14:paraId="293BE6CD" w14:textId="77777777" w:rsidR="008C3AC3" w:rsidRPr="008C3AC3" w:rsidRDefault="008C3AC3" w:rsidP="008C3AC3">
            <w:pPr>
              <w:spacing w:after="0" w:line="276" w:lineRule="auto"/>
              <w:jc w:val="center"/>
              <w:rPr>
                <w:rFonts w:ascii="Arial" w:eastAsia="Calibri" w:hAnsi="Arial" w:cs="Arial"/>
                <w:b/>
                <w:bCs/>
                <w:sz w:val="14"/>
                <w:szCs w:val="14"/>
                <w:lang w:val="en-GB"/>
              </w:rPr>
            </w:pPr>
          </w:p>
        </w:tc>
        <w:tc>
          <w:tcPr>
            <w:tcW w:w="1701" w:type="dxa"/>
            <w:vMerge/>
            <w:shd w:val="clear" w:color="auto" w:fill="auto"/>
          </w:tcPr>
          <w:p w14:paraId="7A1203D6" w14:textId="77777777" w:rsidR="008C3AC3" w:rsidRPr="008C3AC3" w:rsidRDefault="008C3AC3" w:rsidP="008C3AC3">
            <w:pPr>
              <w:spacing w:after="0" w:line="276" w:lineRule="auto"/>
              <w:jc w:val="center"/>
              <w:rPr>
                <w:rFonts w:ascii="Arial" w:eastAsia="Calibri" w:hAnsi="Arial" w:cs="Arial"/>
                <w:b/>
                <w:bCs/>
                <w:sz w:val="14"/>
                <w:szCs w:val="14"/>
                <w:lang w:val="en-GB"/>
              </w:rPr>
            </w:pPr>
          </w:p>
        </w:tc>
        <w:tc>
          <w:tcPr>
            <w:tcW w:w="1418" w:type="dxa"/>
            <w:vMerge/>
            <w:shd w:val="clear" w:color="auto" w:fill="auto"/>
          </w:tcPr>
          <w:p w14:paraId="202A1FE1" w14:textId="77777777" w:rsidR="008C3AC3" w:rsidRPr="008C3AC3" w:rsidRDefault="008C3AC3" w:rsidP="008C3AC3">
            <w:pPr>
              <w:spacing w:after="0" w:line="276" w:lineRule="auto"/>
              <w:jc w:val="center"/>
              <w:rPr>
                <w:rFonts w:ascii="Arial" w:eastAsia="Calibri" w:hAnsi="Arial" w:cs="Arial"/>
                <w:b/>
                <w:bCs/>
                <w:sz w:val="14"/>
                <w:szCs w:val="14"/>
                <w:lang w:val="en-GB"/>
              </w:rPr>
            </w:pPr>
          </w:p>
        </w:tc>
        <w:tc>
          <w:tcPr>
            <w:tcW w:w="1276" w:type="dxa"/>
            <w:shd w:val="clear" w:color="auto" w:fill="auto"/>
          </w:tcPr>
          <w:p w14:paraId="0B15CD63" w14:textId="77777777" w:rsidR="008C3AC3" w:rsidRPr="008C3AC3" w:rsidRDefault="008C3AC3" w:rsidP="008C3AC3">
            <w:pPr>
              <w:spacing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Readmission</w:t>
            </w:r>
          </w:p>
        </w:tc>
        <w:tc>
          <w:tcPr>
            <w:tcW w:w="1275" w:type="dxa"/>
            <w:shd w:val="clear" w:color="auto" w:fill="auto"/>
          </w:tcPr>
          <w:p w14:paraId="5E750FDA" w14:textId="77777777" w:rsidR="008C3AC3" w:rsidRPr="008C3AC3" w:rsidRDefault="008C3AC3" w:rsidP="008C3AC3">
            <w:pPr>
              <w:spacing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Mortality</w:t>
            </w:r>
          </w:p>
        </w:tc>
        <w:tc>
          <w:tcPr>
            <w:tcW w:w="1438" w:type="dxa"/>
          </w:tcPr>
          <w:p w14:paraId="4BEE0393" w14:textId="77777777" w:rsidR="008C3AC3" w:rsidRPr="008C3AC3" w:rsidRDefault="008C3AC3" w:rsidP="008C3AC3">
            <w:pPr>
              <w:spacing w:after="0" w:line="276" w:lineRule="auto"/>
              <w:jc w:val="center"/>
              <w:rPr>
                <w:rFonts w:ascii="Arial" w:eastAsia="Calibri" w:hAnsi="Arial" w:cs="Arial"/>
                <w:b/>
                <w:bCs/>
                <w:sz w:val="14"/>
                <w:szCs w:val="14"/>
                <w:lang w:val="en-GB"/>
              </w:rPr>
            </w:pPr>
            <w:r w:rsidRPr="008C3AC3">
              <w:rPr>
                <w:rFonts w:ascii="Arial" w:eastAsia="Calibri" w:hAnsi="Arial" w:cs="Arial"/>
                <w:b/>
                <w:bCs/>
                <w:sz w:val="14"/>
                <w:szCs w:val="14"/>
                <w:lang w:val="en-GB"/>
              </w:rPr>
              <w:t>LOS</w:t>
            </w:r>
          </w:p>
        </w:tc>
        <w:tc>
          <w:tcPr>
            <w:tcW w:w="946" w:type="dxa"/>
            <w:vMerge/>
            <w:shd w:val="clear" w:color="auto" w:fill="auto"/>
          </w:tcPr>
          <w:p w14:paraId="050BEF07" w14:textId="77777777" w:rsidR="008C3AC3" w:rsidRPr="008C3AC3" w:rsidRDefault="008C3AC3" w:rsidP="008C3AC3">
            <w:pPr>
              <w:spacing w:after="0" w:line="276" w:lineRule="auto"/>
              <w:jc w:val="center"/>
              <w:rPr>
                <w:rFonts w:ascii="Arial" w:eastAsia="Calibri" w:hAnsi="Arial" w:cs="Arial"/>
                <w:b/>
                <w:bCs/>
                <w:sz w:val="14"/>
                <w:szCs w:val="14"/>
                <w:lang w:val="en-GB"/>
              </w:rPr>
            </w:pPr>
          </w:p>
        </w:tc>
      </w:tr>
      <w:tr w:rsidR="008C3AC3" w:rsidRPr="008C3AC3" w14:paraId="36C8FBDF" w14:textId="77777777" w:rsidTr="00E66782">
        <w:trPr>
          <w:trHeight w:val="54"/>
          <w:jc w:val="center"/>
        </w:trPr>
        <w:tc>
          <w:tcPr>
            <w:tcW w:w="14489" w:type="dxa"/>
            <w:gridSpan w:val="10"/>
            <w:shd w:val="clear" w:color="auto" w:fill="auto"/>
          </w:tcPr>
          <w:p w14:paraId="12ED5B01" w14:textId="77777777" w:rsidR="008C3AC3" w:rsidRPr="00664AEE" w:rsidRDefault="008C3AC3" w:rsidP="008C3AC3">
            <w:pPr>
              <w:spacing w:after="0" w:line="276" w:lineRule="auto"/>
              <w:rPr>
                <w:rFonts w:ascii="Arial" w:eastAsia="Calibri" w:hAnsi="Arial" w:cs="Arial"/>
                <w:b/>
                <w:bCs/>
                <w:sz w:val="14"/>
                <w:szCs w:val="14"/>
                <w:lang w:val="en-GB"/>
              </w:rPr>
            </w:pPr>
            <w:r w:rsidRPr="00664AEE">
              <w:rPr>
                <w:rStyle w:val="fontstyle01"/>
                <w:rFonts w:ascii="Arial" w:eastAsia="Calibri" w:hAnsi="Arial" w:cs="Arial"/>
                <w:b/>
                <w:bCs/>
                <w:color w:val="auto"/>
                <w:sz w:val="14"/>
                <w:szCs w:val="14"/>
              </w:rPr>
              <w:t>Randomized Controlled Trial</w:t>
            </w:r>
          </w:p>
        </w:tc>
      </w:tr>
      <w:tr w:rsidR="008C3AC3" w:rsidRPr="008C3AC3" w14:paraId="1EFBE854" w14:textId="77777777" w:rsidTr="00E66782">
        <w:trPr>
          <w:trHeight w:val="234"/>
          <w:jc w:val="center"/>
        </w:trPr>
        <w:tc>
          <w:tcPr>
            <w:tcW w:w="1372" w:type="dxa"/>
            <w:shd w:val="clear" w:color="auto" w:fill="auto"/>
          </w:tcPr>
          <w:p w14:paraId="577370ED" w14:textId="77777777" w:rsidR="008C3AC3" w:rsidRPr="008C3AC3" w:rsidRDefault="008C3AC3" w:rsidP="008C3AC3">
            <w:pPr>
              <w:spacing w:after="0" w:line="276" w:lineRule="auto"/>
              <w:jc w:val="center"/>
              <w:rPr>
                <w:rFonts w:ascii="Arial" w:eastAsia="Calibri" w:hAnsi="Arial" w:cs="Arial"/>
                <w:sz w:val="14"/>
                <w:szCs w:val="14"/>
                <w:lang w:val="id-ID"/>
              </w:rPr>
            </w:pPr>
            <w:proofErr w:type="spellStart"/>
            <w:r w:rsidRPr="008C3AC3">
              <w:rPr>
                <w:rFonts w:ascii="Arial" w:eastAsia="Calibri" w:hAnsi="Arial" w:cs="Arial"/>
                <w:sz w:val="14"/>
                <w:szCs w:val="14"/>
                <w:lang w:val="en-GB"/>
              </w:rPr>
              <w:t>Kotowycz</w:t>
            </w:r>
            <w:proofErr w:type="spellEnd"/>
            <w:r w:rsidRPr="008C3AC3">
              <w:rPr>
                <w:rFonts w:ascii="Arial" w:eastAsia="Calibri" w:hAnsi="Arial" w:cs="Arial"/>
                <w:sz w:val="14"/>
                <w:szCs w:val="14"/>
                <w:lang w:val="en-GB"/>
              </w:rPr>
              <w:t xml:space="preserve"> (2010)</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{"citationItems":[{"id":"ITEM-1","itemData":{"DOI":"10.1016/j.ahj.2009.10.024","ISSN":"10976744","PMID":"20102876","abstract":"Background: Patients with ST-segment elevation myocardial infarction (STEMI) have traditionally been hospitalized for 5 to 7 days to monitor for serious complications such as heart failure, arrhythmias, reinfarction, and death. The Zwolle Primary Percutaneous Coronary Intervention (PCI) Index is an externally validated risk score that has been used to identify low-risk STEMI patients who have undergone primary PCI and can safely be discharged from hospital within 72 hours. Previous studies have shown that many low-risk patients remain in hospital significantly longer. Methods: We randomly assigned 54 low-risk STEMI patients treated with primary or rescue PCI to 1 of 2 groups. Patients in the intervention group (n = 27) were actively targeted for early hospital discharge (48-72 hours) and received outpatient follow-up with an advanced practice nurse (APN). In the control group (n = 27), discharge planning and follow-up were left to the treating physician, and there was no added nursing intervention. The 2 primary outcomes of this pilot study were to demonstrate feasibility and safety. Secondary outcomes included compliance with medications, smoking cessation, attendance at cardiac rehabilitation, and quality of life, measured in both groups at 6 weeks time. Results: In the intervention group, 74% of patients were discharged within 72 hours, 100% had follow-up with the APN within 3 days (74% in person, 26% by phone), and 100% had ≥ 3 APN follow-ups in total, meeting our prespecified criteria for feasibility. The median length of stay was 55 hours in both groups. There were no deaths in either group, and there was no difference in rehospitalization between patients in the intervention and control groups (8% vs 4%, P = .56). There was no difference in rates of medication compliance, smoking cessation, attendance at cardiac rehabilitation, or quality of life between the 2 groups, although our small pilot study was not powered to detect a difference in these outcomes. Conclusion: In low-risk STEMI patients treated with primary or rescue PCI, a strategy of early hospital discharge facilitated by close nursing follow-up is feasible. Although our study did not identify differences in compliance or quality of life between the 2 groups, it did provide a functional study design for a larger trial powered to detect these important clinical end points. © 2010 Mosby, Inc. All rights reserved.","author":[{"dropping-particle":"","family":"Kotowycz","given":"Mark A","non-dropping-particle":"","parse-names":false,"suffix":""},{"dropping-particle":"","family":"Cosman","given":"Tammy L","non-dropping-particle":"","parse-names":false,"suffix":""},{"dropping-particle":"","family":"Tartaglia","given":"Corinne","non-dropping-particle":"","parse-names":false,"suffix":""},{"dropping-particle":"","family":"Afzal","given":"Rizwan","non-dropping-particle":"","parse-names":false,"suffix":""},{"dropping-particle":"","family":"Syal","given":"Renu Pal","non-dropping-particle":"","parse-names":false,"suffix":""},{"dropping-particle":"","family":"Natarajan","given":"Madhu K","non-dropping-particle":"","parse-names":false,"suffix":""}],"container-title":"American Heart Journal","id":"ITEM-1","issue":"1","issued":{"date-parts":[["2010"]]},"page":"117.e1-117.e6","publisher":"Mosby, Inc.","title":"Safety and feasibility of early hospital discharge in ST-segment elevation myocardial infarction-A prospective and randomized trial in low-risk primary percutaneous coronary intervention patients (the Safe-Depart Trial)","type":"article-journal","volume":"159"},"uris":["http://www.mendeley.com/documents/?uuid=ca75a857-51b6-4e8f-a973-ba161a4e1739"]}],"mendeley":{"formattedCitation":"&lt;sup&gt;16&lt;/sup&gt;","plainTextFormattedCitation":"16","previouslyFormattedCitation":"&lt;sup&gt;16&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16</w:t>
            </w:r>
            <w:r w:rsidRPr="008C3AC3">
              <w:rPr>
                <w:rFonts w:ascii="Arial" w:eastAsia="Calibri" w:hAnsi="Arial" w:cs="Arial"/>
                <w:sz w:val="14"/>
                <w:szCs w:val="14"/>
                <w:lang w:val="id-ID"/>
              </w:rPr>
              <w:fldChar w:fldCharType="end"/>
            </w:r>
          </w:p>
          <w:p w14:paraId="02C028E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Canada </w:t>
            </w:r>
          </w:p>
          <w:p w14:paraId="20EE534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RCT</w:t>
            </w:r>
          </w:p>
        </w:tc>
        <w:tc>
          <w:tcPr>
            <w:tcW w:w="2370" w:type="dxa"/>
            <w:shd w:val="clear" w:color="auto" w:fill="auto"/>
          </w:tcPr>
          <w:p w14:paraId="71FE96F3"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en-GB"/>
              </w:rPr>
              <w:t>Zwolle score ≤ 3</w:t>
            </w:r>
          </w:p>
          <w:p w14:paraId="4EF1E149" w14:textId="77777777" w:rsidR="008C3AC3" w:rsidRPr="008C3AC3" w:rsidRDefault="008C3AC3" w:rsidP="008C3AC3">
            <w:pPr>
              <w:spacing w:after="0" w:line="276" w:lineRule="auto"/>
              <w:jc w:val="both"/>
              <w:rPr>
                <w:rFonts w:ascii="Arial" w:eastAsia="Calibri" w:hAnsi="Arial" w:cs="Arial"/>
                <w:sz w:val="14"/>
                <w:szCs w:val="14"/>
                <w:lang w:val="en-GB"/>
              </w:rPr>
            </w:pPr>
          </w:p>
          <w:p w14:paraId="305C94D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tc>
        <w:tc>
          <w:tcPr>
            <w:tcW w:w="1418" w:type="dxa"/>
            <w:shd w:val="clear" w:color="auto" w:fill="auto"/>
          </w:tcPr>
          <w:p w14:paraId="6AC70ED0" w14:textId="77777777" w:rsidR="008C3AC3" w:rsidRPr="008C3AC3" w:rsidRDefault="008C3AC3" w:rsidP="008C3AC3">
            <w:pPr>
              <w:spacing w:after="0" w:line="276" w:lineRule="auto"/>
              <w:jc w:val="center"/>
              <w:rPr>
                <w:rFonts w:ascii="Arial" w:hAnsi="Arial" w:cs="Arial"/>
                <w:sz w:val="14"/>
                <w:szCs w:val="14"/>
                <w:lang w:eastAsia="en-ID"/>
              </w:rPr>
            </w:pPr>
            <w:r w:rsidRPr="008C3AC3">
              <w:rPr>
                <w:rFonts w:ascii="Arial" w:hAnsi="Arial" w:cs="Arial"/>
                <w:sz w:val="14"/>
                <w:szCs w:val="14"/>
                <w:lang w:eastAsia="en-ID"/>
              </w:rPr>
              <w:t>54 Patients</w:t>
            </w:r>
          </w:p>
          <w:p w14:paraId="7190346D" w14:textId="77777777" w:rsidR="008C3AC3" w:rsidRPr="008C3AC3" w:rsidRDefault="008C3AC3" w:rsidP="008C3AC3">
            <w:pPr>
              <w:spacing w:after="0" w:line="276" w:lineRule="auto"/>
              <w:jc w:val="center"/>
              <w:rPr>
                <w:rFonts w:ascii="Arial" w:hAnsi="Arial" w:cs="Arial"/>
                <w:sz w:val="14"/>
                <w:szCs w:val="14"/>
                <w:lang w:eastAsia="en-ID"/>
              </w:rPr>
            </w:pPr>
            <w:r w:rsidRPr="008C3AC3">
              <w:rPr>
                <w:rFonts w:ascii="Arial" w:hAnsi="Arial" w:cs="Arial"/>
                <w:sz w:val="14"/>
                <w:szCs w:val="14"/>
                <w:lang w:eastAsia="en-ID"/>
              </w:rPr>
              <w:t>ED (n=27)</w:t>
            </w:r>
          </w:p>
          <w:p w14:paraId="443824F8" w14:textId="77777777" w:rsidR="008C3AC3" w:rsidRPr="008C3AC3" w:rsidRDefault="008C3AC3" w:rsidP="008C3AC3">
            <w:pPr>
              <w:spacing w:after="0" w:line="276" w:lineRule="auto"/>
              <w:jc w:val="center"/>
              <w:rPr>
                <w:rFonts w:ascii="Arial" w:hAnsi="Arial" w:cs="Arial"/>
                <w:sz w:val="14"/>
                <w:szCs w:val="14"/>
                <w:lang w:eastAsia="en-ID"/>
              </w:rPr>
            </w:pPr>
            <w:r w:rsidRPr="008C3AC3">
              <w:rPr>
                <w:rFonts w:ascii="Arial" w:hAnsi="Arial" w:cs="Arial"/>
                <w:sz w:val="14"/>
                <w:szCs w:val="14"/>
                <w:lang w:eastAsia="en-ID"/>
              </w:rPr>
              <w:t>SD (n=27)</w:t>
            </w:r>
          </w:p>
        </w:tc>
        <w:tc>
          <w:tcPr>
            <w:tcW w:w="1275" w:type="dxa"/>
            <w:shd w:val="clear" w:color="auto" w:fill="auto"/>
          </w:tcPr>
          <w:p w14:paraId="38EF232C" w14:textId="77777777" w:rsidR="008C3AC3" w:rsidRPr="008C3AC3" w:rsidRDefault="008C3AC3" w:rsidP="008C3AC3">
            <w:pPr>
              <w:spacing w:after="0" w:line="276" w:lineRule="auto"/>
              <w:jc w:val="center"/>
              <w:rPr>
                <w:rFonts w:ascii="Arial" w:hAnsi="Arial" w:cs="Arial"/>
                <w:sz w:val="14"/>
                <w:szCs w:val="14"/>
                <w:lang w:eastAsia="en-ID"/>
              </w:rPr>
            </w:pPr>
            <w:r w:rsidRPr="008C3AC3">
              <w:rPr>
                <w:rFonts w:ascii="Arial" w:hAnsi="Arial" w:cs="Arial"/>
                <w:sz w:val="14"/>
                <w:szCs w:val="14"/>
                <w:lang w:eastAsia="en-ID"/>
              </w:rPr>
              <w:t>ED (55.6)</w:t>
            </w:r>
          </w:p>
          <w:p w14:paraId="49252A19"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eastAsia="en-ID"/>
              </w:rPr>
              <w:t>SD (55)</w:t>
            </w:r>
          </w:p>
        </w:tc>
        <w:tc>
          <w:tcPr>
            <w:tcW w:w="1701" w:type="dxa"/>
            <w:shd w:val="clear" w:color="auto" w:fill="auto"/>
          </w:tcPr>
          <w:p w14:paraId="31CCD62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ED within </w:t>
            </w:r>
            <w:r w:rsidRPr="008C3AC3">
              <w:rPr>
                <w:rFonts w:ascii="Arial" w:eastAsia="Calibri" w:hAnsi="Arial" w:cs="Arial"/>
                <w:sz w:val="14"/>
                <w:szCs w:val="14"/>
                <w:lang w:val="id-ID"/>
              </w:rPr>
              <w:t xml:space="preserve">48-72 </w:t>
            </w:r>
            <w:r w:rsidRPr="008C3AC3">
              <w:rPr>
                <w:rFonts w:ascii="Arial" w:eastAsia="Calibri" w:hAnsi="Arial" w:cs="Arial"/>
                <w:sz w:val="14"/>
                <w:szCs w:val="14"/>
                <w:lang w:val="en-GB"/>
              </w:rPr>
              <w:t>h</w:t>
            </w:r>
          </w:p>
          <w:p w14:paraId="1A3F69B0" w14:textId="77777777" w:rsidR="008C3AC3" w:rsidRPr="008C3AC3" w:rsidRDefault="008C3AC3" w:rsidP="008C3AC3">
            <w:pPr>
              <w:spacing w:after="0" w:line="276" w:lineRule="auto"/>
              <w:jc w:val="center"/>
              <w:rPr>
                <w:rFonts w:ascii="Arial" w:eastAsia="Calibri" w:hAnsi="Arial" w:cs="Arial"/>
                <w:b/>
                <w:bCs/>
                <w:sz w:val="14"/>
                <w:szCs w:val="14"/>
                <w:lang w:val="id-ID"/>
              </w:rPr>
            </w:pPr>
            <w:r w:rsidRPr="008C3AC3">
              <w:rPr>
                <w:rFonts w:ascii="Arial" w:eastAsia="Calibri" w:hAnsi="Arial" w:cs="Arial"/>
                <w:sz w:val="14"/>
                <w:szCs w:val="14"/>
                <w:lang w:val="en-GB"/>
              </w:rPr>
              <w:t>R</w:t>
            </w:r>
            <w:r w:rsidRPr="008C3AC3">
              <w:rPr>
                <w:rFonts w:ascii="Arial" w:eastAsia="Calibri" w:hAnsi="Arial" w:cs="Arial"/>
                <w:sz w:val="14"/>
                <w:szCs w:val="14"/>
                <w:lang w:val="id-ID"/>
              </w:rPr>
              <w:t>eceived outpatient follow-up with an advanced practice nurse</w:t>
            </w:r>
          </w:p>
        </w:tc>
        <w:tc>
          <w:tcPr>
            <w:tcW w:w="1418" w:type="dxa"/>
            <w:shd w:val="clear" w:color="auto" w:fill="auto"/>
          </w:tcPr>
          <w:p w14:paraId="0DC6332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w:t>
            </w:r>
          </w:p>
          <w:p w14:paraId="07A5D53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Follow-up were left to the treating physician.</w:t>
            </w:r>
          </w:p>
        </w:tc>
        <w:tc>
          <w:tcPr>
            <w:tcW w:w="1276" w:type="dxa"/>
            <w:shd w:val="clear" w:color="auto" w:fill="auto"/>
          </w:tcPr>
          <w:p w14:paraId="7FF225C0" w14:textId="77777777" w:rsidR="008C3AC3" w:rsidRPr="008C3AC3" w:rsidRDefault="008C3AC3" w:rsidP="008C3AC3">
            <w:pPr>
              <w:spacing w:after="0" w:line="276" w:lineRule="auto"/>
              <w:jc w:val="center"/>
              <w:rPr>
                <w:rFonts w:ascii="Arial" w:hAnsi="Arial" w:cs="Arial"/>
                <w:sz w:val="14"/>
                <w:szCs w:val="14"/>
                <w:lang w:eastAsia="en-ID"/>
              </w:rPr>
            </w:pPr>
            <w:r w:rsidRPr="008C3AC3">
              <w:rPr>
                <w:rFonts w:ascii="Arial" w:hAnsi="Arial" w:cs="Arial"/>
                <w:sz w:val="14"/>
                <w:szCs w:val="14"/>
                <w:lang w:eastAsia="en-ID"/>
              </w:rPr>
              <w:t>FU-6 weeks</w:t>
            </w:r>
          </w:p>
          <w:p w14:paraId="079F377B" w14:textId="77777777" w:rsidR="008C3AC3" w:rsidRPr="008C3AC3" w:rsidRDefault="008C3AC3" w:rsidP="008C3AC3">
            <w:pPr>
              <w:spacing w:after="0" w:line="276" w:lineRule="auto"/>
              <w:jc w:val="center"/>
              <w:rPr>
                <w:rFonts w:ascii="Arial" w:hAnsi="Arial" w:cs="Arial"/>
                <w:sz w:val="14"/>
                <w:szCs w:val="14"/>
                <w:lang w:eastAsia="en-ID"/>
              </w:rPr>
            </w:pPr>
            <w:r w:rsidRPr="008C3AC3">
              <w:rPr>
                <w:rFonts w:ascii="Arial" w:hAnsi="Arial" w:cs="Arial"/>
                <w:sz w:val="14"/>
                <w:szCs w:val="14"/>
                <w:lang w:eastAsia="en-ID"/>
              </w:rPr>
              <w:t>ED (2; 8%)</w:t>
            </w:r>
          </w:p>
          <w:p w14:paraId="02201F90" w14:textId="77777777" w:rsidR="008C3AC3" w:rsidRPr="008C3AC3" w:rsidRDefault="008C3AC3" w:rsidP="008C3AC3">
            <w:pPr>
              <w:spacing w:after="0" w:line="276" w:lineRule="auto"/>
              <w:jc w:val="center"/>
              <w:rPr>
                <w:rFonts w:ascii="Arial" w:eastAsia="Calibri" w:hAnsi="Arial" w:cs="Arial"/>
                <w:b/>
                <w:bCs/>
                <w:sz w:val="14"/>
                <w:szCs w:val="14"/>
                <w:lang w:val="en-GB"/>
              </w:rPr>
            </w:pPr>
            <w:r w:rsidRPr="008C3AC3">
              <w:rPr>
                <w:rFonts w:ascii="Arial" w:eastAsia="Calibri" w:hAnsi="Arial" w:cs="Arial"/>
                <w:sz w:val="14"/>
                <w:szCs w:val="14"/>
                <w:lang w:eastAsia="en-ID"/>
              </w:rPr>
              <w:t>SD (1; 4%)</w:t>
            </w:r>
          </w:p>
        </w:tc>
        <w:tc>
          <w:tcPr>
            <w:tcW w:w="1275" w:type="dxa"/>
            <w:shd w:val="clear" w:color="auto" w:fill="auto"/>
          </w:tcPr>
          <w:p w14:paraId="25677B6E" w14:textId="77777777" w:rsidR="008C3AC3" w:rsidRPr="008C3AC3" w:rsidRDefault="008C3AC3" w:rsidP="008C3AC3">
            <w:pPr>
              <w:spacing w:after="0" w:line="276" w:lineRule="auto"/>
              <w:jc w:val="center"/>
              <w:rPr>
                <w:rFonts w:ascii="Arial" w:hAnsi="Arial" w:cs="Arial"/>
                <w:sz w:val="14"/>
                <w:szCs w:val="14"/>
                <w:lang w:eastAsia="en-ID"/>
              </w:rPr>
            </w:pPr>
            <w:r w:rsidRPr="008C3AC3">
              <w:rPr>
                <w:rFonts w:ascii="Arial" w:hAnsi="Arial" w:cs="Arial"/>
                <w:sz w:val="14"/>
                <w:szCs w:val="14"/>
                <w:lang w:eastAsia="en-ID"/>
              </w:rPr>
              <w:t>FU-6 weeks</w:t>
            </w:r>
          </w:p>
          <w:p w14:paraId="0DF6F392" w14:textId="77777777" w:rsidR="008C3AC3" w:rsidRPr="008C3AC3" w:rsidRDefault="008C3AC3" w:rsidP="008C3AC3">
            <w:pPr>
              <w:spacing w:after="0" w:line="276" w:lineRule="auto"/>
              <w:jc w:val="center"/>
              <w:rPr>
                <w:rFonts w:ascii="Arial" w:hAnsi="Arial" w:cs="Arial"/>
                <w:sz w:val="14"/>
                <w:szCs w:val="14"/>
                <w:lang w:eastAsia="en-ID"/>
              </w:rPr>
            </w:pPr>
            <w:r w:rsidRPr="008C3AC3">
              <w:rPr>
                <w:rFonts w:ascii="Arial" w:hAnsi="Arial" w:cs="Arial"/>
                <w:sz w:val="14"/>
                <w:szCs w:val="14"/>
                <w:lang w:eastAsia="en-ID"/>
              </w:rPr>
              <w:t>ED (0)</w:t>
            </w:r>
          </w:p>
          <w:p w14:paraId="55EAF2E4" w14:textId="77777777" w:rsidR="008C3AC3" w:rsidRPr="008C3AC3" w:rsidRDefault="008C3AC3" w:rsidP="008C3AC3">
            <w:pPr>
              <w:spacing w:after="0" w:line="276" w:lineRule="auto"/>
              <w:jc w:val="center"/>
              <w:rPr>
                <w:rFonts w:ascii="Arial" w:eastAsia="Calibri" w:hAnsi="Arial" w:cs="Arial"/>
                <w:b/>
                <w:bCs/>
                <w:sz w:val="14"/>
                <w:szCs w:val="14"/>
                <w:lang w:val="id-ID"/>
              </w:rPr>
            </w:pPr>
            <w:r w:rsidRPr="008C3AC3">
              <w:rPr>
                <w:rFonts w:ascii="Arial" w:eastAsia="Calibri" w:hAnsi="Arial" w:cs="Arial"/>
                <w:sz w:val="14"/>
                <w:szCs w:val="14"/>
                <w:lang w:eastAsia="en-ID"/>
              </w:rPr>
              <w:t>SD (0)</w:t>
            </w:r>
          </w:p>
        </w:tc>
        <w:tc>
          <w:tcPr>
            <w:tcW w:w="1438" w:type="dxa"/>
          </w:tcPr>
          <w:p w14:paraId="31750047" w14:textId="77777777" w:rsidR="008C3AC3" w:rsidRPr="008C3AC3" w:rsidRDefault="008C3AC3" w:rsidP="008C3AC3">
            <w:pPr>
              <w:spacing w:after="0" w:line="276" w:lineRule="auto"/>
              <w:jc w:val="center"/>
              <w:rPr>
                <w:rFonts w:ascii="Arial" w:hAnsi="Arial" w:cs="Arial"/>
                <w:sz w:val="14"/>
                <w:szCs w:val="14"/>
                <w:lang w:eastAsia="en-ID"/>
              </w:rPr>
            </w:pPr>
            <w:r w:rsidRPr="008C3AC3">
              <w:rPr>
                <w:rFonts w:ascii="Arial" w:hAnsi="Arial" w:cs="Arial"/>
                <w:sz w:val="14"/>
                <w:szCs w:val="14"/>
                <w:lang w:eastAsia="en-ID"/>
              </w:rPr>
              <w:t>Median</w:t>
            </w:r>
          </w:p>
          <w:p w14:paraId="70986966" w14:textId="77777777" w:rsidR="008C3AC3" w:rsidRPr="008C3AC3" w:rsidRDefault="008C3AC3" w:rsidP="008C3AC3">
            <w:pPr>
              <w:spacing w:after="0" w:line="276" w:lineRule="auto"/>
              <w:jc w:val="center"/>
              <w:rPr>
                <w:rFonts w:ascii="Arial" w:hAnsi="Arial" w:cs="Arial"/>
                <w:sz w:val="14"/>
                <w:szCs w:val="14"/>
                <w:lang w:eastAsia="en-ID"/>
              </w:rPr>
            </w:pPr>
            <w:r w:rsidRPr="008C3AC3">
              <w:rPr>
                <w:rFonts w:ascii="Arial" w:hAnsi="Arial" w:cs="Arial"/>
                <w:sz w:val="14"/>
                <w:szCs w:val="14"/>
                <w:lang w:eastAsia="en-ID"/>
              </w:rPr>
              <w:t>ED (55.6)</w:t>
            </w:r>
          </w:p>
          <w:p w14:paraId="22106472" w14:textId="77777777" w:rsidR="008C3AC3" w:rsidRPr="008C3AC3" w:rsidRDefault="008C3AC3" w:rsidP="008C3AC3">
            <w:pPr>
              <w:spacing w:after="0" w:line="276" w:lineRule="auto"/>
              <w:jc w:val="center"/>
              <w:rPr>
                <w:rFonts w:ascii="Arial" w:eastAsia="Calibri" w:hAnsi="Arial" w:cs="Arial"/>
                <w:sz w:val="14"/>
                <w:szCs w:val="14"/>
                <w:lang w:eastAsia="en-ID"/>
              </w:rPr>
            </w:pPr>
            <w:r w:rsidRPr="008C3AC3">
              <w:rPr>
                <w:rFonts w:ascii="Arial" w:eastAsia="Calibri" w:hAnsi="Arial" w:cs="Arial"/>
                <w:sz w:val="14"/>
                <w:szCs w:val="14"/>
                <w:lang w:eastAsia="en-ID"/>
              </w:rPr>
              <w:t>SD (55)</w:t>
            </w:r>
          </w:p>
          <w:p w14:paraId="69EA1C9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hour</w:t>
            </w:r>
          </w:p>
        </w:tc>
        <w:tc>
          <w:tcPr>
            <w:tcW w:w="946" w:type="dxa"/>
            <w:shd w:val="clear" w:color="auto" w:fill="auto"/>
          </w:tcPr>
          <w:p w14:paraId="5557A90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77%</w:t>
            </w:r>
          </w:p>
        </w:tc>
      </w:tr>
      <w:tr w:rsidR="008C3AC3" w:rsidRPr="008C3AC3" w14:paraId="49429C8C" w14:textId="77777777" w:rsidTr="00E66782">
        <w:trPr>
          <w:trHeight w:val="244"/>
          <w:jc w:val="center"/>
        </w:trPr>
        <w:tc>
          <w:tcPr>
            <w:tcW w:w="1372" w:type="dxa"/>
            <w:shd w:val="clear" w:color="auto" w:fill="auto"/>
          </w:tcPr>
          <w:p w14:paraId="410CAB3E"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Melberg et al (2015)</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{"citationItems":[{"id":"ITEM-1","itemData":{"DOI":"10.1177/2047487314559276","ISSN":"20474881","PMID":"25398704","abstract":"Background Early discharge after uncomplicated primary percutaneous coronary intervention (PPCI) is common but the evidence supporting this practice is lacking. We therefore performed a randomized, prospective trial comparing outcomes in low risk PPCI randomized to early discharge or usual care. Design and methods Over a two years period, all surviving PPCI patients at a single teaching hospital were considered eligible if the Zwolle risk score ‰3. They were randomized to either discharge 3 days or usual care. All included patients had routine medical treatment, counselling and follow-up. Health status and all readmissions up to 30 days follow-up were tracked. Results Of 425 consecutive PPCI patients, 215 (50.6%) were randomized to either early discharge (n;euro‰= 108) or usual routine discharge (n = 107). The mean index length of stay (LOS) plus the 30 days readmissions length of stay in the early discharge group was lower than in the usual discharge group: 2.7 ± 0.5 days vs 3.0 ± 0.7 days (p = 0.001). During follow-up there were no deaths, and similar readmission rate (4 (3.7%) vs 3 (2.8%), p = 0.69 in the early vs usual discharge group respectively). There was no difference in the 30 days health status measurements. The excluded high-risk group (n = 210) had longer index LOS (total sum 1314 vs 501 days, p = 0.001), and a trend towards more readmissions (10 (4.8%) vs 7 (3.3%) (p = 0.19)). Conclusion It is feasible and safe to discharge low-risk PPCI patients within three days. © European Society of Cardiology 2014.","author":[{"dropping-particle":"","family":"Melberg","given":"Tor","non-dropping-particle":"","parse-names":false,"suffix":""},{"dropping-particle":"","family":"Jørgensen","given":"Marianne","non-dropping-particle":"","parse-names":false,"suffix":""},{"dropping-particle":"","family":"Ørn","given":"Stein","non-dropping-particle":"","parse-names":false,"suffix":""},{"dropping-particle":"","family":"Solli","given":"Torhild","non-dropping-particle":"","parse-names":false,"suffix":""},{"dropping-particle":"","family":"Edland","given":"Unni","non-dropping-particle":"","parse-names":false,"suffix":""},{"dropping-particle":"","family":"Dickstein","given":"Kenneth","non-dropping-particle":"","parse-names":false,"suffix":""}],"container-title":"European Journal of Preventive Cardiology","id":"ITEM-1","issue":"11","issued":{"date-parts":[["2015","11"]]},"language":"eng","note":"From Duplicate 2 (Safety and health status following early discharge in patients with acute myocardial infarction treated with primary PCI: A randomized trial - Melberg, Tor; Jørgensen, Marianne; Ørn, Stein; Solli, Torhild; Edland, Unni; Dickstein, Kenneth)\n\nFrom Duplicate 1 (Safety and health status following early discharge in patients with acute myocardial infarction treated with primary PCI: A randomized trial - Melberg, Tor; Jørgensen, Marianne; Ørn, Stein; Solli, Torhild; Edland, Unni; Dickstein, Kenneth)\n\nFrom Duplicate 1 (Safety and health status following early discharge in patients with acute myocardial infarction treated with primary PCI: A randomized trial - Melberg, Tor; Jørgensen, Marianne; Ørn, Stein; Solli, Torhild; Edland, Unni; Dickstein, Kenneth)\n\nFrom Duplicate 1 (Safety and health status following early discharge in patients with acute myocardial infarction treated with primary PCI: A randomized trial - Melberg, T; Jørgensen, M; Ørn, S; Solli, T; Edland, U; Dickstein, K)\n\nCited By :36\n\nExport Date: 30 December 2022\n\nFrom Duplicate 2 (Safety and health status following early discharge in patients with acute myocardial infarction treated with primary PCI: A randomized trial - Melberg, Tor; Jørgensen, Marianne; Ørn, Stein; Solli, Torhild; Edland, Unni; Dickstein, Kenneth)\n\nFrom Duplicate 1 (Safety and health status following early discharge in patients with acute myocardial infarction treated with primary PCI: A randomized trial - Melberg, Tor; Jørgensen, Marianne; Ørn, Stein; Solli, Torhild; Edland, Unni; Dickstein, Kenneth)\n\nFrom Duplicate 2 (Safety and health status following early discharge in patients with acute myocardial infarction treated with primary PCI: A randomized trial - Melberg, T; Jørgensen, M; Ørn, S; Solli, T; Edland, U; Dickstein, K)\n\nCited By :36\n\nExport Date: 30 December 2022\n\nFrom Duplicate 2 (Safety and health status following early discharge in patients with acute myocardial infarction treated with primary PCI: A randomized trial - Melberg, T; Jørgensen, M; Ørn, S; Solli, T; Edland, U; Dickstein, K)\n\nCited By :36\n\nExport Date: 30 December 2022\n\nFrom Duplicate 2 (Safety and health status following early discharge in patients with acute myocardial infarction treated with primary PCI: A randomized trial - Melberg, T; Jørgensen, M; Ørn, S; Solli, T; Edland, U; Dickstein, K)\n\nCited By :36\n\nExport Date: 30 December 2022","page":"1427-1434","publisher-place":"Department of Cardiology, Stavanger University Hospital, Armauer Hansensvei 21, Postbox 8100, Stavanger, 4068, Norway, England","title":"Safety and health status following early discharge in patients with acute myocardial infarction treated with primary PCI: A randomized trial","type":"article-journal","volume":"22"},"uris":["http://www.mendeley.com/documents/?uuid=39f8e630-a92d-41be-a33a-0c9933535ef8"]}],"mendeley":{"formattedCitation":"&lt;sup&gt;21&lt;/sup&gt;","plainTextFormattedCitation":"21","previouslyFormattedCitation":"&lt;sup&gt;21&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21</w:t>
            </w:r>
            <w:r w:rsidRPr="008C3AC3">
              <w:rPr>
                <w:rFonts w:ascii="Arial" w:eastAsia="Calibri" w:hAnsi="Arial" w:cs="Arial"/>
                <w:sz w:val="14"/>
                <w:szCs w:val="14"/>
                <w:lang w:val="id-ID"/>
              </w:rPr>
              <w:fldChar w:fldCharType="end"/>
            </w:r>
          </w:p>
          <w:p w14:paraId="1E12435D"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Norway</w:t>
            </w:r>
          </w:p>
          <w:p w14:paraId="3DAF187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RCT</w:t>
            </w:r>
          </w:p>
        </w:tc>
        <w:tc>
          <w:tcPr>
            <w:tcW w:w="2370" w:type="dxa"/>
            <w:shd w:val="clear" w:color="auto" w:fill="auto"/>
          </w:tcPr>
          <w:p w14:paraId="014A19E6"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en-GB"/>
              </w:rPr>
              <w:t xml:space="preserve">Zwolle low-risk score ≤3 (TIMI flow 3-vessel, age, disease, anterior </w:t>
            </w:r>
            <w:proofErr w:type="gramStart"/>
            <w:r w:rsidRPr="008C3AC3">
              <w:rPr>
                <w:rFonts w:ascii="Arial" w:eastAsia="Calibri" w:hAnsi="Arial" w:cs="Arial"/>
                <w:sz w:val="14"/>
                <w:szCs w:val="14"/>
                <w:lang w:val="en-GB"/>
              </w:rPr>
              <w:t>infarction</w:t>
            </w:r>
            <w:proofErr w:type="gramEnd"/>
            <w:r w:rsidRPr="008C3AC3">
              <w:rPr>
                <w:rFonts w:ascii="Arial" w:eastAsia="Calibri" w:hAnsi="Arial" w:cs="Arial"/>
                <w:sz w:val="14"/>
                <w:szCs w:val="14"/>
                <w:lang w:val="en-GB"/>
              </w:rPr>
              <w:t xml:space="preserve"> and ischaemia time), Age &lt;70 years, Killip class ≤2.</w:t>
            </w:r>
          </w:p>
          <w:p w14:paraId="12D0346B" w14:textId="77777777" w:rsidR="008C3AC3" w:rsidRPr="008C3AC3" w:rsidRDefault="008C3AC3" w:rsidP="008C3AC3">
            <w:pPr>
              <w:spacing w:after="0" w:line="276" w:lineRule="auto"/>
              <w:jc w:val="both"/>
              <w:rPr>
                <w:rFonts w:ascii="Arial" w:eastAsia="Calibri" w:hAnsi="Arial" w:cs="Arial"/>
                <w:sz w:val="14"/>
                <w:szCs w:val="14"/>
                <w:lang w:val="id-ID"/>
              </w:rPr>
            </w:pPr>
          </w:p>
          <w:p w14:paraId="5877B8A0"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Radial access in ED (50.5%)</w:t>
            </w:r>
          </w:p>
        </w:tc>
        <w:tc>
          <w:tcPr>
            <w:tcW w:w="1418" w:type="dxa"/>
            <w:shd w:val="clear" w:color="auto" w:fill="auto"/>
          </w:tcPr>
          <w:p w14:paraId="03F2A99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215 Patients</w:t>
            </w:r>
          </w:p>
          <w:p w14:paraId="0F61687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(n=107)</w:t>
            </w:r>
          </w:p>
          <w:p w14:paraId="26F0755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Usual Care (n=108)</w:t>
            </w:r>
          </w:p>
        </w:tc>
        <w:tc>
          <w:tcPr>
            <w:tcW w:w="1275" w:type="dxa"/>
            <w:shd w:val="clear" w:color="auto" w:fill="auto"/>
          </w:tcPr>
          <w:p w14:paraId="71D17C1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(57% &lt;60 years)</w:t>
            </w:r>
          </w:p>
          <w:p w14:paraId="0C926C21"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Usual Care (62% &lt;60 years)</w:t>
            </w:r>
          </w:p>
        </w:tc>
        <w:tc>
          <w:tcPr>
            <w:tcW w:w="1701" w:type="dxa"/>
            <w:shd w:val="clear" w:color="auto" w:fill="auto"/>
          </w:tcPr>
          <w:p w14:paraId="684AE582"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ED within</w:t>
            </w:r>
            <w:r w:rsidRPr="008C3AC3">
              <w:rPr>
                <w:rFonts w:ascii="Arial" w:eastAsia="Calibri" w:hAnsi="Arial" w:cs="Arial"/>
                <w:sz w:val="14"/>
                <w:szCs w:val="14"/>
                <w:lang w:val="id-ID"/>
              </w:rPr>
              <w:t xml:space="preserve"> minimum 16</w:t>
            </w:r>
            <w:r w:rsidRPr="008C3AC3">
              <w:rPr>
                <w:rFonts w:ascii="Arial" w:eastAsia="Calibri" w:hAnsi="Arial" w:cs="Arial"/>
                <w:sz w:val="14"/>
                <w:szCs w:val="14"/>
                <w:lang w:val="en-GB"/>
              </w:rPr>
              <w:t>-</w:t>
            </w:r>
            <w:r w:rsidRPr="008C3AC3">
              <w:rPr>
                <w:rFonts w:ascii="Arial" w:eastAsia="Calibri" w:hAnsi="Arial" w:cs="Arial"/>
                <w:sz w:val="14"/>
                <w:szCs w:val="14"/>
                <w:lang w:val="id-ID"/>
              </w:rPr>
              <w:t xml:space="preserve">72 </w:t>
            </w:r>
            <w:r w:rsidRPr="008C3AC3">
              <w:rPr>
                <w:rFonts w:ascii="Arial" w:eastAsia="Calibri" w:hAnsi="Arial" w:cs="Arial"/>
                <w:sz w:val="14"/>
                <w:szCs w:val="14"/>
                <w:lang w:val="en-GB"/>
              </w:rPr>
              <w:t>h</w:t>
            </w:r>
            <w:r w:rsidRPr="008C3AC3">
              <w:rPr>
                <w:rFonts w:ascii="Arial" w:eastAsia="Calibri" w:hAnsi="Arial" w:cs="Arial"/>
                <w:sz w:val="14"/>
                <w:szCs w:val="14"/>
                <w:lang w:val="id-ID"/>
              </w:rPr>
              <w:t xml:space="preserve"> total stay</w:t>
            </w:r>
          </w:p>
        </w:tc>
        <w:tc>
          <w:tcPr>
            <w:tcW w:w="1418" w:type="dxa"/>
            <w:shd w:val="clear" w:color="auto" w:fill="auto"/>
          </w:tcPr>
          <w:p w14:paraId="1C539CE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Usual Discharge</w:t>
            </w:r>
          </w:p>
          <w:p w14:paraId="4EB7C46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 (&gt;72 h)</w:t>
            </w:r>
          </w:p>
          <w:p w14:paraId="7AF685DF" w14:textId="77777777" w:rsidR="008C3AC3" w:rsidRPr="008C3AC3" w:rsidRDefault="008C3AC3" w:rsidP="008C3AC3">
            <w:pPr>
              <w:spacing w:after="0" w:line="276" w:lineRule="auto"/>
              <w:jc w:val="center"/>
              <w:rPr>
                <w:rFonts w:ascii="Arial" w:eastAsia="Calibri" w:hAnsi="Arial" w:cs="Arial"/>
                <w:sz w:val="14"/>
                <w:szCs w:val="14"/>
                <w:lang w:val="id-ID"/>
              </w:rPr>
            </w:pPr>
          </w:p>
        </w:tc>
        <w:tc>
          <w:tcPr>
            <w:tcW w:w="1276" w:type="dxa"/>
            <w:shd w:val="clear" w:color="auto" w:fill="auto"/>
          </w:tcPr>
          <w:p w14:paraId="5E7AAFC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23B6313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w:t>
            </w:r>
          </w:p>
          <w:p w14:paraId="1F8A251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8 (7.4%)</w:t>
            </w:r>
          </w:p>
          <w:p w14:paraId="11BD48E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Usual Care</w:t>
            </w:r>
          </w:p>
          <w:p w14:paraId="25A2C18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8 (7.4%)</w:t>
            </w:r>
          </w:p>
        </w:tc>
        <w:tc>
          <w:tcPr>
            <w:tcW w:w="1275" w:type="dxa"/>
            <w:shd w:val="clear" w:color="auto" w:fill="auto"/>
          </w:tcPr>
          <w:p w14:paraId="6FE80CD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3440C2E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(0)</w:t>
            </w:r>
          </w:p>
          <w:p w14:paraId="338135D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(0)</w:t>
            </w:r>
          </w:p>
        </w:tc>
        <w:tc>
          <w:tcPr>
            <w:tcW w:w="1438" w:type="dxa"/>
          </w:tcPr>
          <w:p w14:paraId="7EFB357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w:t>
            </w:r>
          </w:p>
          <w:p w14:paraId="0640326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(2.2±0.5)</w:t>
            </w:r>
          </w:p>
          <w:p w14:paraId="67DAC7ED" w14:textId="77777777" w:rsidR="008C3AC3" w:rsidRPr="008C3AC3" w:rsidRDefault="008C3AC3" w:rsidP="008C3AC3">
            <w:pPr>
              <w:spacing w:after="0" w:line="276" w:lineRule="auto"/>
              <w:jc w:val="center"/>
              <w:rPr>
                <w:rFonts w:ascii="Arial" w:eastAsia="Calibri" w:hAnsi="Arial" w:cs="Arial"/>
                <w:sz w:val="14"/>
                <w:szCs w:val="14"/>
                <w:lang w:val="en-GB"/>
              </w:rPr>
            </w:pPr>
            <w:proofErr w:type="spellStart"/>
            <w:r w:rsidRPr="008C3AC3">
              <w:rPr>
                <w:rFonts w:ascii="Arial" w:eastAsia="Calibri" w:hAnsi="Arial" w:cs="Arial"/>
                <w:sz w:val="14"/>
                <w:szCs w:val="14"/>
                <w:lang w:val="en-GB"/>
              </w:rPr>
              <w:t>sUsual</w:t>
            </w:r>
            <w:proofErr w:type="spellEnd"/>
            <w:r w:rsidRPr="008C3AC3">
              <w:rPr>
                <w:rFonts w:ascii="Arial" w:eastAsia="Calibri" w:hAnsi="Arial" w:cs="Arial"/>
                <w:sz w:val="14"/>
                <w:szCs w:val="14"/>
                <w:lang w:val="en-GB"/>
              </w:rPr>
              <w:t xml:space="preserve"> Care</w:t>
            </w:r>
          </w:p>
          <w:p w14:paraId="4F34AA8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(2.4±0.6)</w:t>
            </w:r>
          </w:p>
          <w:p w14:paraId="327E2E2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days</w:t>
            </w:r>
          </w:p>
        </w:tc>
        <w:tc>
          <w:tcPr>
            <w:tcW w:w="946" w:type="dxa"/>
            <w:shd w:val="clear" w:color="auto" w:fill="auto"/>
          </w:tcPr>
          <w:p w14:paraId="2DBD110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85%</w:t>
            </w:r>
          </w:p>
        </w:tc>
      </w:tr>
      <w:tr w:rsidR="008C3AC3" w:rsidRPr="008C3AC3" w14:paraId="2A7ECD12" w14:textId="77777777" w:rsidTr="00E66782">
        <w:trPr>
          <w:trHeight w:val="234"/>
          <w:jc w:val="center"/>
        </w:trPr>
        <w:tc>
          <w:tcPr>
            <w:tcW w:w="1372" w:type="dxa"/>
            <w:shd w:val="clear" w:color="auto" w:fill="auto"/>
          </w:tcPr>
          <w:p w14:paraId="1B7C7563" w14:textId="77777777" w:rsidR="008C3AC3" w:rsidRPr="008C3AC3" w:rsidRDefault="008C3AC3" w:rsidP="008C3AC3">
            <w:pPr>
              <w:spacing w:after="0" w:line="276" w:lineRule="auto"/>
              <w:jc w:val="center"/>
              <w:rPr>
                <w:rFonts w:ascii="Arial" w:eastAsia="Calibri" w:hAnsi="Arial" w:cs="Arial"/>
                <w:sz w:val="14"/>
                <w:szCs w:val="14"/>
                <w:lang w:val="id-ID"/>
              </w:rPr>
            </w:pPr>
            <w:proofErr w:type="spellStart"/>
            <w:r w:rsidRPr="008C3AC3">
              <w:rPr>
                <w:rFonts w:ascii="Arial" w:eastAsia="Calibri" w:hAnsi="Arial" w:cs="Arial"/>
                <w:sz w:val="14"/>
                <w:szCs w:val="14"/>
                <w:lang w:val="en-GB"/>
              </w:rPr>
              <w:t>Novobilsky</w:t>
            </w:r>
            <w:proofErr w:type="spellEnd"/>
            <w:r w:rsidRPr="008C3AC3">
              <w:rPr>
                <w:rFonts w:ascii="Arial" w:eastAsia="Calibri" w:hAnsi="Arial" w:cs="Arial"/>
                <w:sz w:val="14"/>
                <w:szCs w:val="14"/>
                <w:lang w:val="en-GB"/>
              </w:rPr>
              <w:t xml:space="preserve"> et al (2019)</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{"citationItems":[{"id":"ITEM-1","itemData":{"DOI":"10.5507/bp.2018.041","ISSN":"1804-7521 (Electronic)","PMID":"30181666","abstract":"BACKGROUND: The length of hospital stay in patients with acute myocardial infarction and ST-segment elevation (STEMI) has been shortened in recent years with corresponding savings in costs, but there is limited available data on its implementation in clinical practice. The aim of this trial was to determine whether early discharge in selected patients after STEMI is feasible and safe. METHODS: 151 patients with STEMI successfully treated with primary percutaneous coronary intervention (PCI) who fulfilled the inclusion criteria of low risk were randomly assigned to two groups on a 1:1 ratio: early (within 48-72 h of admission) and standard (after 72 h) discharge. The primary end point was the composite of death, myocardial infarction (MI), unstable angina, stroke, unplanned rehospitalization, repeated target vessel revascularization and stent thrombosis at 90 days after discharge. The study is registered with ClinicalTrials.gov (identifier NCT02023983). RESULTS: The primary end point occurred in 5 patients in the early group and 6 in the standard group (6.6% vs. 8.0%, P=0.765). There were no significant differences in the incidence of individual components of the primary end point at 90 days. The length of hospital stay was significantly shorter in the intervention group (60.8 ± 8.5 vs. 92.1 ± 12.1 h, P&lt;0.0001). CONCLUSION: This study confirms that early discharge within 48-72 h in selected low risk patients after STEMI treated with successful primary PCI is feasible and safe, with outcomes comparable to the later discharge. This strategy applies to more than a quarter of all STEMI patients.","author":[{"dropping-particle":"","family":"Novobilsky","given":"Kamil","non-dropping-particle":"","parse-names":false,"suffix":""},{"dropping-particle":"","family":"Stipa","given":"Roman","non-dropping-particle":"","parse-names":false,"suffix":""},{"dropping-particle":"","family":"Cerny","given":"Petr","non-dropping-particle":"","parse-names":false,"suffix":""},{"dropping-particle":"","family":"Horak","given":"Ivo","non-dropping-particle":"","parse-names":false,"suffix":""},{"dropping-particle":"","family":"Kaucak","given":"Vladimir","non-dropping-particle":"","parse-names":false,"suffix":""},{"dropping-particle":"","family":"Mrozek","given":"Jan","non-dropping-particle":"","parse-names":false,"suffix":""},{"dropping-particle":"","family":"Vaclavik","given":"Jan","non-dropping-particle":"","parse-names":false,"suffix":""},{"dropping-particle":"","family":"Kryza","given":"Radim","non-dropping-particle":"","parse-names":false,"suffix":""}],"container-title":"Biomedical papers of the Medical Faculty of the University Palacky, Olomouc, Czechoslovakia","id":"ITEM-1","issue":"1","issued":{"date-parts":[["2019","2"]]},"language":"eng","page":"61-66","publisher-place":"Czech Republic","title":"Safety of early discharge in low risk patients after acute ST-segment elevation myocardial infarction, treated with primary percutaneous coronary intervention. Open label, randomized trial.","type":"article-journal","volume":"163"},"uris":["http://www.mendeley.com/documents/?uuid=9abe659f-ef38-4f0f-9c56-787119cff8b4"]}],"mendeley":{"formattedCitation":"&lt;sup&gt;7&lt;/sup&gt;","plainTextFormattedCitation":"7","previouslyFormattedCitation":"&lt;sup&gt;7&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7</w:t>
            </w:r>
            <w:r w:rsidRPr="008C3AC3">
              <w:rPr>
                <w:rFonts w:ascii="Arial" w:eastAsia="Calibri" w:hAnsi="Arial" w:cs="Arial"/>
                <w:sz w:val="14"/>
                <w:szCs w:val="14"/>
                <w:lang w:val="id-ID"/>
              </w:rPr>
              <w:fldChar w:fldCharType="end"/>
            </w:r>
          </w:p>
          <w:p w14:paraId="10B0183B"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Czech Republic</w:t>
            </w:r>
          </w:p>
          <w:p w14:paraId="4E9E4AED"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Randomized single centre study</w:t>
            </w:r>
          </w:p>
        </w:tc>
        <w:tc>
          <w:tcPr>
            <w:tcW w:w="2370" w:type="dxa"/>
            <w:shd w:val="clear" w:color="auto" w:fill="auto"/>
          </w:tcPr>
          <w:p w14:paraId="29AD487B"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id-ID"/>
              </w:rPr>
              <w:t>TIMI flow 3</w:t>
            </w:r>
            <w:r w:rsidRPr="008C3AC3">
              <w:rPr>
                <w:rFonts w:ascii="Arial" w:eastAsia="Calibri" w:hAnsi="Arial" w:cs="Arial"/>
                <w:sz w:val="14"/>
                <w:szCs w:val="14"/>
                <w:lang w:val="en-GB"/>
              </w:rPr>
              <w:t xml:space="preserve">, </w:t>
            </w:r>
            <w:r w:rsidRPr="008C3AC3">
              <w:rPr>
                <w:rFonts w:ascii="Arial" w:eastAsia="Calibri" w:hAnsi="Arial" w:cs="Arial"/>
                <w:sz w:val="14"/>
                <w:szCs w:val="14"/>
                <w:lang w:val="id-ID"/>
              </w:rPr>
              <w:t>Age ≤ 75 years</w:t>
            </w:r>
            <w:r w:rsidRPr="008C3AC3">
              <w:rPr>
                <w:rFonts w:ascii="Arial" w:eastAsia="Calibri" w:hAnsi="Arial" w:cs="Arial"/>
                <w:sz w:val="14"/>
                <w:szCs w:val="14"/>
                <w:lang w:val="en-GB"/>
              </w:rPr>
              <w:t>, LVEF</w:t>
            </w:r>
            <w:r w:rsidRPr="008C3AC3">
              <w:rPr>
                <w:rFonts w:ascii="Arial" w:eastAsia="Calibri" w:hAnsi="Arial" w:cs="Arial"/>
                <w:sz w:val="14"/>
                <w:szCs w:val="14"/>
                <w:lang w:val="id-ID"/>
              </w:rPr>
              <w:t xml:space="preserve"> ≥ 45%</w:t>
            </w:r>
            <w:r w:rsidRPr="008C3AC3">
              <w:rPr>
                <w:rFonts w:ascii="Arial" w:eastAsia="Calibri" w:hAnsi="Arial" w:cs="Arial"/>
                <w:sz w:val="14"/>
                <w:szCs w:val="14"/>
                <w:lang w:val="en-GB"/>
              </w:rPr>
              <w:t xml:space="preserve">, </w:t>
            </w:r>
            <w:r w:rsidRPr="008C3AC3">
              <w:rPr>
                <w:rFonts w:ascii="Arial" w:eastAsia="Calibri" w:hAnsi="Arial" w:cs="Arial"/>
                <w:sz w:val="14"/>
                <w:szCs w:val="14"/>
                <w:lang w:val="id-ID"/>
              </w:rPr>
              <w:t>Single- or two-vessel disease</w:t>
            </w:r>
            <w:r w:rsidRPr="008C3AC3">
              <w:rPr>
                <w:rFonts w:ascii="Arial" w:eastAsia="Calibri" w:hAnsi="Arial" w:cs="Arial"/>
                <w:sz w:val="14"/>
                <w:szCs w:val="14"/>
                <w:lang w:val="en-GB"/>
              </w:rPr>
              <w:t xml:space="preserve">, </w:t>
            </w:r>
            <w:r w:rsidRPr="008C3AC3">
              <w:rPr>
                <w:rFonts w:ascii="Arial" w:eastAsia="Calibri" w:hAnsi="Arial" w:cs="Arial"/>
                <w:sz w:val="14"/>
                <w:szCs w:val="14"/>
                <w:lang w:val="id-ID"/>
              </w:rPr>
              <w:t>No. symptoms of residual ischaemia</w:t>
            </w:r>
            <w:r w:rsidRPr="008C3AC3">
              <w:rPr>
                <w:rFonts w:ascii="Arial" w:eastAsia="Calibri" w:hAnsi="Arial" w:cs="Arial"/>
                <w:sz w:val="14"/>
                <w:szCs w:val="14"/>
                <w:lang w:val="en-GB"/>
              </w:rPr>
              <w:t>,</w:t>
            </w:r>
            <w:r w:rsidRPr="008C3AC3">
              <w:rPr>
                <w:rFonts w:ascii="Arial" w:eastAsia="Calibri" w:hAnsi="Arial" w:cs="Arial"/>
                <w:sz w:val="14"/>
                <w:szCs w:val="14"/>
                <w:lang w:val="id-ID"/>
              </w:rPr>
              <w:t xml:space="preserve"> Killip class I, No. arrhythmia requiring treatment occurring &gt; 2 h after </w:t>
            </w:r>
            <w:r w:rsidRPr="008C3AC3">
              <w:rPr>
                <w:rFonts w:ascii="Arial" w:eastAsia="Calibri" w:hAnsi="Arial" w:cs="Arial"/>
                <w:sz w:val="14"/>
                <w:szCs w:val="14"/>
                <w:lang w:val="en-GB"/>
              </w:rPr>
              <w:t>PPCI.</w:t>
            </w:r>
          </w:p>
          <w:p w14:paraId="77C25D1D" w14:textId="77777777" w:rsidR="008C3AC3" w:rsidRPr="008C3AC3" w:rsidRDefault="008C3AC3" w:rsidP="008C3AC3">
            <w:pPr>
              <w:spacing w:after="0" w:line="276" w:lineRule="auto"/>
              <w:jc w:val="both"/>
              <w:rPr>
                <w:rFonts w:ascii="Arial" w:eastAsia="Calibri" w:hAnsi="Arial" w:cs="Arial"/>
                <w:sz w:val="14"/>
                <w:szCs w:val="14"/>
                <w:lang w:val="en-GB"/>
              </w:rPr>
            </w:pPr>
          </w:p>
          <w:p w14:paraId="767B17D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id-ID"/>
              </w:rPr>
              <w:t>Radial access in ED (98.7%)</w:t>
            </w:r>
          </w:p>
        </w:tc>
        <w:tc>
          <w:tcPr>
            <w:tcW w:w="1418" w:type="dxa"/>
            <w:shd w:val="clear" w:color="auto" w:fill="auto"/>
          </w:tcPr>
          <w:p w14:paraId="6B4EB27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115 Patients</w:t>
            </w:r>
          </w:p>
          <w:p w14:paraId="4521D9A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(n=76)</w:t>
            </w:r>
          </w:p>
          <w:p w14:paraId="3EA77B5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(n=75)</w:t>
            </w:r>
          </w:p>
          <w:p w14:paraId="3A347242" w14:textId="77777777" w:rsidR="008C3AC3" w:rsidRPr="008C3AC3" w:rsidRDefault="008C3AC3" w:rsidP="008C3AC3">
            <w:pPr>
              <w:spacing w:after="0" w:line="276" w:lineRule="auto"/>
              <w:jc w:val="center"/>
              <w:rPr>
                <w:rFonts w:ascii="Arial" w:eastAsia="Calibri" w:hAnsi="Arial" w:cs="Arial"/>
                <w:sz w:val="14"/>
                <w:szCs w:val="14"/>
                <w:lang w:val="en-GB"/>
              </w:rPr>
            </w:pPr>
          </w:p>
        </w:tc>
        <w:tc>
          <w:tcPr>
            <w:tcW w:w="1275" w:type="dxa"/>
            <w:shd w:val="clear" w:color="auto" w:fill="auto"/>
          </w:tcPr>
          <w:p w14:paraId="09100EC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(56.7 ± 9.2)</w:t>
            </w:r>
          </w:p>
          <w:p w14:paraId="481439C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(58.0 ± 8.7)</w:t>
            </w:r>
          </w:p>
          <w:p w14:paraId="4AF9F57D" w14:textId="77777777" w:rsidR="008C3AC3" w:rsidRPr="008C3AC3" w:rsidRDefault="008C3AC3" w:rsidP="008C3AC3">
            <w:pPr>
              <w:spacing w:after="0" w:line="276" w:lineRule="auto"/>
              <w:rPr>
                <w:rFonts w:ascii="Arial" w:eastAsia="Calibri" w:hAnsi="Arial" w:cs="Arial"/>
                <w:sz w:val="14"/>
                <w:szCs w:val="14"/>
                <w:lang w:val="id-ID"/>
              </w:rPr>
            </w:pPr>
          </w:p>
        </w:tc>
        <w:tc>
          <w:tcPr>
            <w:tcW w:w="1701" w:type="dxa"/>
            <w:shd w:val="clear" w:color="auto" w:fill="auto"/>
          </w:tcPr>
          <w:p w14:paraId="724BA6F5"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ED within 48 – 72</w:t>
            </w:r>
            <w:r w:rsidRPr="008C3AC3">
              <w:rPr>
                <w:rFonts w:ascii="Arial" w:eastAsia="Calibri" w:hAnsi="Arial" w:cs="Arial"/>
                <w:sz w:val="14"/>
                <w:szCs w:val="14"/>
                <w:lang w:val="en-GB"/>
              </w:rPr>
              <w:t xml:space="preserve"> </w:t>
            </w:r>
            <w:r w:rsidRPr="008C3AC3">
              <w:rPr>
                <w:rFonts w:ascii="Arial" w:eastAsia="Calibri" w:hAnsi="Arial" w:cs="Arial"/>
                <w:sz w:val="14"/>
                <w:szCs w:val="14"/>
                <w:lang w:val="id-ID"/>
              </w:rPr>
              <w:t>h</w:t>
            </w:r>
          </w:p>
          <w:p w14:paraId="5B50EA1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Clinical control at hospital 2 - 4 days after discharge</w:t>
            </w:r>
          </w:p>
          <w:p w14:paraId="4A3102D1" w14:textId="77777777" w:rsidR="008C3AC3" w:rsidRPr="008C3AC3" w:rsidRDefault="008C3AC3" w:rsidP="008C3AC3">
            <w:pPr>
              <w:spacing w:after="0" w:line="276" w:lineRule="auto"/>
              <w:jc w:val="center"/>
              <w:rPr>
                <w:rFonts w:ascii="Arial" w:eastAsia="Calibri" w:hAnsi="Arial" w:cs="Arial"/>
                <w:sz w:val="14"/>
                <w:szCs w:val="14"/>
                <w:lang w:val="en-GB"/>
              </w:rPr>
            </w:pPr>
          </w:p>
        </w:tc>
        <w:tc>
          <w:tcPr>
            <w:tcW w:w="1418" w:type="dxa"/>
            <w:shd w:val="clear" w:color="auto" w:fill="auto"/>
          </w:tcPr>
          <w:p w14:paraId="5545E7F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SD </w:t>
            </w:r>
          </w:p>
          <w:p w14:paraId="75DFBE1F"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 xml:space="preserve">Discharge </w:t>
            </w:r>
            <w:r w:rsidRPr="008C3AC3">
              <w:rPr>
                <w:rFonts w:ascii="Arial" w:eastAsia="Calibri" w:hAnsi="Arial" w:cs="Arial"/>
                <w:sz w:val="14"/>
                <w:szCs w:val="14"/>
                <w:lang w:val="id-ID"/>
              </w:rPr>
              <w:t>after 72 h</w:t>
            </w:r>
          </w:p>
          <w:p w14:paraId="238DA699" w14:textId="77777777" w:rsidR="008C3AC3" w:rsidRPr="008C3AC3" w:rsidRDefault="008C3AC3" w:rsidP="008C3AC3">
            <w:pPr>
              <w:spacing w:after="0" w:line="276" w:lineRule="auto"/>
              <w:rPr>
                <w:rFonts w:ascii="Arial" w:eastAsia="Calibri" w:hAnsi="Arial" w:cs="Arial"/>
                <w:sz w:val="14"/>
                <w:szCs w:val="14"/>
                <w:lang w:val="id-ID"/>
              </w:rPr>
            </w:pPr>
          </w:p>
          <w:p w14:paraId="0C3CEE76" w14:textId="77777777" w:rsidR="008C3AC3" w:rsidRPr="008C3AC3" w:rsidRDefault="008C3AC3" w:rsidP="008C3AC3">
            <w:pPr>
              <w:spacing w:after="0" w:line="276" w:lineRule="auto"/>
              <w:rPr>
                <w:rFonts w:ascii="Arial" w:eastAsia="Calibri" w:hAnsi="Arial" w:cs="Arial"/>
                <w:sz w:val="14"/>
                <w:szCs w:val="14"/>
                <w:lang w:val="id-ID"/>
              </w:rPr>
            </w:pPr>
          </w:p>
        </w:tc>
        <w:tc>
          <w:tcPr>
            <w:tcW w:w="1276" w:type="dxa"/>
            <w:shd w:val="clear" w:color="auto" w:fill="auto"/>
          </w:tcPr>
          <w:p w14:paraId="1894E52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2328038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(5; 6.6%)</w:t>
            </w:r>
          </w:p>
          <w:p w14:paraId="511C1D4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(6; 8%)</w:t>
            </w:r>
          </w:p>
        </w:tc>
        <w:tc>
          <w:tcPr>
            <w:tcW w:w="1275" w:type="dxa"/>
            <w:shd w:val="clear" w:color="auto" w:fill="auto"/>
          </w:tcPr>
          <w:p w14:paraId="3E9BC7F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795432A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(0)</w:t>
            </w:r>
          </w:p>
          <w:p w14:paraId="2E278F7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(0)</w:t>
            </w:r>
          </w:p>
        </w:tc>
        <w:tc>
          <w:tcPr>
            <w:tcW w:w="1438" w:type="dxa"/>
          </w:tcPr>
          <w:p w14:paraId="3EB8035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w:t>
            </w:r>
          </w:p>
          <w:p w14:paraId="3464765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(60.8 ± 8.5)</w:t>
            </w:r>
          </w:p>
          <w:p w14:paraId="0D1CFD1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w:t>
            </w:r>
          </w:p>
          <w:p w14:paraId="2C261D2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(92.1 ± 12.1)</w:t>
            </w:r>
          </w:p>
          <w:p w14:paraId="4D38DA5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hour</w:t>
            </w:r>
          </w:p>
          <w:p w14:paraId="191D743B" w14:textId="77777777" w:rsidR="008C3AC3" w:rsidRPr="008C3AC3" w:rsidRDefault="008C3AC3" w:rsidP="008C3AC3">
            <w:pPr>
              <w:spacing w:after="0" w:line="276" w:lineRule="auto"/>
              <w:jc w:val="center"/>
              <w:rPr>
                <w:rFonts w:ascii="Arial" w:eastAsia="Calibri" w:hAnsi="Arial" w:cs="Arial"/>
                <w:sz w:val="14"/>
                <w:szCs w:val="14"/>
                <w:lang w:val="en-GB"/>
              </w:rPr>
            </w:pPr>
          </w:p>
        </w:tc>
        <w:tc>
          <w:tcPr>
            <w:tcW w:w="946" w:type="dxa"/>
            <w:shd w:val="clear" w:color="auto" w:fill="auto"/>
          </w:tcPr>
          <w:p w14:paraId="1A00C47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92%</w:t>
            </w:r>
          </w:p>
        </w:tc>
      </w:tr>
      <w:tr w:rsidR="008C3AC3" w:rsidRPr="008C3AC3" w14:paraId="2058BEE5" w14:textId="77777777" w:rsidTr="00E66782">
        <w:trPr>
          <w:trHeight w:val="234"/>
          <w:jc w:val="center"/>
        </w:trPr>
        <w:tc>
          <w:tcPr>
            <w:tcW w:w="1372" w:type="dxa"/>
            <w:shd w:val="clear" w:color="auto" w:fill="auto"/>
          </w:tcPr>
          <w:p w14:paraId="5D8E0753" w14:textId="77777777" w:rsidR="008C3AC3" w:rsidRPr="008C3AC3" w:rsidRDefault="008C3AC3" w:rsidP="008C3AC3">
            <w:pPr>
              <w:spacing w:after="0" w:line="276" w:lineRule="auto"/>
              <w:jc w:val="center"/>
              <w:rPr>
                <w:rFonts w:ascii="Arial" w:eastAsia="Calibri" w:hAnsi="Arial" w:cs="Arial"/>
                <w:sz w:val="14"/>
                <w:szCs w:val="14"/>
                <w:lang w:val="id-ID"/>
              </w:rPr>
            </w:pPr>
            <w:proofErr w:type="spellStart"/>
            <w:r w:rsidRPr="008C3AC3">
              <w:rPr>
                <w:rFonts w:ascii="Arial" w:eastAsia="Calibri" w:hAnsi="Arial" w:cs="Arial"/>
                <w:sz w:val="14"/>
                <w:szCs w:val="14"/>
                <w:lang w:val="en-GB"/>
              </w:rPr>
              <w:t>Satilmisoglu</w:t>
            </w:r>
            <w:proofErr w:type="spellEnd"/>
            <w:r w:rsidRPr="008C3AC3">
              <w:rPr>
                <w:rFonts w:ascii="Arial" w:eastAsia="Calibri" w:hAnsi="Arial" w:cs="Arial"/>
                <w:sz w:val="14"/>
                <w:szCs w:val="14"/>
                <w:lang w:val="en-GB"/>
              </w:rPr>
              <w:t xml:space="preserve"> et al (2016)</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{"citationItems":[{"id":"ITEM-1","itemData":{"DOI":"10.1016/j.amjcard.2016.03.039","ISSN":"18791913","PMID":"27156829","abstract":"In contrast to ST-elevation myocardial infarction treatment, there is no clear definition for when and which patient to discharge. Our study's main goal was to test the hypothesis that an early discharge strategy (within 48 to 56 hours) in patients with successful primary percutaneous coronary intervention (PPCI) is as safe as in patients who stay longer. The Early Discharge after Primary Percutaneous Coronary Intervention trial was designed in a prospective, randomized, multicenter fashion and registered with http://clinicaltrials.gov (NCT01860079). Of 900 patients with ST-elevation myocardial infarction, the study randomized 769 eligible patients to the early or the standard discharge group. The study's primary outcomes were all-cause mortality and readmission at 30 days. We considered assessment of functional status and health-related quality of life to be secondary outcomes. The early discharge group had significantly shorter length of hospital stay compared with the standard discharge group (45.99 ± 9.12 vs 114.87 ± 63.53 hours; p &lt;0.0001). Neither all-cause mortality nor readmissions were different between the 2 study groups (p = 0.684 and p = 0.061, respectively). Quality-of-life measures were not statistically different between the 2 study groups. Our study reveals that discharge within 48 to 56 hours after successful PPCI is feasible, safe, and does not increase the 30-day readmission rate. Moreover, the patients perceived health status at 30 days did not differ with early discharge.","author":[{"dropping-particle":"","family":"Satılmısoglu","given":"Hulusi","non-dropping-particle":"","parse-names":false,"suffix":""},{"dropping-particle":"","family":"Gorgulu","given":"Sevket","non-dropping-particle":"","parse-names":false,"suffix":""},{"dropping-particle":"","family":"Aksu","given":"Hale Unal","non-dropping-particle":"","parse-names":false,"suffix":""},{"dropping-particle":"","family":"Aksu","given":"Huseyin","non-dropping-particle":"","parse-names":false,"suffix":""},{"dropping-particle":"","family":"Ertas","given":"Gokhan","non-dropping-particle":"","parse-names":false,"suffix":""},{"dropping-particle":"","family":"Omer","given":"Tasbulak","non-dropping-particle":"","parse-names":false,"suffix":""},{"dropping-particle":"","family":"Buturak","given":"Ali","non-dropping-particle":"","parse-names":false,"suffix":""},{"dropping-particle":"","family":"Kalkan","given":"Ali Kemal","non-dropping-particle":"","parse-names":false,"suffix":""},{"dropping-particle":"","family":"Degirmencioglu","given":"Aleks","non-dropping-particle":"","parse-names":false,"suffix":""},{"dropping-particle":"","family":"Koroglu","given":"Bayram","non-dropping-particle":"","parse-names":false,"suffix":""},{"dropping-particle":"","family":"Tusun","given":"Eyyup","non-dropping-particle":"","parse-names":false,"suffix":""},{"dropping-particle":"","family":"Murat","given":"Ahmet","non-dropping-particle":"","parse-names":false,"suffix":""},{"dropping-particle":"","family":"Oz","given":"Ahmet","non-dropping-particle":"","parse-names":false,"suffix":""}],"container-title":"American Journal of Cardiology","id":"ITEM-1","issue":"12","issued":{"date-parts":[["2016"]]},"page":"1911-1916","publisher":"Elsevier Ltd","title":"Safety of Early Discharge after Primary Percutaneous Coronary Intervention","type":"article-journal","volume":"117"},"uris":["http://www.mendeley.com/documents/?uuid=d27bfff4-b753-4e70-bf78-5a1610d58de0"]}],"mendeley":{"formattedCitation":"&lt;sup&gt;22&lt;/sup&gt;","plainTextFormattedCitation":"22","previouslyFormattedCitation":"&lt;sup&gt;22&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22</w:t>
            </w:r>
            <w:r w:rsidRPr="008C3AC3">
              <w:rPr>
                <w:rFonts w:ascii="Arial" w:eastAsia="Calibri" w:hAnsi="Arial" w:cs="Arial"/>
                <w:sz w:val="14"/>
                <w:szCs w:val="14"/>
                <w:lang w:val="id-ID"/>
              </w:rPr>
              <w:fldChar w:fldCharType="end"/>
            </w:r>
          </w:p>
          <w:p w14:paraId="2CBBE88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Turkey </w:t>
            </w:r>
          </w:p>
          <w:p w14:paraId="3FD52431"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P</w:t>
            </w:r>
            <w:r w:rsidRPr="008C3AC3">
              <w:rPr>
                <w:rFonts w:ascii="Arial" w:eastAsia="Calibri" w:hAnsi="Arial" w:cs="Arial"/>
                <w:sz w:val="14"/>
                <w:szCs w:val="14"/>
                <w:lang w:val="id-ID"/>
              </w:rPr>
              <w:t>rospective, randomized, multicenter</w:t>
            </w:r>
          </w:p>
        </w:tc>
        <w:tc>
          <w:tcPr>
            <w:tcW w:w="2370" w:type="dxa"/>
            <w:shd w:val="clear" w:color="auto" w:fill="auto"/>
          </w:tcPr>
          <w:p w14:paraId="6EDA43C4"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id-ID"/>
              </w:rPr>
              <w:t xml:space="preserve">TIMI </w:t>
            </w:r>
            <w:r w:rsidRPr="008C3AC3">
              <w:rPr>
                <w:rFonts w:ascii="Arial" w:eastAsia="Calibri" w:hAnsi="Arial" w:cs="Arial"/>
                <w:sz w:val="14"/>
                <w:szCs w:val="14"/>
                <w:lang w:val="en-GB"/>
              </w:rPr>
              <w:t xml:space="preserve">flow </w:t>
            </w:r>
            <w:r w:rsidRPr="008C3AC3">
              <w:rPr>
                <w:rFonts w:ascii="Arial" w:eastAsia="Calibri" w:hAnsi="Arial" w:cs="Arial"/>
                <w:sz w:val="14"/>
                <w:szCs w:val="14"/>
                <w:lang w:val="id-ID"/>
              </w:rPr>
              <w:t>2–3 flow and less than 20% residual stenosis after PPCI</w:t>
            </w:r>
            <w:r w:rsidRPr="008C3AC3">
              <w:rPr>
                <w:rFonts w:ascii="Arial" w:eastAsia="Calibri" w:hAnsi="Arial" w:cs="Arial"/>
                <w:sz w:val="14"/>
                <w:szCs w:val="14"/>
                <w:lang w:val="en-GB"/>
              </w:rPr>
              <w:t xml:space="preserve">, </w:t>
            </w:r>
            <w:r w:rsidRPr="008C3AC3">
              <w:rPr>
                <w:rFonts w:ascii="Arial" w:eastAsia="Calibri" w:hAnsi="Arial" w:cs="Arial"/>
                <w:sz w:val="14"/>
                <w:szCs w:val="14"/>
                <w:lang w:val="id-ID"/>
              </w:rPr>
              <w:t xml:space="preserve"> Killip Class II to IV</w:t>
            </w:r>
            <w:r w:rsidRPr="008C3AC3">
              <w:rPr>
                <w:rFonts w:ascii="Arial" w:eastAsia="Calibri" w:hAnsi="Arial" w:cs="Arial"/>
                <w:sz w:val="14"/>
                <w:szCs w:val="14"/>
                <w:lang w:val="en-GB"/>
              </w:rPr>
              <w:t xml:space="preserve">. Zwolle </w:t>
            </w:r>
            <w:proofErr w:type="gramStart"/>
            <w:r w:rsidRPr="008C3AC3">
              <w:rPr>
                <w:rFonts w:ascii="Arial" w:eastAsia="Calibri" w:hAnsi="Arial" w:cs="Arial"/>
                <w:sz w:val="14"/>
                <w:szCs w:val="14"/>
                <w:lang w:val="en-GB"/>
              </w:rPr>
              <w:t>low-risk</w:t>
            </w:r>
            <w:proofErr w:type="gramEnd"/>
            <w:r w:rsidRPr="008C3AC3">
              <w:rPr>
                <w:rFonts w:ascii="Arial" w:eastAsia="Calibri" w:hAnsi="Arial" w:cs="Arial"/>
                <w:sz w:val="14"/>
                <w:szCs w:val="14"/>
                <w:lang w:val="en-GB"/>
              </w:rPr>
              <w:t xml:space="preserve"> &lt;2.</w:t>
            </w:r>
          </w:p>
          <w:p w14:paraId="4666997C" w14:textId="77777777" w:rsidR="008C3AC3" w:rsidRPr="008C3AC3" w:rsidRDefault="008C3AC3" w:rsidP="008C3AC3">
            <w:pPr>
              <w:spacing w:after="0" w:line="276" w:lineRule="auto"/>
              <w:jc w:val="both"/>
              <w:rPr>
                <w:rFonts w:ascii="Arial" w:eastAsia="Calibri" w:hAnsi="Arial" w:cs="Arial"/>
                <w:sz w:val="14"/>
                <w:szCs w:val="14"/>
                <w:lang w:val="en-GB"/>
              </w:rPr>
            </w:pPr>
          </w:p>
          <w:p w14:paraId="691AF77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tc>
        <w:tc>
          <w:tcPr>
            <w:tcW w:w="1418" w:type="dxa"/>
            <w:shd w:val="clear" w:color="auto" w:fill="auto"/>
          </w:tcPr>
          <w:p w14:paraId="4A93C29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733 patients</w:t>
            </w:r>
          </w:p>
          <w:p w14:paraId="219D874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(n=370)</w:t>
            </w:r>
          </w:p>
          <w:p w14:paraId="335AA56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(n=363)</w:t>
            </w:r>
          </w:p>
          <w:p w14:paraId="378728C5" w14:textId="77777777" w:rsidR="008C3AC3" w:rsidRPr="008C3AC3" w:rsidRDefault="008C3AC3" w:rsidP="008C3AC3">
            <w:pPr>
              <w:spacing w:after="0" w:line="276" w:lineRule="auto"/>
              <w:rPr>
                <w:rFonts w:ascii="Arial" w:eastAsia="Calibri" w:hAnsi="Arial" w:cs="Arial"/>
                <w:sz w:val="14"/>
                <w:szCs w:val="14"/>
                <w:lang w:val="id-ID"/>
              </w:rPr>
            </w:pPr>
          </w:p>
        </w:tc>
        <w:tc>
          <w:tcPr>
            <w:tcW w:w="1275" w:type="dxa"/>
            <w:shd w:val="clear" w:color="auto" w:fill="auto"/>
          </w:tcPr>
          <w:p w14:paraId="5733DFB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(54.55±10.2)</w:t>
            </w:r>
          </w:p>
          <w:p w14:paraId="7C193FC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(54.63±11.8)</w:t>
            </w:r>
          </w:p>
          <w:p w14:paraId="6FB06ACA" w14:textId="77777777" w:rsidR="008C3AC3" w:rsidRPr="008C3AC3" w:rsidRDefault="008C3AC3" w:rsidP="008C3AC3">
            <w:pPr>
              <w:spacing w:after="0" w:line="276" w:lineRule="auto"/>
              <w:rPr>
                <w:rFonts w:ascii="Arial" w:eastAsia="Calibri" w:hAnsi="Arial" w:cs="Arial"/>
                <w:sz w:val="14"/>
                <w:szCs w:val="14"/>
                <w:lang w:val="en-GB"/>
              </w:rPr>
            </w:pPr>
          </w:p>
        </w:tc>
        <w:tc>
          <w:tcPr>
            <w:tcW w:w="1701" w:type="dxa"/>
            <w:shd w:val="clear" w:color="auto" w:fill="auto"/>
          </w:tcPr>
          <w:p w14:paraId="5DFDBBE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w:t>
            </w:r>
            <w:r w:rsidRPr="008C3AC3">
              <w:rPr>
                <w:rFonts w:ascii="Arial" w:eastAsia="Calibri" w:hAnsi="Arial" w:cs="Arial"/>
                <w:sz w:val="14"/>
                <w:szCs w:val="14"/>
                <w:lang w:val="id-ID"/>
              </w:rPr>
              <w:t xml:space="preserve"> within 48–56 </w:t>
            </w:r>
            <w:r w:rsidRPr="008C3AC3">
              <w:rPr>
                <w:rFonts w:ascii="Arial" w:eastAsia="Calibri" w:hAnsi="Arial" w:cs="Arial"/>
                <w:sz w:val="14"/>
                <w:szCs w:val="14"/>
                <w:lang w:val="en-GB"/>
              </w:rPr>
              <w:t>h.</w:t>
            </w:r>
          </w:p>
          <w:p w14:paraId="6A1E2B6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 at days 1, 7, and 20 by telephone</w:t>
            </w:r>
          </w:p>
        </w:tc>
        <w:tc>
          <w:tcPr>
            <w:tcW w:w="1418" w:type="dxa"/>
            <w:shd w:val="clear" w:color="auto" w:fill="auto"/>
          </w:tcPr>
          <w:p w14:paraId="2274589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w:t>
            </w:r>
          </w:p>
          <w:p w14:paraId="6476DBC9"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L</w:t>
            </w:r>
            <w:r w:rsidRPr="008C3AC3">
              <w:rPr>
                <w:rFonts w:ascii="Arial" w:eastAsia="Calibri" w:hAnsi="Arial" w:cs="Arial"/>
                <w:sz w:val="14"/>
                <w:szCs w:val="14"/>
                <w:lang w:val="id-ID"/>
              </w:rPr>
              <w:t>eft to doctors and nurses</w:t>
            </w:r>
          </w:p>
        </w:tc>
        <w:tc>
          <w:tcPr>
            <w:tcW w:w="1276" w:type="dxa"/>
            <w:shd w:val="clear" w:color="auto" w:fill="auto"/>
          </w:tcPr>
          <w:p w14:paraId="3EDAACC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6623F4D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(14; 3.8%)</w:t>
            </w:r>
          </w:p>
          <w:p w14:paraId="0C7490B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(25; 6.9%)</w:t>
            </w:r>
          </w:p>
          <w:p w14:paraId="6EE036DC" w14:textId="77777777" w:rsidR="008C3AC3" w:rsidRPr="008C3AC3" w:rsidRDefault="008C3AC3" w:rsidP="008C3AC3">
            <w:pPr>
              <w:spacing w:after="0" w:line="276" w:lineRule="auto"/>
              <w:jc w:val="center"/>
              <w:rPr>
                <w:rFonts w:ascii="Arial" w:eastAsia="Calibri" w:hAnsi="Arial" w:cs="Arial"/>
                <w:sz w:val="14"/>
                <w:szCs w:val="14"/>
                <w:lang w:val="id-ID"/>
              </w:rPr>
            </w:pPr>
          </w:p>
        </w:tc>
        <w:tc>
          <w:tcPr>
            <w:tcW w:w="1275" w:type="dxa"/>
            <w:shd w:val="clear" w:color="auto" w:fill="auto"/>
          </w:tcPr>
          <w:p w14:paraId="2AA57E3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29E8248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(2; 0.6%)</w:t>
            </w:r>
          </w:p>
          <w:p w14:paraId="49CF18E1"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SD (3; 0.8%)</w:t>
            </w:r>
          </w:p>
        </w:tc>
        <w:tc>
          <w:tcPr>
            <w:tcW w:w="1438" w:type="dxa"/>
            <w:shd w:val="clear" w:color="auto" w:fill="auto"/>
          </w:tcPr>
          <w:p w14:paraId="28FA398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ED </w:t>
            </w:r>
          </w:p>
          <w:p w14:paraId="227E601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(45.99 ± 9.12)</w:t>
            </w:r>
          </w:p>
          <w:p w14:paraId="653A117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SD </w:t>
            </w:r>
          </w:p>
          <w:p w14:paraId="7FBD401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(114.87 ± 63.53)</w:t>
            </w:r>
          </w:p>
          <w:p w14:paraId="1A50E39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hour</w:t>
            </w:r>
          </w:p>
          <w:p w14:paraId="2C36D51E" w14:textId="77777777" w:rsidR="008C3AC3" w:rsidRPr="008C3AC3" w:rsidRDefault="008C3AC3" w:rsidP="008C3AC3">
            <w:pPr>
              <w:spacing w:after="0" w:line="276" w:lineRule="auto"/>
              <w:jc w:val="center"/>
              <w:rPr>
                <w:rFonts w:ascii="Arial" w:eastAsia="Calibri" w:hAnsi="Arial" w:cs="Arial"/>
                <w:sz w:val="14"/>
                <w:szCs w:val="14"/>
                <w:lang w:val="en-GB"/>
              </w:rPr>
            </w:pPr>
          </w:p>
        </w:tc>
        <w:tc>
          <w:tcPr>
            <w:tcW w:w="946" w:type="dxa"/>
            <w:shd w:val="clear" w:color="auto" w:fill="auto"/>
          </w:tcPr>
          <w:p w14:paraId="4E9AB68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92%</w:t>
            </w:r>
          </w:p>
        </w:tc>
      </w:tr>
      <w:tr w:rsidR="008C3AC3" w:rsidRPr="008C3AC3" w14:paraId="442E8676" w14:textId="77777777" w:rsidTr="00E66782">
        <w:trPr>
          <w:trHeight w:val="234"/>
          <w:jc w:val="center"/>
        </w:trPr>
        <w:tc>
          <w:tcPr>
            <w:tcW w:w="1372" w:type="dxa"/>
            <w:shd w:val="clear" w:color="auto" w:fill="auto"/>
          </w:tcPr>
          <w:p w14:paraId="07A021F9" w14:textId="77777777" w:rsidR="008C3AC3" w:rsidRPr="008C3AC3" w:rsidRDefault="008C3AC3" w:rsidP="008C3AC3">
            <w:pPr>
              <w:spacing w:after="0" w:line="276" w:lineRule="auto"/>
              <w:jc w:val="center"/>
              <w:rPr>
                <w:rFonts w:ascii="Arial" w:eastAsia="Calibri" w:hAnsi="Arial" w:cs="Arial"/>
                <w:sz w:val="14"/>
                <w:szCs w:val="14"/>
                <w:lang w:val="id-ID"/>
              </w:rPr>
            </w:pPr>
            <w:proofErr w:type="spellStart"/>
            <w:r w:rsidRPr="008C3AC3">
              <w:rPr>
                <w:rFonts w:ascii="Arial" w:eastAsia="Calibri" w:hAnsi="Arial" w:cs="Arial"/>
                <w:sz w:val="14"/>
                <w:szCs w:val="14"/>
                <w:lang w:val="en-GB"/>
              </w:rPr>
              <w:t>Jirmar</w:t>
            </w:r>
            <w:proofErr w:type="spellEnd"/>
            <w:r w:rsidRPr="008C3AC3">
              <w:rPr>
                <w:rFonts w:ascii="Arial" w:eastAsia="Calibri" w:hAnsi="Arial" w:cs="Arial"/>
                <w:sz w:val="14"/>
                <w:szCs w:val="14"/>
                <w:lang w:val="en-GB"/>
              </w:rPr>
              <w:t xml:space="preserve"> et al (2008)</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{"citationItems":[{"id":"ITEM-1","itemData":{"DOI":"10.1536/ihj.49.653","ISSN":"13492365","PMID":"19075481","abstract":"This study tested the feasibility and safety of next day hospital discharge after successful primary PCI for uncomplicated STEMI. Twenty-three p-PCI patients (out of 271 consecutive patients) who fulfilled the study inclusion criteria were enrolled in the pilot nonrandomized phase (transfer of patients from the coronary unit to a standard ward within 24 hours after their admission) of the study. The randomized phase of the study screened a total of 1946 consecutive STEMI patients undergoing p-PCI in the two participating centers. Only 56 (ie, 2.9% from all p-PCI) very low risk patients residing less than 20 km from the PCI center were selected. They were randomized 1:2 to either a standard hospital stay (group A, n = 19, age, 58 ± 8) or first day discharge (group B, n = 37, age, 56 ± 10; NS). There were no serious complications among 79 study patients within 30 days. The duration of hospital stay was 105 ± 45 hours (group A) and 29 ± 3 hours (P &lt; 0.0001) in group B. Ejection fraction after 30 days was 56.8 ± 6.5% in group A versus 57.3 ± 7% in group B (NS). A patient comfort questionnaire showed a clear preference of first day discharge in all patients randomized into group B. The results indicate that next day discharge after successful p-PCI is feasible and safe in selected uncomplicated STEMI patients.","author":[{"dropping-particle":"","family":"Jirmas","given":"Radovan","non-dropping-particle":"","parse-names":false,"suffix":""},{"dropping-particle":"","family":"Widimsky","given":"Petr","non-dropping-particle":"","parse-names":false,"suffix":""},{"dropping-particle":"","family":"Capek","given":"Jan","non-dropping-particle":"","parse-names":false,"suffix":""},{"dropping-particle":"","family":"Hlinomaz","given":"Ota","non-dropping-particle":"","parse-names":false,"suffix":""},{"dropping-particle":"","family":"Groch","given":"Ladislav","non-dropping-particle":"","parse-names":false,"suffix":""}],"container-title":"International Heart Journal","id":"ITEM-1","issue":"6","issued":{"date-parts":[["2008"]]},"page":"653-659","title":"Next day discharge after successful primary angioplasty for acute ST elevation myocardial infarction","type":"article-journal","volume":"49"},"uris":["http://www.mendeley.com/documents/?uuid=43ed5d07-b15e-4290-8dc6-2f80a494aa54"]}],"mendeley":{"formattedCitation":"&lt;sup&gt;20&lt;/sup&gt;","plainTextFormattedCitation":"20","previouslyFormattedCitation":"&lt;sup&gt;20&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20</w:t>
            </w:r>
            <w:r w:rsidRPr="008C3AC3">
              <w:rPr>
                <w:rFonts w:ascii="Arial" w:eastAsia="Calibri" w:hAnsi="Arial" w:cs="Arial"/>
                <w:sz w:val="14"/>
                <w:szCs w:val="14"/>
                <w:lang w:val="id-ID"/>
              </w:rPr>
              <w:fldChar w:fldCharType="end"/>
            </w:r>
          </w:p>
          <w:p w14:paraId="25440B93"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Czech Republic</w:t>
            </w:r>
          </w:p>
          <w:p w14:paraId="3E7CD022"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Open Randomized Study</w:t>
            </w:r>
          </w:p>
        </w:tc>
        <w:tc>
          <w:tcPr>
            <w:tcW w:w="2370" w:type="dxa"/>
            <w:shd w:val="clear" w:color="auto" w:fill="auto"/>
          </w:tcPr>
          <w:p w14:paraId="55497800"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id-ID"/>
              </w:rPr>
              <w:t>TIMI-3 flow and &lt;20% residual stenosis</w:t>
            </w:r>
            <w:r w:rsidRPr="008C3AC3">
              <w:rPr>
                <w:rFonts w:ascii="Arial" w:eastAsia="Calibri" w:hAnsi="Arial" w:cs="Arial"/>
                <w:sz w:val="14"/>
                <w:szCs w:val="14"/>
                <w:lang w:val="en-GB"/>
              </w:rPr>
              <w:t>, Single-vessel disease, LVEF &gt; 40%, Age &lt; 75 years.</w:t>
            </w:r>
          </w:p>
          <w:p w14:paraId="7E8D750F" w14:textId="77777777" w:rsidR="008C3AC3" w:rsidRPr="008C3AC3" w:rsidRDefault="008C3AC3" w:rsidP="008C3AC3">
            <w:pPr>
              <w:spacing w:after="0" w:line="276" w:lineRule="auto"/>
              <w:jc w:val="both"/>
              <w:rPr>
                <w:rFonts w:ascii="Arial" w:eastAsia="Calibri" w:hAnsi="Arial" w:cs="Arial"/>
                <w:sz w:val="14"/>
                <w:szCs w:val="14"/>
                <w:lang w:val="en-GB"/>
              </w:rPr>
            </w:pPr>
          </w:p>
          <w:p w14:paraId="13D0B13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tc>
        <w:tc>
          <w:tcPr>
            <w:tcW w:w="1418" w:type="dxa"/>
            <w:shd w:val="clear" w:color="auto" w:fill="auto"/>
          </w:tcPr>
          <w:p w14:paraId="482B730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56 Patients</w:t>
            </w:r>
          </w:p>
          <w:p w14:paraId="45E9C56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(n=37)</w:t>
            </w:r>
          </w:p>
          <w:p w14:paraId="344656F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(n=19)</w:t>
            </w:r>
          </w:p>
          <w:p w14:paraId="0983CA3B" w14:textId="77777777" w:rsidR="008C3AC3" w:rsidRPr="008C3AC3" w:rsidRDefault="008C3AC3" w:rsidP="008C3AC3">
            <w:pPr>
              <w:spacing w:after="0" w:line="276" w:lineRule="auto"/>
              <w:rPr>
                <w:rFonts w:ascii="Arial" w:eastAsia="Calibri" w:hAnsi="Arial" w:cs="Arial"/>
                <w:sz w:val="14"/>
                <w:szCs w:val="14"/>
                <w:lang w:val="id-ID"/>
              </w:rPr>
            </w:pPr>
          </w:p>
        </w:tc>
        <w:tc>
          <w:tcPr>
            <w:tcW w:w="1275" w:type="dxa"/>
            <w:shd w:val="clear" w:color="auto" w:fill="auto"/>
          </w:tcPr>
          <w:p w14:paraId="1FF1F44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(56 ± 10)</w:t>
            </w:r>
          </w:p>
          <w:p w14:paraId="20342BA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(58 ± 8)</w:t>
            </w:r>
          </w:p>
          <w:p w14:paraId="0C7B1E1B" w14:textId="77777777" w:rsidR="008C3AC3" w:rsidRPr="008C3AC3" w:rsidRDefault="008C3AC3" w:rsidP="008C3AC3">
            <w:pPr>
              <w:spacing w:after="0" w:line="276" w:lineRule="auto"/>
              <w:rPr>
                <w:rFonts w:ascii="Arial" w:eastAsia="Calibri" w:hAnsi="Arial" w:cs="Arial"/>
                <w:sz w:val="14"/>
                <w:szCs w:val="14"/>
                <w:lang w:val="id-ID"/>
              </w:rPr>
            </w:pPr>
          </w:p>
        </w:tc>
        <w:tc>
          <w:tcPr>
            <w:tcW w:w="1701" w:type="dxa"/>
            <w:shd w:val="clear" w:color="auto" w:fill="auto"/>
          </w:tcPr>
          <w:p w14:paraId="6A3E980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ED within 24-30 h </w:t>
            </w:r>
          </w:p>
          <w:p w14:paraId="7E5AEA1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Given health </w:t>
            </w:r>
            <w:proofErr w:type="gramStart"/>
            <w:r w:rsidRPr="008C3AC3">
              <w:rPr>
                <w:rFonts w:ascii="Arial" w:eastAsia="Calibri" w:hAnsi="Arial" w:cs="Arial"/>
                <w:sz w:val="14"/>
                <w:szCs w:val="14"/>
                <w:lang w:val="en-GB"/>
              </w:rPr>
              <w:t>education</w:t>
            </w:r>
            <w:proofErr w:type="gramEnd"/>
            <w:r w:rsidRPr="008C3AC3">
              <w:rPr>
                <w:rFonts w:ascii="Arial" w:eastAsia="Calibri" w:hAnsi="Arial" w:cs="Arial"/>
                <w:sz w:val="14"/>
                <w:szCs w:val="14"/>
                <w:lang w:val="en-GB"/>
              </w:rPr>
              <w:t xml:space="preserve"> </w:t>
            </w:r>
          </w:p>
          <w:p w14:paraId="00D3018C" w14:textId="77777777" w:rsidR="008C3AC3" w:rsidRPr="008C3AC3" w:rsidRDefault="008C3AC3" w:rsidP="008C3AC3">
            <w:pPr>
              <w:spacing w:after="0" w:line="276" w:lineRule="auto"/>
              <w:jc w:val="center"/>
              <w:rPr>
                <w:rFonts w:ascii="Arial" w:eastAsia="Calibri" w:hAnsi="Arial" w:cs="Arial"/>
                <w:sz w:val="14"/>
                <w:szCs w:val="14"/>
                <w:lang w:val="en-GB"/>
              </w:rPr>
            </w:pPr>
          </w:p>
          <w:p w14:paraId="39EF0A2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FU by phone on day 2, while on day 3 a physician visited the patient at home (group B) and on days 7 and 30 the patients visited the PCI </w:t>
            </w:r>
            <w:proofErr w:type="spellStart"/>
            <w:r w:rsidRPr="008C3AC3">
              <w:rPr>
                <w:rFonts w:ascii="Arial" w:eastAsia="Calibri" w:hAnsi="Arial" w:cs="Arial"/>
                <w:sz w:val="14"/>
                <w:szCs w:val="14"/>
                <w:lang w:val="en-GB"/>
              </w:rPr>
              <w:t>center</w:t>
            </w:r>
            <w:proofErr w:type="spellEnd"/>
            <w:r w:rsidRPr="008C3AC3">
              <w:rPr>
                <w:rFonts w:ascii="Arial" w:eastAsia="Calibri" w:hAnsi="Arial" w:cs="Arial"/>
                <w:sz w:val="14"/>
                <w:szCs w:val="14"/>
                <w:lang w:val="en-GB"/>
              </w:rPr>
              <w:t>.</w:t>
            </w:r>
          </w:p>
        </w:tc>
        <w:tc>
          <w:tcPr>
            <w:tcW w:w="1418" w:type="dxa"/>
            <w:shd w:val="clear" w:color="auto" w:fill="auto"/>
          </w:tcPr>
          <w:p w14:paraId="2264B5FD"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SD</w:t>
            </w:r>
          </w:p>
          <w:p w14:paraId="0CA65E9D" w14:textId="77777777" w:rsidR="008C3AC3" w:rsidRPr="008C3AC3" w:rsidRDefault="008C3AC3" w:rsidP="008C3AC3">
            <w:pPr>
              <w:spacing w:after="0" w:line="276" w:lineRule="auto"/>
              <w:jc w:val="center"/>
              <w:rPr>
                <w:rFonts w:ascii="Arial" w:eastAsia="Calibri" w:hAnsi="Arial" w:cs="Arial"/>
                <w:sz w:val="14"/>
                <w:szCs w:val="14"/>
                <w:lang w:val="id-ID"/>
              </w:rPr>
            </w:pPr>
          </w:p>
        </w:tc>
        <w:tc>
          <w:tcPr>
            <w:tcW w:w="1276" w:type="dxa"/>
            <w:shd w:val="clear" w:color="auto" w:fill="auto"/>
          </w:tcPr>
          <w:p w14:paraId="65886D3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3DD3FD4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(1)</w:t>
            </w:r>
          </w:p>
          <w:p w14:paraId="08A85C25"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SD (0)</w:t>
            </w:r>
          </w:p>
        </w:tc>
        <w:tc>
          <w:tcPr>
            <w:tcW w:w="1275" w:type="dxa"/>
            <w:shd w:val="clear" w:color="auto" w:fill="auto"/>
          </w:tcPr>
          <w:p w14:paraId="3DE3B8A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642ED36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(0)</w:t>
            </w:r>
          </w:p>
          <w:p w14:paraId="736FF060"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SD (0)</w:t>
            </w:r>
          </w:p>
        </w:tc>
        <w:tc>
          <w:tcPr>
            <w:tcW w:w="1438" w:type="dxa"/>
          </w:tcPr>
          <w:p w14:paraId="28657F4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(29 ± 3)</w:t>
            </w:r>
          </w:p>
          <w:p w14:paraId="58D15A2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(105 ± 45)</w:t>
            </w:r>
          </w:p>
          <w:p w14:paraId="727C784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hour</w:t>
            </w:r>
          </w:p>
          <w:p w14:paraId="2C206F5A" w14:textId="77777777" w:rsidR="008C3AC3" w:rsidRPr="008C3AC3" w:rsidRDefault="008C3AC3" w:rsidP="008C3AC3">
            <w:pPr>
              <w:spacing w:after="0" w:line="276" w:lineRule="auto"/>
              <w:jc w:val="center"/>
              <w:rPr>
                <w:rFonts w:ascii="Arial" w:eastAsia="Calibri" w:hAnsi="Arial" w:cs="Arial"/>
                <w:sz w:val="14"/>
                <w:szCs w:val="14"/>
                <w:lang w:val="en-GB"/>
              </w:rPr>
            </w:pPr>
          </w:p>
        </w:tc>
        <w:tc>
          <w:tcPr>
            <w:tcW w:w="946" w:type="dxa"/>
            <w:shd w:val="clear" w:color="auto" w:fill="auto"/>
          </w:tcPr>
          <w:p w14:paraId="735CA4E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85%</w:t>
            </w:r>
          </w:p>
        </w:tc>
      </w:tr>
      <w:tr w:rsidR="008C3AC3" w:rsidRPr="008C3AC3" w14:paraId="0D820693" w14:textId="77777777" w:rsidTr="00E66782">
        <w:trPr>
          <w:trHeight w:val="234"/>
          <w:jc w:val="center"/>
        </w:trPr>
        <w:tc>
          <w:tcPr>
            <w:tcW w:w="1372" w:type="dxa"/>
            <w:shd w:val="clear" w:color="auto" w:fill="auto"/>
          </w:tcPr>
          <w:p w14:paraId="47E92938" w14:textId="77777777" w:rsidR="008C3AC3" w:rsidRPr="008C3AC3" w:rsidRDefault="008C3AC3" w:rsidP="008C3AC3">
            <w:pPr>
              <w:spacing w:after="0" w:line="276" w:lineRule="auto"/>
              <w:jc w:val="center"/>
              <w:rPr>
                <w:rFonts w:ascii="Arial" w:eastAsia="Calibri" w:hAnsi="Arial" w:cs="Arial"/>
                <w:sz w:val="14"/>
                <w:szCs w:val="14"/>
                <w:lang w:val="id-ID"/>
              </w:rPr>
            </w:pPr>
            <w:proofErr w:type="spellStart"/>
            <w:r w:rsidRPr="008C3AC3">
              <w:rPr>
                <w:rFonts w:ascii="Arial" w:eastAsia="Calibri" w:hAnsi="Arial" w:cs="Arial"/>
                <w:sz w:val="14"/>
                <w:szCs w:val="14"/>
                <w:lang w:val="en-GB"/>
              </w:rPr>
              <w:t>Azzalini</w:t>
            </w:r>
            <w:proofErr w:type="spellEnd"/>
            <w:r w:rsidRPr="008C3AC3">
              <w:rPr>
                <w:rFonts w:ascii="Arial" w:eastAsia="Calibri" w:hAnsi="Arial" w:cs="Arial"/>
                <w:sz w:val="14"/>
                <w:szCs w:val="14"/>
                <w:lang w:val="en-GB"/>
              </w:rPr>
              <w:t xml:space="preserve"> et al (2015)</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{"citationItems":[{"id":"ITEM-1","itemData":{"DOI":"10.1159/000368890","ISSN":"14219751","PMID":"25612789","abstract":"Objectives: This pilot trial evaluated the feasibility and safety of an early discharge strategy (EDS: ≤72 h, followed by outpatient lifestyle interventions), in comparison with a conventional discharge strategy (CDS) for low-risk (Zwolle risk score ≤3) ST-elevation myocardial infarction (STEMI) patients treated with primary angioplasty. Methods: One hundred patients were randomized to an EDS (n = 54) or a CDS (n = 46). The primary end point was the feasibility of the EDS: (1) ≥70% of EDS patients discharged ≤72 h, (2) ≥70% visited by a nurse ≤7 days after discharge, (3) ≥70% with ≥3 visits by the nurse and (4) ≥70% visited by a cardiologist ≤3 months. Results: The mean age was 59.2 ± 12.2 years and ejection fraction 54.0 ± 7.1%. Eighty-six percent were male (12% diabetics). Vascular access was radial in 91%. Ischemic time was ≤4 h in 75%. Length of stay was shorter in EDS as compared with CDS (70.1 ± 8.1 vs. 111.8 ± 28.3 h, p &lt; 0.001). EDS feasibility was: (1) 72.2%; (2) 81.5%; (3) 76.9%; (4) 72.2%. There were no adverse events or differences in intervention goals and quality of life between groups. Conclusions: An EDS in low-risk STEMI patients is feasible and seems to be safe. A shorter hospital stay could benefit patients and health care systems. © 2015 S. Karger AG, Basel.","author":[{"dropping-particle":"","family":"Azzalini","given":"Lorenzo","non-dropping-particle":"","parse-names":false,"suffix":""},{"dropping-particle":"","family":"Solé","given":"Eduard","non-dropping-particle":"","parse-names":false,"suffix":""},{"dropping-particle":"","family":"Sans","given":"Jordi","non-dropping-particle":"","parse-names":false,"suffix":""},{"dropping-particle":"","family":"Vila","given":"Montserrat","non-dropping-particle":"","parse-names":false,"suffix":""},{"dropping-particle":"","family":"Durán","given":"Albert","non-dropping-particle":"","parse-names":false,"suffix":""},{"dropping-particle":"","family":"Gil-Alonso","given":"Dolores","non-dropping-particle":"","parse-names":false,"suffix":""},{"dropping-particle":"","family":"B","given":"Miquel Santaló","non-dropping-particle":"","parse-names":false,"suffix":""},{"dropping-particle":"","family":"Garcia-Moll","given":"Xavier","non-dropping-particle":"","parse-names":false,"suffix":""},{"dropping-particle":"","family":"Sionis","given":"Alessandro","non-dropping-particle":"","parse-names":false,"suffix":""}],"container-title":"Cardiology (Switzerland)","id":"ITEM-1","issue":"2","issued":{"date-parts":[["2015"]]},"page":"120-129","publisher-place":"Cardiology Department, Hospital de la Santa Creu i Sant Pau, C/Sant Antoni Maria Claret, 167, Barcelona, ES-08025, Spain","title":"Feasibility and safety of an early discharge strategy after low-risk acute myocardial infarction treated with primary percutaneous coronary intervention: The EDAMI pilot trial","type":"article-journal","volume":"130"},"uris":["http://www.mendeley.com/documents/?uuid=e995e8e3-02ac-4ee1-bf6b-8833c5e66141"]}],"mendeley":{"formattedCitation":"&lt;sup&gt;27&lt;/sup&gt;","plainTextFormattedCitation":"27","previouslyFormattedCitation":"&lt;sup&gt;27&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27</w:t>
            </w:r>
            <w:r w:rsidRPr="008C3AC3">
              <w:rPr>
                <w:rFonts w:ascii="Arial" w:eastAsia="Calibri" w:hAnsi="Arial" w:cs="Arial"/>
                <w:sz w:val="14"/>
                <w:szCs w:val="14"/>
                <w:lang w:val="id-ID"/>
              </w:rPr>
              <w:fldChar w:fldCharType="end"/>
            </w:r>
          </w:p>
          <w:p w14:paraId="56DF26B4" w14:textId="77777777" w:rsidR="008C3AC3" w:rsidRPr="008C3AC3" w:rsidRDefault="008C3AC3" w:rsidP="008C3AC3">
            <w:pPr>
              <w:spacing w:after="0" w:line="276" w:lineRule="auto"/>
              <w:jc w:val="center"/>
              <w:rPr>
                <w:rFonts w:ascii="Arial" w:eastAsia="Calibri" w:hAnsi="Arial" w:cs="Arial"/>
                <w:b/>
                <w:bCs/>
                <w:sz w:val="14"/>
                <w:szCs w:val="14"/>
                <w:lang w:val="en-GB"/>
              </w:rPr>
            </w:pPr>
            <w:r w:rsidRPr="008C3AC3">
              <w:rPr>
                <w:rFonts w:ascii="Arial" w:eastAsia="Calibri" w:hAnsi="Arial" w:cs="Arial"/>
                <w:sz w:val="14"/>
                <w:szCs w:val="14"/>
                <w:lang w:val="en-GB"/>
              </w:rPr>
              <w:t>Spain</w:t>
            </w:r>
          </w:p>
          <w:p w14:paraId="49DCADAB" w14:textId="77777777" w:rsidR="008C3AC3" w:rsidRPr="008C3AC3" w:rsidRDefault="008C3AC3" w:rsidP="008C3AC3">
            <w:pPr>
              <w:spacing w:after="0" w:line="276" w:lineRule="auto"/>
              <w:jc w:val="center"/>
              <w:rPr>
                <w:rFonts w:ascii="Arial" w:eastAsia="Calibri" w:hAnsi="Arial" w:cs="Arial"/>
                <w:sz w:val="14"/>
                <w:szCs w:val="14"/>
                <w:lang w:val="id-ID"/>
              </w:rPr>
            </w:pPr>
            <w:proofErr w:type="gramStart"/>
            <w:r w:rsidRPr="008C3AC3">
              <w:rPr>
                <w:rFonts w:ascii="Arial" w:eastAsia="Calibri" w:hAnsi="Arial" w:cs="Arial"/>
                <w:sz w:val="14"/>
                <w:szCs w:val="14"/>
                <w:lang w:val="en-GB"/>
              </w:rPr>
              <w:lastRenderedPageBreak/>
              <w:t>O</w:t>
            </w:r>
            <w:r w:rsidRPr="008C3AC3">
              <w:rPr>
                <w:rFonts w:ascii="Arial" w:eastAsia="Calibri" w:hAnsi="Arial" w:cs="Arial"/>
                <w:sz w:val="14"/>
                <w:szCs w:val="14"/>
                <w:lang w:val="id-ID"/>
              </w:rPr>
              <w:t>pen-label</w:t>
            </w:r>
            <w:proofErr w:type="gramEnd"/>
            <w:r w:rsidRPr="008C3AC3">
              <w:rPr>
                <w:rFonts w:ascii="Arial" w:eastAsia="Calibri" w:hAnsi="Arial" w:cs="Arial"/>
                <w:sz w:val="14"/>
                <w:szCs w:val="14"/>
                <w:lang w:val="id-ID"/>
              </w:rPr>
              <w:t>, randomized, controlled study</w:t>
            </w:r>
          </w:p>
        </w:tc>
        <w:tc>
          <w:tcPr>
            <w:tcW w:w="2370" w:type="dxa"/>
            <w:shd w:val="clear" w:color="auto" w:fill="auto"/>
          </w:tcPr>
          <w:p w14:paraId="31FF50A3"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id-ID"/>
              </w:rPr>
              <w:lastRenderedPageBreak/>
              <w:t xml:space="preserve">STEMI with symptoms-to-balloon time ≤ 12 h, successful </w:t>
            </w:r>
            <w:r w:rsidRPr="008C3AC3">
              <w:rPr>
                <w:rFonts w:ascii="Arial" w:eastAsia="Calibri" w:hAnsi="Arial" w:cs="Arial"/>
                <w:sz w:val="14"/>
                <w:szCs w:val="14"/>
                <w:lang w:val="en-GB"/>
              </w:rPr>
              <w:t>PPCI</w:t>
            </w:r>
            <w:r w:rsidRPr="008C3AC3">
              <w:rPr>
                <w:rFonts w:ascii="Arial" w:eastAsia="Calibri" w:hAnsi="Arial" w:cs="Arial"/>
                <w:sz w:val="14"/>
                <w:szCs w:val="14"/>
                <w:lang w:val="id-ID"/>
              </w:rPr>
              <w:t xml:space="preserve">, </w:t>
            </w:r>
            <w:r w:rsidRPr="008C3AC3">
              <w:rPr>
                <w:rFonts w:ascii="Arial" w:eastAsia="Calibri" w:hAnsi="Arial" w:cs="Arial"/>
                <w:sz w:val="14"/>
                <w:szCs w:val="14"/>
                <w:lang w:val="en-GB"/>
              </w:rPr>
              <w:t>Zwolle low-risk score</w:t>
            </w:r>
            <w:r w:rsidRPr="008C3AC3">
              <w:rPr>
                <w:rFonts w:ascii="Arial" w:eastAsia="Calibri" w:hAnsi="Arial" w:cs="Arial"/>
                <w:sz w:val="14"/>
                <w:szCs w:val="14"/>
                <w:lang w:val="id-ID"/>
              </w:rPr>
              <w:t xml:space="preserve"> ≤ 3</w:t>
            </w:r>
            <w:r w:rsidRPr="008C3AC3">
              <w:rPr>
                <w:rFonts w:ascii="Arial" w:eastAsia="Calibri" w:hAnsi="Arial" w:cs="Arial"/>
                <w:sz w:val="14"/>
                <w:szCs w:val="14"/>
                <w:lang w:val="en-GB"/>
              </w:rPr>
              <w:t>, LVEF &gt;45%.</w:t>
            </w:r>
          </w:p>
          <w:p w14:paraId="2AC55D0D" w14:textId="77777777" w:rsidR="008C3AC3" w:rsidRPr="008C3AC3" w:rsidRDefault="008C3AC3" w:rsidP="008C3AC3">
            <w:pPr>
              <w:spacing w:after="0" w:line="276" w:lineRule="auto"/>
              <w:jc w:val="both"/>
              <w:rPr>
                <w:rFonts w:ascii="Arial" w:eastAsia="Calibri" w:hAnsi="Arial" w:cs="Arial"/>
                <w:sz w:val="14"/>
                <w:szCs w:val="14"/>
                <w:lang w:val="en-GB"/>
              </w:rPr>
            </w:pPr>
          </w:p>
          <w:p w14:paraId="708F7B6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id-ID"/>
              </w:rPr>
              <w:lastRenderedPageBreak/>
              <w:t>Radial access in ED (91%)</w:t>
            </w:r>
          </w:p>
        </w:tc>
        <w:tc>
          <w:tcPr>
            <w:tcW w:w="1418" w:type="dxa"/>
            <w:shd w:val="clear" w:color="auto" w:fill="auto"/>
          </w:tcPr>
          <w:p w14:paraId="4B7E541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lastRenderedPageBreak/>
              <w:t>100 Patients</w:t>
            </w:r>
          </w:p>
          <w:p w14:paraId="486DEF2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(n=54)</w:t>
            </w:r>
          </w:p>
          <w:p w14:paraId="3C7D308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CDS (n=46)</w:t>
            </w:r>
          </w:p>
          <w:p w14:paraId="29BB2760" w14:textId="77777777" w:rsidR="008C3AC3" w:rsidRPr="008C3AC3" w:rsidRDefault="008C3AC3" w:rsidP="008C3AC3">
            <w:pPr>
              <w:spacing w:after="0" w:line="276" w:lineRule="auto"/>
              <w:jc w:val="center"/>
              <w:rPr>
                <w:rFonts w:ascii="Arial" w:eastAsia="Calibri" w:hAnsi="Arial" w:cs="Arial"/>
                <w:sz w:val="14"/>
                <w:szCs w:val="14"/>
                <w:lang w:val="en-GB"/>
              </w:rPr>
            </w:pPr>
          </w:p>
        </w:tc>
        <w:tc>
          <w:tcPr>
            <w:tcW w:w="1275" w:type="dxa"/>
            <w:shd w:val="clear" w:color="auto" w:fill="auto"/>
          </w:tcPr>
          <w:p w14:paraId="0BE2452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(58 ± 11.9)</w:t>
            </w:r>
          </w:p>
          <w:p w14:paraId="028484C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CDS </w:t>
            </w:r>
          </w:p>
          <w:p w14:paraId="30E666F7"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(60.6 ± 12.5)</w:t>
            </w:r>
          </w:p>
        </w:tc>
        <w:tc>
          <w:tcPr>
            <w:tcW w:w="1701" w:type="dxa"/>
            <w:shd w:val="clear" w:color="auto" w:fill="auto"/>
          </w:tcPr>
          <w:p w14:paraId="1208CCB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ED within </w:t>
            </w:r>
            <w:r w:rsidRPr="008C3AC3">
              <w:rPr>
                <w:rFonts w:ascii="Arial" w:eastAsia="Calibri" w:hAnsi="Arial" w:cs="Arial"/>
                <w:sz w:val="14"/>
                <w:szCs w:val="14"/>
                <w:lang w:val="id-ID"/>
              </w:rPr>
              <w:t>≤72 h,</w:t>
            </w:r>
          </w:p>
          <w:p w14:paraId="76A1DDF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id-ID"/>
              </w:rPr>
              <w:t>Lifestyle modification intervention</w:t>
            </w:r>
            <w:r w:rsidRPr="008C3AC3">
              <w:rPr>
                <w:rFonts w:ascii="Arial" w:eastAsia="Calibri" w:hAnsi="Arial" w:cs="Arial"/>
                <w:sz w:val="14"/>
                <w:szCs w:val="14"/>
                <w:lang w:val="en-GB"/>
              </w:rPr>
              <w:t xml:space="preserve"> by Specialized nurse, FU (≤7 days, ≤6 weeks and </w:t>
            </w:r>
            <w:r w:rsidRPr="008C3AC3">
              <w:rPr>
                <w:rFonts w:ascii="Arial" w:eastAsia="Calibri" w:hAnsi="Arial" w:cs="Arial"/>
                <w:sz w:val="14"/>
                <w:szCs w:val="14"/>
                <w:lang w:val="en-GB"/>
              </w:rPr>
              <w:lastRenderedPageBreak/>
              <w:t>≤12 weeks) Cardiologist: 1 visit (≤12 weeks)</w:t>
            </w:r>
          </w:p>
        </w:tc>
        <w:tc>
          <w:tcPr>
            <w:tcW w:w="1418" w:type="dxa"/>
            <w:shd w:val="clear" w:color="auto" w:fill="auto"/>
          </w:tcPr>
          <w:p w14:paraId="3ACE59D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lastRenderedPageBreak/>
              <w:t>CDS</w:t>
            </w:r>
          </w:p>
          <w:p w14:paraId="1959CE5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According to physician’s criterion, lifestyle </w:t>
            </w:r>
            <w:r w:rsidRPr="008C3AC3">
              <w:rPr>
                <w:rFonts w:ascii="Arial" w:eastAsia="Calibri" w:hAnsi="Arial" w:cs="Arial"/>
                <w:sz w:val="14"/>
                <w:szCs w:val="14"/>
                <w:lang w:val="en-GB"/>
              </w:rPr>
              <w:lastRenderedPageBreak/>
              <w:t>education by general nursing</w:t>
            </w:r>
          </w:p>
        </w:tc>
        <w:tc>
          <w:tcPr>
            <w:tcW w:w="1276" w:type="dxa"/>
            <w:shd w:val="clear" w:color="auto" w:fill="auto"/>
          </w:tcPr>
          <w:p w14:paraId="254DF11E"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lastRenderedPageBreak/>
              <w:t>N/I</w:t>
            </w:r>
          </w:p>
        </w:tc>
        <w:tc>
          <w:tcPr>
            <w:tcW w:w="1275" w:type="dxa"/>
            <w:shd w:val="clear" w:color="auto" w:fill="auto"/>
          </w:tcPr>
          <w:p w14:paraId="3A27DBF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FU-3 months</w:t>
            </w:r>
          </w:p>
          <w:p w14:paraId="262FA62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(0)</w:t>
            </w:r>
          </w:p>
          <w:p w14:paraId="0D05B17C"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CDS (0)</w:t>
            </w:r>
          </w:p>
        </w:tc>
        <w:tc>
          <w:tcPr>
            <w:tcW w:w="1438" w:type="dxa"/>
          </w:tcPr>
          <w:p w14:paraId="2E76A5E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ED </w:t>
            </w:r>
          </w:p>
          <w:p w14:paraId="18C88B0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(70.1±8.1)</w:t>
            </w:r>
          </w:p>
          <w:p w14:paraId="608A772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CDS (111.8±28.3)</w:t>
            </w:r>
          </w:p>
          <w:p w14:paraId="3B0973A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hour</w:t>
            </w:r>
          </w:p>
        </w:tc>
        <w:tc>
          <w:tcPr>
            <w:tcW w:w="946" w:type="dxa"/>
            <w:shd w:val="clear" w:color="auto" w:fill="auto"/>
          </w:tcPr>
          <w:p w14:paraId="74A588E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77%</w:t>
            </w:r>
          </w:p>
        </w:tc>
      </w:tr>
      <w:tr w:rsidR="008C3AC3" w:rsidRPr="008C3AC3" w14:paraId="6B03A637" w14:textId="77777777" w:rsidTr="00E66782">
        <w:trPr>
          <w:trHeight w:val="234"/>
          <w:jc w:val="center"/>
        </w:trPr>
        <w:tc>
          <w:tcPr>
            <w:tcW w:w="1372" w:type="dxa"/>
            <w:shd w:val="clear" w:color="auto" w:fill="auto"/>
          </w:tcPr>
          <w:p w14:paraId="5042E43B"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Grines et al (1998)</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{"citationItems":[{"id":"ITEM-1","itemData":{"DOI":"10.1016/S0735-1097(98)00031-X","ISSN":"07351097","PMID":"9561995","abstract":"Objectives. The second Primary Angioplasty in Myocardial Infarction (PAMI-II) study evaluated the hypothesis that primary percutaneous transluminal coronary angioplasty (PTCA), with subsequent discharge from the hospital 3 days later, is safe and cost-effective in low risk patients. Background. In low risk patients with myocardial infarction (MI), few data exist regarding the need for intensive care and noninvasive testing or the appropriate length of hospital stay. Methods. Patients with acute MI underwent emergency catheterization with primary PTCA when appropriate. Low risk patients (age ≤70 years, left ventricular ejection fraction &gt;45%, one- or two-vessel disease, successful PTCA, no persistent arrhythmias) were randomized to receive accelerated care (admission to a nonintensive care unit and day 3 hospital discharge without noninvasive testing [n = 237] or traditional care [n = 234]). Results. Patients who received accelerated care had similar in-hospital outcomes but were discharged 3 days earlier (4.2 ± 2.3 vs. 7.1 ± 4.7 days, p = 0.0001) and had lower hospital costs ($9,658 ± 5,287 vs. $11,604 ± 6,125 p = 0.002) than the patients who received traditional care. At 6 months, accelerated and traditional care groups had a similar rate of mortality (0.8% vs. 0.4%, p = 1.00), unstable ischemia (10.1% vs. 12.0%, p = 0.52), reinfarction (0.8% vs. 0.4%, p = 1.00), stroke (0.4% vs. 2.6%, p = 0.07), congestive heart failure (4.6% vs. 43%, p = 0.85) or their combined occurrence (15.2% vs. 17.5%, p = 0.49). The study was designed to detect a 10% difference in event rates; at 6 months, only a 2.3% difference was measured between groups, indicating an actual power of 0.19. Conclusions. Early identification of low risk patients with MI allowed safe omission of the intensive care phase and noninvasive testing, and a day 3 hospital discharge strategy, resulting in substantial cost savings.","author":[{"dropping-particle":"","family":"Grines et al","given":"","non-dropping-particle":"","parse-names":false,"suffix":""}],"container-title":"Journal of the American College of Cardiology","id":"ITEM-1","issue":"5","issued":{"date-parts":[["1998"]]},"page":"967-972","title":"Safety and cost-effectiveness of early discharge after primary angioplasty in low risk patients with acute myocardial infarction","type":"article-journal","volume":"31"},"uris":["http://www.mendeley.com/documents/?uuid=e619c546-1a98-4a23-b91c-103214df910d"]}],"mendeley":{"formattedCitation":"&lt;sup&gt;15&lt;/sup&gt;","plainTextFormattedCitation":"15","previouslyFormattedCitation":"&lt;sup&gt;15&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15</w:t>
            </w:r>
            <w:r w:rsidRPr="008C3AC3">
              <w:rPr>
                <w:rFonts w:ascii="Arial" w:eastAsia="Calibri" w:hAnsi="Arial" w:cs="Arial"/>
                <w:sz w:val="14"/>
                <w:szCs w:val="14"/>
                <w:lang w:val="id-ID"/>
              </w:rPr>
              <w:fldChar w:fldCharType="end"/>
            </w:r>
          </w:p>
          <w:p w14:paraId="313A996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Five countries (</w:t>
            </w:r>
            <w:r w:rsidRPr="008C3AC3">
              <w:rPr>
                <w:rFonts w:ascii="Arial" w:hAnsi="Arial" w:cs="Arial"/>
                <w:sz w:val="14"/>
                <w:szCs w:val="14"/>
              </w:rPr>
              <w:t xml:space="preserve">US, Brazil, </w:t>
            </w:r>
            <w:proofErr w:type="spellStart"/>
            <w:r w:rsidRPr="008C3AC3">
              <w:rPr>
                <w:rFonts w:ascii="Arial" w:hAnsi="Arial" w:cs="Arial"/>
                <w:sz w:val="14"/>
                <w:szCs w:val="14"/>
              </w:rPr>
              <w:t>Agentina</w:t>
            </w:r>
            <w:proofErr w:type="spellEnd"/>
            <w:r w:rsidRPr="008C3AC3">
              <w:rPr>
                <w:rFonts w:ascii="Arial" w:hAnsi="Arial" w:cs="Arial"/>
                <w:sz w:val="14"/>
                <w:szCs w:val="14"/>
              </w:rPr>
              <w:t>, Japan, Spain)</w:t>
            </w:r>
          </w:p>
          <w:p w14:paraId="301CDD50" w14:textId="77777777" w:rsidR="008C3AC3" w:rsidRPr="008C3AC3" w:rsidRDefault="008C3AC3" w:rsidP="008C3AC3">
            <w:pPr>
              <w:spacing w:after="0" w:line="276" w:lineRule="auto"/>
              <w:jc w:val="center"/>
              <w:rPr>
                <w:rFonts w:ascii="Arial" w:eastAsia="Calibri" w:hAnsi="Arial" w:cs="Arial"/>
                <w:b/>
                <w:bCs/>
                <w:sz w:val="14"/>
                <w:szCs w:val="14"/>
                <w:lang w:val="en-GB"/>
              </w:rPr>
            </w:pPr>
            <w:r w:rsidRPr="008C3AC3">
              <w:rPr>
                <w:rFonts w:ascii="Arial" w:eastAsia="Calibri" w:hAnsi="Arial" w:cs="Arial"/>
                <w:sz w:val="14"/>
                <w:szCs w:val="14"/>
                <w:lang w:val="en-GB"/>
              </w:rPr>
              <w:t>RCT</w:t>
            </w:r>
          </w:p>
        </w:tc>
        <w:tc>
          <w:tcPr>
            <w:tcW w:w="2370" w:type="dxa"/>
            <w:shd w:val="clear" w:color="auto" w:fill="auto"/>
          </w:tcPr>
          <w:p w14:paraId="5E63236C"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en-GB"/>
              </w:rPr>
              <w:t>A</w:t>
            </w:r>
            <w:r w:rsidRPr="008C3AC3">
              <w:rPr>
                <w:rFonts w:ascii="Arial" w:eastAsia="Calibri" w:hAnsi="Arial" w:cs="Arial"/>
                <w:sz w:val="14"/>
                <w:szCs w:val="14"/>
                <w:lang w:val="id-ID"/>
              </w:rPr>
              <w:t xml:space="preserve">ge ≤70 years, </w:t>
            </w:r>
            <w:r w:rsidRPr="008C3AC3">
              <w:rPr>
                <w:rFonts w:ascii="Arial" w:eastAsia="Calibri" w:hAnsi="Arial" w:cs="Arial"/>
                <w:sz w:val="14"/>
                <w:szCs w:val="14"/>
                <w:lang w:val="en-GB"/>
              </w:rPr>
              <w:t xml:space="preserve">LVEF </w:t>
            </w:r>
            <w:r w:rsidRPr="008C3AC3">
              <w:rPr>
                <w:rFonts w:ascii="Arial" w:eastAsia="Calibri" w:hAnsi="Arial" w:cs="Arial"/>
                <w:sz w:val="14"/>
                <w:szCs w:val="14"/>
                <w:lang w:val="id-ID"/>
              </w:rPr>
              <w:t>&gt;45%, one</w:t>
            </w:r>
            <w:r w:rsidRPr="008C3AC3">
              <w:rPr>
                <w:rFonts w:ascii="Arial" w:eastAsia="Calibri" w:hAnsi="Arial" w:cs="Arial"/>
                <w:sz w:val="14"/>
                <w:szCs w:val="14"/>
                <w:lang w:val="en-GB"/>
              </w:rPr>
              <w:t xml:space="preserve"> </w:t>
            </w:r>
            <w:r w:rsidRPr="008C3AC3">
              <w:rPr>
                <w:rFonts w:ascii="Arial" w:eastAsia="Calibri" w:hAnsi="Arial" w:cs="Arial"/>
                <w:sz w:val="14"/>
                <w:szCs w:val="14"/>
                <w:lang w:val="id-ID"/>
              </w:rPr>
              <w:t>or two</w:t>
            </w:r>
            <w:r w:rsidRPr="008C3AC3">
              <w:rPr>
                <w:rFonts w:ascii="Arial" w:eastAsia="Calibri" w:hAnsi="Arial" w:cs="Arial"/>
                <w:sz w:val="14"/>
                <w:szCs w:val="14"/>
                <w:lang w:val="en-GB"/>
              </w:rPr>
              <w:t xml:space="preserve"> </w:t>
            </w:r>
            <w:r w:rsidRPr="008C3AC3">
              <w:rPr>
                <w:rFonts w:ascii="Arial" w:eastAsia="Calibri" w:hAnsi="Arial" w:cs="Arial"/>
                <w:sz w:val="14"/>
                <w:szCs w:val="14"/>
                <w:lang w:val="id-ID"/>
              </w:rPr>
              <w:t xml:space="preserve">vessel disease, successful PTCA, no persistent arrhythmias, </w:t>
            </w:r>
            <w:r w:rsidRPr="008C3AC3">
              <w:rPr>
                <w:rFonts w:ascii="Arial" w:eastAsia="Calibri" w:hAnsi="Arial" w:cs="Arial"/>
                <w:sz w:val="14"/>
                <w:szCs w:val="14"/>
                <w:lang w:val="en-GB"/>
              </w:rPr>
              <w:t>TIMI flow grade 2 or 3</w:t>
            </w:r>
          </w:p>
          <w:p w14:paraId="1C52CC84" w14:textId="77777777" w:rsidR="008C3AC3" w:rsidRPr="008C3AC3" w:rsidRDefault="008C3AC3" w:rsidP="008C3AC3">
            <w:pPr>
              <w:spacing w:after="0" w:line="276" w:lineRule="auto"/>
              <w:jc w:val="both"/>
              <w:rPr>
                <w:rFonts w:ascii="Arial" w:eastAsia="Calibri" w:hAnsi="Arial" w:cs="Arial"/>
                <w:sz w:val="14"/>
                <w:szCs w:val="14"/>
                <w:lang w:val="en-GB"/>
              </w:rPr>
            </w:pPr>
          </w:p>
          <w:p w14:paraId="2F7C951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tc>
        <w:tc>
          <w:tcPr>
            <w:tcW w:w="1418" w:type="dxa"/>
            <w:shd w:val="clear" w:color="auto" w:fill="auto"/>
          </w:tcPr>
          <w:p w14:paraId="59710CA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471 Patients</w:t>
            </w:r>
          </w:p>
          <w:p w14:paraId="60FED5A1"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AC</w:t>
            </w:r>
            <w:r w:rsidRPr="008C3AC3">
              <w:rPr>
                <w:rFonts w:ascii="Arial" w:eastAsia="Calibri" w:hAnsi="Arial" w:cs="Arial"/>
                <w:sz w:val="14"/>
                <w:szCs w:val="14"/>
                <w:lang w:val="id-ID"/>
              </w:rPr>
              <w:t xml:space="preserve"> (n</w:t>
            </w:r>
            <w:r w:rsidRPr="008C3AC3">
              <w:rPr>
                <w:rFonts w:ascii="Arial" w:eastAsia="Calibri" w:hAnsi="Arial" w:cs="Arial"/>
                <w:sz w:val="14"/>
                <w:szCs w:val="14"/>
                <w:lang w:val="en-GB"/>
              </w:rPr>
              <w:t>=</w:t>
            </w:r>
            <w:r w:rsidRPr="008C3AC3">
              <w:rPr>
                <w:rFonts w:ascii="Arial" w:eastAsia="Calibri" w:hAnsi="Arial" w:cs="Arial"/>
                <w:sz w:val="14"/>
                <w:szCs w:val="14"/>
                <w:lang w:val="id-ID"/>
              </w:rPr>
              <w:t>237)</w:t>
            </w:r>
          </w:p>
          <w:p w14:paraId="2B566A77"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TD</w:t>
            </w:r>
            <w:r w:rsidRPr="008C3AC3">
              <w:rPr>
                <w:rFonts w:ascii="Arial" w:eastAsia="Calibri" w:hAnsi="Arial" w:cs="Arial"/>
                <w:sz w:val="14"/>
                <w:szCs w:val="14"/>
                <w:lang w:val="id-ID"/>
              </w:rPr>
              <w:t xml:space="preserve"> (n</w:t>
            </w:r>
            <w:r w:rsidRPr="008C3AC3">
              <w:rPr>
                <w:rFonts w:ascii="Arial" w:eastAsia="Calibri" w:hAnsi="Arial" w:cs="Arial"/>
                <w:sz w:val="14"/>
                <w:szCs w:val="14"/>
                <w:lang w:val="en-GB"/>
              </w:rPr>
              <w:t>=</w:t>
            </w:r>
            <w:r w:rsidRPr="008C3AC3">
              <w:rPr>
                <w:rFonts w:ascii="Arial" w:eastAsia="Calibri" w:hAnsi="Arial" w:cs="Arial"/>
                <w:sz w:val="14"/>
                <w:szCs w:val="14"/>
                <w:lang w:val="id-ID"/>
              </w:rPr>
              <w:t xml:space="preserve"> 234)</w:t>
            </w:r>
          </w:p>
        </w:tc>
        <w:tc>
          <w:tcPr>
            <w:tcW w:w="1275" w:type="dxa"/>
            <w:shd w:val="clear" w:color="auto" w:fill="auto"/>
          </w:tcPr>
          <w:p w14:paraId="2D3F1D11"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AC</w:t>
            </w:r>
            <w:r w:rsidRPr="008C3AC3">
              <w:rPr>
                <w:rFonts w:ascii="Arial" w:eastAsia="Calibri" w:hAnsi="Arial" w:cs="Arial"/>
                <w:sz w:val="14"/>
                <w:szCs w:val="14"/>
                <w:lang w:val="id-ID"/>
              </w:rPr>
              <w:t xml:space="preserve"> (55</w:t>
            </w:r>
            <w:r w:rsidRPr="008C3AC3">
              <w:rPr>
                <w:rFonts w:ascii="Arial" w:eastAsia="Calibri" w:hAnsi="Arial" w:cs="Arial"/>
                <w:sz w:val="14"/>
                <w:szCs w:val="14"/>
                <w:lang w:val="en-GB"/>
              </w:rPr>
              <w:t xml:space="preserve"> ± </w:t>
            </w:r>
            <w:r w:rsidRPr="008C3AC3">
              <w:rPr>
                <w:rFonts w:ascii="Arial" w:eastAsia="Calibri" w:hAnsi="Arial" w:cs="Arial"/>
                <w:sz w:val="14"/>
                <w:szCs w:val="14"/>
                <w:lang w:val="id-ID"/>
              </w:rPr>
              <w:t>10)</w:t>
            </w:r>
          </w:p>
          <w:p w14:paraId="694AD3BD"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TD</w:t>
            </w:r>
            <w:r w:rsidRPr="008C3AC3">
              <w:rPr>
                <w:rFonts w:ascii="Arial" w:eastAsia="Calibri" w:hAnsi="Arial" w:cs="Arial"/>
                <w:sz w:val="14"/>
                <w:szCs w:val="14"/>
                <w:lang w:val="id-ID"/>
              </w:rPr>
              <w:t xml:space="preserve"> (56 </w:t>
            </w:r>
            <w:r w:rsidRPr="008C3AC3">
              <w:rPr>
                <w:rFonts w:ascii="Arial" w:eastAsia="Calibri" w:hAnsi="Arial" w:cs="Arial"/>
                <w:sz w:val="14"/>
                <w:szCs w:val="14"/>
                <w:lang w:val="en-GB"/>
              </w:rPr>
              <w:t>±</w:t>
            </w:r>
            <w:r w:rsidRPr="008C3AC3">
              <w:rPr>
                <w:rFonts w:ascii="Arial" w:eastAsia="Calibri" w:hAnsi="Arial" w:cs="Arial"/>
                <w:sz w:val="14"/>
                <w:szCs w:val="14"/>
                <w:lang w:val="id-ID"/>
              </w:rPr>
              <w:t xml:space="preserve"> 10)</w:t>
            </w:r>
          </w:p>
        </w:tc>
        <w:tc>
          <w:tcPr>
            <w:tcW w:w="1701" w:type="dxa"/>
            <w:shd w:val="clear" w:color="auto" w:fill="auto"/>
          </w:tcPr>
          <w:p w14:paraId="76A9ED3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AC</w:t>
            </w:r>
          </w:p>
          <w:p w14:paraId="6FFD9ACF"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T</w:t>
            </w:r>
            <w:r w:rsidRPr="008C3AC3">
              <w:rPr>
                <w:rFonts w:ascii="Arial" w:eastAsia="Calibri" w:hAnsi="Arial" w:cs="Arial"/>
                <w:sz w:val="14"/>
                <w:szCs w:val="14"/>
                <w:lang w:val="id-ID"/>
              </w:rPr>
              <w:t>he patient should be discharged on day 3</w:t>
            </w:r>
          </w:p>
        </w:tc>
        <w:tc>
          <w:tcPr>
            <w:tcW w:w="1418" w:type="dxa"/>
            <w:shd w:val="clear" w:color="auto" w:fill="auto"/>
          </w:tcPr>
          <w:p w14:paraId="6F28FCF2"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TD</w:t>
            </w:r>
          </w:p>
          <w:p w14:paraId="127CB299"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S</w:t>
            </w:r>
            <w:r w:rsidRPr="008C3AC3">
              <w:rPr>
                <w:rFonts w:ascii="Arial" w:eastAsia="Calibri" w:hAnsi="Arial" w:cs="Arial"/>
                <w:sz w:val="14"/>
                <w:szCs w:val="14"/>
                <w:lang w:val="id-ID"/>
              </w:rPr>
              <w:t>tay in hospital for at least 5 days.</w:t>
            </w:r>
          </w:p>
        </w:tc>
        <w:tc>
          <w:tcPr>
            <w:tcW w:w="1276" w:type="dxa"/>
            <w:shd w:val="clear" w:color="auto" w:fill="auto"/>
          </w:tcPr>
          <w:p w14:paraId="54DC5399"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FU-</w:t>
            </w:r>
            <w:r w:rsidRPr="008C3AC3">
              <w:rPr>
                <w:rFonts w:ascii="Arial" w:eastAsia="Calibri" w:hAnsi="Arial" w:cs="Arial"/>
                <w:sz w:val="14"/>
                <w:szCs w:val="14"/>
                <w:lang w:val="id-ID"/>
              </w:rPr>
              <w:t xml:space="preserve"> 6 months</w:t>
            </w:r>
          </w:p>
          <w:p w14:paraId="2380016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AC (10; 14%)</w:t>
            </w:r>
          </w:p>
          <w:p w14:paraId="00C1B63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TD (9; 12.5%)</w:t>
            </w:r>
          </w:p>
        </w:tc>
        <w:tc>
          <w:tcPr>
            <w:tcW w:w="1275" w:type="dxa"/>
            <w:shd w:val="clear" w:color="auto" w:fill="auto"/>
          </w:tcPr>
          <w:p w14:paraId="22772203"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FU-</w:t>
            </w:r>
            <w:r w:rsidRPr="008C3AC3">
              <w:rPr>
                <w:rFonts w:ascii="Arial" w:eastAsia="Calibri" w:hAnsi="Arial" w:cs="Arial"/>
                <w:sz w:val="14"/>
                <w:szCs w:val="14"/>
                <w:lang w:val="id-ID"/>
              </w:rPr>
              <w:t xml:space="preserve"> 6 months</w:t>
            </w:r>
          </w:p>
          <w:p w14:paraId="4F60870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AC (2; </w:t>
            </w:r>
            <w:r w:rsidRPr="008C3AC3">
              <w:rPr>
                <w:rFonts w:ascii="Arial" w:eastAsia="Calibri" w:hAnsi="Arial" w:cs="Arial"/>
                <w:sz w:val="14"/>
                <w:szCs w:val="14"/>
                <w:lang w:val="id-ID"/>
              </w:rPr>
              <w:t>0.8</w:t>
            </w:r>
            <w:r w:rsidRPr="008C3AC3">
              <w:rPr>
                <w:rFonts w:ascii="Arial" w:eastAsia="Calibri" w:hAnsi="Arial" w:cs="Arial"/>
                <w:sz w:val="14"/>
                <w:szCs w:val="14"/>
                <w:lang w:val="en-GB"/>
              </w:rPr>
              <w:t>%)</w:t>
            </w:r>
          </w:p>
          <w:p w14:paraId="45284CB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TD (1; 0</w:t>
            </w:r>
            <w:r w:rsidRPr="008C3AC3">
              <w:rPr>
                <w:rFonts w:ascii="Arial" w:eastAsia="Calibri" w:hAnsi="Arial" w:cs="Arial"/>
                <w:sz w:val="14"/>
                <w:szCs w:val="14"/>
                <w:lang w:val="id-ID"/>
              </w:rPr>
              <w:t>.4%</w:t>
            </w:r>
            <w:r w:rsidRPr="008C3AC3">
              <w:rPr>
                <w:rFonts w:ascii="Arial" w:eastAsia="Calibri" w:hAnsi="Arial" w:cs="Arial"/>
                <w:sz w:val="14"/>
                <w:szCs w:val="14"/>
                <w:lang w:val="en-GB"/>
              </w:rPr>
              <w:t>)</w:t>
            </w:r>
          </w:p>
        </w:tc>
        <w:tc>
          <w:tcPr>
            <w:tcW w:w="1438" w:type="dxa"/>
          </w:tcPr>
          <w:p w14:paraId="36145A6E"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AC</w:t>
            </w:r>
            <w:r w:rsidRPr="008C3AC3">
              <w:rPr>
                <w:rFonts w:ascii="Arial" w:eastAsia="Calibri" w:hAnsi="Arial" w:cs="Arial"/>
                <w:sz w:val="14"/>
                <w:szCs w:val="14"/>
                <w:lang w:val="id-ID"/>
              </w:rPr>
              <w:t xml:space="preserve"> (4.2 </w:t>
            </w:r>
            <w:r w:rsidRPr="008C3AC3">
              <w:rPr>
                <w:rFonts w:ascii="Arial" w:eastAsia="Calibri" w:hAnsi="Arial" w:cs="Arial"/>
                <w:sz w:val="14"/>
                <w:szCs w:val="14"/>
                <w:lang w:val="en-GB"/>
              </w:rPr>
              <w:t>±</w:t>
            </w:r>
            <w:r w:rsidRPr="008C3AC3">
              <w:rPr>
                <w:rFonts w:ascii="Arial" w:eastAsia="Calibri" w:hAnsi="Arial" w:cs="Arial"/>
                <w:sz w:val="14"/>
                <w:szCs w:val="14"/>
                <w:lang w:val="id-ID"/>
              </w:rPr>
              <w:t xml:space="preserve"> 2.3)</w:t>
            </w:r>
          </w:p>
          <w:p w14:paraId="45DE0627"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TD</w:t>
            </w:r>
            <w:r w:rsidRPr="008C3AC3">
              <w:rPr>
                <w:rFonts w:ascii="Arial" w:eastAsia="Calibri" w:hAnsi="Arial" w:cs="Arial"/>
                <w:sz w:val="14"/>
                <w:szCs w:val="14"/>
                <w:lang w:val="id-ID"/>
              </w:rPr>
              <w:t xml:space="preserve"> (7.1 </w:t>
            </w:r>
            <w:r w:rsidRPr="008C3AC3">
              <w:rPr>
                <w:rFonts w:ascii="Arial" w:eastAsia="Calibri" w:hAnsi="Arial" w:cs="Arial"/>
                <w:sz w:val="14"/>
                <w:szCs w:val="14"/>
                <w:lang w:val="en-GB"/>
              </w:rPr>
              <w:t xml:space="preserve">± </w:t>
            </w:r>
            <w:r w:rsidRPr="008C3AC3">
              <w:rPr>
                <w:rFonts w:ascii="Arial" w:eastAsia="Calibri" w:hAnsi="Arial" w:cs="Arial"/>
                <w:sz w:val="14"/>
                <w:szCs w:val="14"/>
                <w:lang w:val="id-ID"/>
              </w:rPr>
              <w:t>4.7)</w:t>
            </w:r>
          </w:p>
          <w:p w14:paraId="719ED7F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days</w:t>
            </w:r>
          </w:p>
        </w:tc>
        <w:tc>
          <w:tcPr>
            <w:tcW w:w="946" w:type="dxa"/>
            <w:shd w:val="clear" w:color="auto" w:fill="auto"/>
          </w:tcPr>
          <w:p w14:paraId="75D0EC3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85%</w:t>
            </w:r>
          </w:p>
        </w:tc>
      </w:tr>
      <w:tr w:rsidR="008C3AC3" w:rsidRPr="008C3AC3" w14:paraId="297943B0" w14:textId="77777777" w:rsidTr="00E66782">
        <w:trPr>
          <w:trHeight w:val="234"/>
          <w:jc w:val="center"/>
        </w:trPr>
        <w:tc>
          <w:tcPr>
            <w:tcW w:w="14489" w:type="dxa"/>
            <w:gridSpan w:val="10"/>
            <w:shd w:val="clear" w:color="auto" w:fill="auto"/>
          </w:tcPr>
          <w:p w14:paraId="060C85E5" w14:textId="77777777" w:rsidR="008C3AC3" w:rsidRPr="00664AEE" w:rsidRDefault="008C3AC3" w:rsidP="008C3AC3">
            <w:pPr>
              <w:spacing w:after="0" w:line="276" w:lineRule="auto"/>
              <w:rPr>
                <w:rFonts w:ascii="Arial" w:eastAsia="Calibri" w:hAnsi="Arial" w:cs="Arial"/>
                <w:b/>
                <w:bCs/>
                <w:sz w:val="14"/>
                <w:szCs w:val="14"/>
                <w:lang w:val="id-ID"/>
              </w:rPr>
            </w:pPr>
            <w:r w:rsidRPr="00664AEE">
              <w:rPr>
                <w:rFonts w:ascii="Arial" w:eastAsia="Calibri" w:hAnsi="Arial" w:cs="Arial"/>
                <w:b/>
                <w:bCs/>
                <w:sz w:val="14"/>
                <w:szCs w:val="14"/>
                <w:lang w:val="en-GB"/>
              </w:rPr>
              <w:t>Observational Cohort Studies</w:t>
            </w:r>
          </w:p>
        </w:tc>
      </w:tr>
      <w:tr w:rsidR="008C3AC3" w:rsidRPr="008C3AC3" w14:paraId="6A1610CB" w14:textId="77777777" w:rsidTr="00E66782">
        <w:trPr>
          <w:trHeight w:val="234"/>
          <w:jc w:val="center"/>
        </w:trPr>
        <w:tc>
          <w:tcPr>
            <w:tcW w:w="1372" w:type="dxa"/>
            <w:shd w:val="clear" w:color="auto" w:fill="auto"/>
          </w:tcPr>
          <w:p w14:paraId="2C2671D5"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Yip et al (2003)</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{"citationItems":[{"id":"ITEM-1","itemData":{"DOI":"10.1536/jhj.44.41","ISSN":"00214868","PMID":"12622436","abstract":"There is a lack of consensus among cardiologists regarding the length of time patients should be hospitalized after an uncomplicated acute myocardial infarction (AMI) and successful direct percutaneous coronary intervention (d-PCI). The purpose of this study was to evaluate the feasibility and safety of early discharge (discharge &lt;4 days after the procedure) for low risk patients with AMI who underwent successful d-PCI. From May 1996 through December 2001, d-PCI was performed in 898 consecutive patients with AMI. Of these 898 patients, 463 (51.6%) were stratified to be at low risk. Lower risk was defined as: (1) Killip classification ≤2 on admission; (2) the infarct-related artery achieved normal blood flow without recurrent ischemia or reinfarction in the first 24 hours; (3) no mechanical or electrical complications after d-PCI, (4) no acute renal failure, acute stroke, or major bleeding complication; (5) no advanced congestive heart failure (defined as≥New York Heart Association functional class 3); and (6) no sepsis. Patients who were discharged &lt;4 days after undergoing the procedure were enrolled in group 1 (n=266). Patients who were discharged ≥4 days after undergoing the procedure were enrolled in group 2 (n=197). Univariate analysis demonstrated that group 2 patients had a significantly longer hospital stay (P=0.0001) than group 1 patients. At the first 30-day follow-up examination, there were no significant differences in the combined major cardiac events (death, recurrent ischemia, reinfarction, revascularization, or advanced congestive heart failure) between the group 1 and group 2 patients (1.50% vs 1.52%, P-0.92). There were also no significant differences in the combined major noncardiac complications (acute stroke, acute renal failure, bleeding complications requiring blood transfusion, vascular sequelae, or sepsis) between the group 1 and group 2 patients (1.13% vs 0.51%, P-0.89). Early discharge was feasible in a majority of the patients who experienced AMI and were at lower risk 24 hours after successful d-PCI. Thus, the patients had a shortened hospital stay and no increased risk. Copyright © 2003 by the Japanese Heart Journal.","author":[{"dropping-particle":"","family":"Yip et al","given":"","non-dropping-particle":"","parse-names":false,"suffix":""}],"container-title":"Japanese Heart Journal","id":"ITEM-1","issue":"1","issued":{"date-parts":[["2003"]]},"page":"41-49","title":"The feasibility and safety of early discharge for low risk patients with acute myocardial infarction after successful direct percutaneous coronary intervention","type":"article-journal","volume":"44"},"uris":["http://www.mendeley.com/documents/?uuid=627ac174-a33d-4680-a317-9d2e08a08303"]}],"mendeley":{"formattedCitation":"&lt;sup&gt;24&lt;/sup&gt;","plainTextFormattedCitation":"24","previouslyFormattedCitation":"&lt;sup&gt;24&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24</w:t>
            </w:r>
            <w:r w:rsidRPr="008C3AC3">
              <w:rPr>
                <w:rFonts w:ascii="Arial" w:eastAsia="Calibri" w:hAnsi="Arial" w:cs="Arial"/>
                <w:sz w:val="14"/>
                <w:szCs w:val="14"/>
                <w:lang w:val="id-ID"/>
              </w:rPr>
              <w:fldChar w:fldCharType="end"/>
            </w:r>
          </w:p>
          <w:p w14:paraId="59E9C960"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Taiwan</w:t>
            </w:r>
          </w:p>
          <w:p w14:paraId="78DF4F46"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Retrospective cohort study</w:t>
            </w:r>
          </w:p>
        </w:tc>
        <w:tc>
          <w:tcPr>
            <w:tcW w:w="2370" w:type="dxa"/>
            <w:shd w:val="clear" w:color="auto" w:fill="auto"/>
          </w:tcPr>
          <w:p w14:paraId="29F123BF"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en-GB"/>
              </w:rPr>
              <w:t>Killip class ≤2, without recurrent ischemia or reinfarction during the first 24 hours, no mechanical or electrical complications after d-PCI, no acute renal failure, acute stroke, or major bleeding complication, no advanced CHF and sepsis</w:t>
            </w:r>
          </w:p>
          <w:p w14:paraId="22F51ED8" w14:textId="77777777" w:rsidR="008C3AC3" w:rsidRPr="008C3AC3" w:rsidRDefault="008C3AC3" w:rsidP="008C3AC3">
            <w:pPr>
              <w:spacing w:after="0" w:line="276" w:lineRule="auto"/>
              <w:jc w:val="both"/>
              <w:rPr>
                <w:rFonts w:ascii="Arial" w:eastAsia="Calibri" w:hAnsi="Arial" w:cs="Arial"/>
                <w:sz w:val="14"/>
                <w:szCs w:val="14"/>
                <w:lang w:val="en-GB"/>
              </w:rPr>
            </w:pPr>
          </w:p>
          <w:p w14:paraId="30AD10B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Femoral access in all patients 98%</w:t>
            </w:r>
          </w:p>
        </w:tc>
        <w:tc>
          <w:tcPr>
            <w:tcW w:w="1418" w:type="dxa"/>
            <w:shd w:val="clear" w:color="auto" w:fill="auto"/>
          </w:tcPr>
          <w:p w14:paraId="7A6845C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463 Patients</w:t>
            </w:r>
          </w:p>
          <w:p w14:paraId="0D49CDB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(n=266)</w:t>
            </w:r>
          </w:p>
          <w:p w14:paraId="6364D67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(n=197)</w:t>
            </w:r>
          </w:p>
        </w:tc>
        <w:tc>
          <w:tcPr>
            <w:tcW w:w="1275" w:type="dxa"/>
            <w:shd w:val="clear" w:color="auto" w:fill="auto"/>
          </w:tcPr>
          <w:p w14:paraId="2E83906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(58.6±11.7)</w:t>
            </w:r>
          </w:p>
          <w:p w14:paraId="0847BA14"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SD (60.1±12.1)</w:t>
            </w:r>
          </w:p>
        </w:tc>
        <w:tc>
          <w:tcPr>
            <w:tcW w:w="1701" w:type="dxa"/>
            <w:shd w:val="clear" w:color="auto" w:fill="auto"/>
          </w:tcPr>
          <w:p w14:paraId="42BA520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within &lt;4 days</w:t>
            </w:r>
          </w:p>
        </w:tc>
        <w:tc>
          <w:tcPr>
            <w:tcW w:w="1418" w:type="dxa"/>
            <w:shd w:val="clear" w:color="auto" w:fill="auto"/>
          </w:tcPr>
          <w:p w14:paraId="00E8C7C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w:t>
            </w:r>
          </w:p>
          <w:p w14:paraId="7D4602B3"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D</w:t>
            </w:r>
            <w:r w:rsidRPr="008C3AC3">
              <w:rPr>
                <w:rFonts w:ascii="Arial" w:eastAsia="Calibri" w:hAnsi="Arial" w:cs="Arial"/>
                <w:sz w:val="14"/>
                <w:szCs w:val="14"/>
                <w:lang w:val="id-ID"/>
              </w:rPr>
              <w:t>ischarged ≥4 days</w:t>
            </w:r>
          </w:p>
        </w:tc>
        <w:tc>
          <w:tcPr>
            <w:tcW w:w="1276" w:type="dxa"/>
            <w:shd w:val="clear" w:color="auto" w:fill="auto"/>
          </w:tcPr>
          <w:p w14:paraId="01E2773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p w14:paraId="6803D3BD" w14:textId="77777777" w:rsidR="008C3AC3" w:rsidRPr="008C3AC3" w:rsidRDefault="008C3AC3" w:rsidP="008C3AC3">
            <w:pPr>
              <w:spacing w:after="0" w:line="276" w:lineRule="auto"/>
              <w:jc w:val="center"/>
              <w:rPr>
                <w:rFonts w:ascii="Arial" w:eastAsia="Calibri" w:hAnsi="Arial" w:cs="Arial"/>
                <w:sz w:val="14"/>
                <w:szCs w:val="14"/>
                <w:lang w:val="id-ID" w:eastAsia="de-DE" w:bidi="en-US"/>
              </w:rPr>
            </w:pPr>
          </w:p>
        </w:tc>
        <w:tc>
          <w:tcPr>
            <w:tcW w:w="1275" w:type="dxa"/>
            <w:shd w:val="clear" w:color="auto" w:fill="auto"/>
          </w:tcPr>
          <w:p w14:paraId="75DEEF4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048F2E3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(0)</w:t>
            </w:r>
          </w:p>
          <w:p w14:paraId="03EC0A1C"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SD (1; 0.5%)</w:t>
            </w:r>
          </w:p>
        </w:tc>
        <w:tc>
          <w:tcPr>
            <w:tcW w:w="1438" w:type="dxa"/>
          </w:tcPr>
          <w:p w14:paraId="114C94C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(3.37±0.77)</w:t>
            </w:r>
          </w:p>
          <w:p w14:paraId="41F3C65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(5.98±0.93)</w:t>
            </w:r>
          </w:p>
          <w:p w14:paraId="400CFF1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eastAsia="de-DE" w:bidi="en-US"/>
              </w:rPr>
              <w:t>days</w:t>
            </w:r>
          </w:p>
        </w:tc>
        <w:tc>
          <w:tcPr>
            <w:tcW w:w="946" w:type="dxa"/>
            <w:shd w:val="clear" w:color="auto" w:fill="auto"/>
          </w:tcPr>
          <w:p w14:paraId="4DA2655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73%</w:t>
            </w:r>
          </w:p>
        </w:tc>
      </w:tr>
      <w:tr w:rsidR="008C3AC3" w:rsidRPr="008C3AC3" w14:paraId="63800E5B" w14:textId="77777777" w:rsidTr="00E66782">
        <w:trPr>
          <w:trHeight w:val="234"/>
          <w:jc w:val="center"/>
        </w:trPr>
        <w:tc>
          <w:tcPr>
            <w:tcW w:w="1372" w:type="dxa"/>
            <w:shd w:val="clear" w:color="auto" w:fill="auto"/>
          </w:tcPr>
          <w:p w14:paraId="6B8F2E4F"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Rathod et al (2021)</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{"citationItems":[{"id":"ITEM-1","itemData":{"DOI":"10.1016/j.jacc.2021.09.1379","ISSN":"15583597","PMID":"34915986","abstract":"Background: Regional heart attack services have improved clinical outcomes following ST-segment elevation myocardial infarction (STEMI) by facilitating early reperfusion by primary percutaneous coronary intervention (PCI). Early discharge after primary PCI is welcomed by patients and increases efficiency of health care. Objectives: This study aimed to assess the safety and feasibility of a novel early hospital discharge pathway for low-risk STEMI patients. Methods: Between March 2020 and June 2021, 600 patients who were deemed at low risk for early major adverse cardiovascular events (MACE) were selected for inclusion in the pathway and were successfully discharged in &lt;48 hours. Patients were reviewed by a structured telephone follow-up at 48 hours after discharge by a cardiac rehabilitation nurse and underwent a virtual follow-up at 2, 6, and 8 weeks and at 3 months. Results: The median length of hospital stay was 24.6 hours (interquartile range [IQR]: 22.7-30.0 hours) (prepathway median: 65.9 hours [IQR: 48.1-120.2 hours]). After discharge, all patients were contacted, with none lost to follow-up. During median follow-up of 271 days (IQR: 88-318 days), there were 2 deaths (0.33%), both caused by coronavirus disease 2019 (&gt;30 days after discharge), with 0% cardiovascular mortality and MACE rates of 1.2%. This finding compared favorably with a historical group of 700 patients meeting pathway criteria who remained in the hospital for &gt;48 hours (&gt;48-hour control group) (mortality, 0.7%; MACE, 1.9%) both in unadjusted and propensity-matched analyses. Conclusions: Selected low-risk patients can be discharged safely following successful primary PCI by using a pathway that is supported by a structured, multidisciplinary virtual follow-up schedule.","author":[{"dropping-particle":"","family":"Rathod","given":"Krishnaraj S.","non-dropping-particle":"","parse-names":false,"suffix":""},{"dropping-particle":"","family":"Comer","given":"Katrina","non-dropping-particle":"","parse-names":false,"suffix":""},{"dropping-particle":"","family":"Casey-Gillman","given":"Oliver","non-dropping-particle":"","parse-names":false,"suffix":""},{"dropping-particle":"","family":"Moore","given":"Lizzie","non-dropping-particle":"","parse-names":false,"suffix":""},{"dropping-particle":"","family":"Mills","given":"Gordon","non-dropping-particle":"","parse-names":false,"suffix":""},{"dropping-particle":"","family":"Ferguson","given":"Gordon","non-dropping-particle":"","parse-names":false,"suffix":""},{"dropping-particle":"","family":"Antoniou","given":"Sotiris","non-dropping-particle":"","parse-names":false,"suffix":""},{"dropping-particle":"","family":"Patel","given":"Riyaz","non-dropping-particle":"","parse-names":false,"suffix":""},{"dropping-particle":"","family":"Fhadil","given":"Sadeer","non-dropping-particle":"","parse-names":false,"suffix":""},{"dropping-particle":"","family":"Damani","given":"Tasleem","non-dropping-particle":"","parse-names":false,"suffix":""},{"dropping-particle":"","family":"Wright","given":"Paul","non-dropping-particle":"","parse-names":false,"suffix":""},{"dropping-particle":"","family":"Ozkor","given":"Mick","non-dropping-particle":"","parse-names":false,"suffix":""},{"dropping-particle":"","family":"Das","given":"Debashish","non-dropping-particle":"","parse-names":false,"suffix":""},{"dropping-particle":"","family":"Guttmann","given":"Oliver P.","non-dropping-particle":"","parse-names":false,"suffix":""},{"dropping-particle":"","family":"Baumbach","given":"Andreas","non-dropping-particle":"","parse-names":false,"suffix":""},{"dropping-particle":"","family":"Archbold","given":"R. Andrew","non-dropping-particle":"","parse-names":false,"suffix":""},{"dropping-particle":"","family":"Wragg","given":"Andrew","non-dropping-particle":"","parse-names":false,"suffix":""},{"dropping-particle":"","family":"Jain","given":"Ajay K.","non-dropping-particle":"","parse-names":false,"suffix":""},{"dropping-particle":"","family":"Choudry","given":"Fizzah A.","non-dropping-particle":"","parse-names":false,"suffix":""},{"dropping-particle":"","family":"Mathur","given":"Anthony","non-dropping-particle":"","parse-names":false,"suffix":""},{"dropping-particle":"","family":"Jones","given":"Daniel A.","non-dropping-particle":"","parse-names":false,"suffix":""}],"container-title":"Journal of the American College of Cardiology","id":"ITEM-1","issue":"25","issued":{"date-parts":[["2021"]]},"page":"2550-2560","title":"Early Hospital Discharge Following PCI for Patients With STEMI","type":"article-journal","volume":"78"},"uris":["http://www.mendeley.com/documents/?uuid=77dbb84a-669b-4c31-aa2b-3ac4803b9898"]}],"mendeley":{"formattedCitation":"&lt;sup&gt;28&lt;/sup&gt;","plainTextFormattedCitation":"28","previouslyFormattedCitation":"&lt;sup&gt;28&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28</w:t>
            </w:r>
            <w:r w:rsidRPr="008C3AC3">
              <w:rPr>
                <w:rFonts w:ascii="Arial" w:eastAsia="Calibri" w:hAnsi="Arial" w:cs="Arial"/>
                <w:sz w:val="14"/>
                <w:szCs w:val="14"/>
                <w:lang w:val="id-ID"/>
              </w:rPr>
              <w:fldChar w:fldCharType="end"/>
            </w:r>
          </w:p>
          <w:p w14:paraId="6EF0827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United Kingdom</w:t>
            </w:r>
          </w:p>
          <w:p w14:paraId="1BCABD92" w14:textId="77777777" w:rsidR="008C3AC3" w:rsidRPr="008C3AC3" w:rsidRDefault="008C3AC3" w:rsidP="008C3AC3">
            <w:pPr>
              <w:spacing w:after="0" w:line="276" w:lineRule="auto"/>
              <w:jc w:val="center"/>
              <w:rPr>
                <w:rFonts w:ascii="Arial" w:eastAsia="Calibri" w:hAnsi="Arial" w:cs="Arial"/>
                <w:b/>
                <w:bCs/>
                <w:sz w:val="14"/>
                <w:szCs w:val="14"/>
                <w:lang w:val="id-ID"/>
              </w:rPr>
            </w:pPr>
            <w:r w:rsidRPr="008C3AC3">
              <w:rPr>
                <w:rFonts w:ascii="Arial" w:eastAsia="Calibri" w:hAnsi="Arial" w:cs="Arial"/>
                <w:sz w:val="14"/>
                <w:szCs w:val="14"/>
                <w:lang w:val="en-GB"/>
              </w:rPr>
              <w:t>Prospective cohort study</w:t>
            </w:r>
          </w:p>
        </w:tc>
        <w:tc>
          <w:tcPr>
            <w:tcW w:w="2370" w:type="dxa"/>
            <w:shd w:val="clear" w:color="auto" w:fill="auto"/>
          </w:tcPr>
          <w:p w14:paraId="4BD73A84"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en-GB"/>
              </w:rPr>
              <w:t xml:space="preserve">LVEF≥40%, TIMI flow grade 3, Absence of bystander disease requiring inpatient revascularization, No recurrence of ischemic symptoms, Killip class 1 No significant arrhythmias after the procedure, Mobility with suitable social circumstances for </w:t>
            </w:r>
            <w:proofErr w:type="gramStart"/>
            <w:r w:rsidRPr="008C3AC3">
              <w:rPr>
                <w:rFonts w:ascii="Arial" w:eastAsia="Calibri" w:hAnsi="Arial" w:cs="Arial"/>
                <w:sz w:val="14"/>
                <w:szCs w:val="14"/>
                <w:lang w:val="en-GB"/>
              </w:rPr>
              <w:t>discharge</w:t>
            </w:r>
            <w:proofErr w:type="gramEnd"/>
          </w:p>
          <w:p w14:paraId="1AECC7CD" w14:textId="77777777" w:rsidR="008C3AC3" w:rsidRPr="008C3AC3" w:rsidRDefault="008C3AC3" w:rsidP="008C3AC3">
            <w:pPr>
              <w:spacing w:after="0" w:line="276" w:lineRule="auto"/>
              <w:jc w:val="both"/>
              <w:rPr>
                <w:rFonts w:ascii="Arial" w:eastAsia="Calibri" w:hAnsi="Arial" w:cs="Arial"/>
                <w:sz w:val="14"/>
                <w:szCs w:val="14"/>
                <w:lang w:val="en-GB"/>
              </w:rPr>
            </w:pPr>
          </w:p>
          <w:p w14:paraId="08B9C1E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id-ID"/>
              </w:rPr>
              <w:t>Radial access in ED (94%)</w:t>
            </w:r>
          </w:p>
        </w:tc>
        <w:tc>
          <w:tcPr>
            <w:tcW w:w="1418" w:type="dxa"/>
            <w:shd w:val="clear" w:color="auto" w:fill="auto"/>
          </w:tcPr>
          <w:p w14:paraId="5950071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1.300 Patients </w:t>
            </w:r>
          </w:p>
          <w:p w14:paraId="6E2BFCB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EHD (n=600)</w:t>
            </w:r>
          </w:p>
          <w:p w14:paraId="288A63F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SHD (n=700)</w:t>
            </w:r>
          </w:p>
        </w:tc>
        <w:tc>
          <w:tcPr>
            <w:tcW w:w="1275" w:type="dxa"/>
            <w:shd w:val="clear" w:color="auto" w:fill="auto"/>
          </w:tcPr>
          <w:p w14:paraId="6029441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EHD </w:t>
            </w:r>
          </w:p>
          <w:p w14:paraId="2A26B00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(59.2 ± 11.8)</w:t>
            </w:r>
          </w:p>
          <w:p w14:paraId="293CC04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SHD </w:t>
            </w:r>
          </w:p>
          <w:p w14:paraId="1AAA6B8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(57.5 ± 12.1)</w:t>
            </w:r>
          </w:p>
        </w:tc>
        <w:tc>
          <w:tcPr>
            <w:tcW w:w="1701" w:type="dxa"/>
            <w:shd w:val="clear" w:color="auto" w:fill="auto"/>
          </w:tcPr>
          <w:p w14:paraId="16EB987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EHD within 24-48 h</w:t>
            </w:r>
          </w:p>
          <w:p w14:paraId="6745148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Given cardiac rehabilitation </w:t>
            </w:r>
            <w:proofErr w:type="spellStart"/>
            <w:r w:rsidRPr="008C3AC3">
              <w:rPr>
                <w:rFonts w:ascii="Arial" w:eastAsia="Calibri" w:hAnsi="Arial" w:cs="Arial"/>
                <w:sz w:val="14"/>
                <w:szCs w:val="14"/>
                <w:lang w:val="en-GB"/>
              </w:rPr>
              <w:t>counseling</w:t>
            </w:r>
            <w:proofErr w:type="spellEnd"/>
            <w:r w:rsidRPr="008C3AC3">
              <w:rPr>
                <w:rFonts w:ascii="Arial" w:eastAsia="Calibri" w:hAnsi="Arial" w:cs="Arial"/>
                <w:sz w:val="14"/>
                <w:szCs w:val="14"/>
                <w:lang w:val="en-GB"/>
              </w:rPr>
              <w:t xml:space="preserve"> after discharge (48-hour telephone call)</w:t>
            </w:r>
          </w:p>
        </w:tc>
        <w:tc>
          <w:tcPr>
            <w:tcW w:w="1418" w:type="dxa"/>
            <w:shd w:val="clear" w:color="auto" w:fill="auto"/>
          </w:tcPr>
          <w:p w14:paraId="603240B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SDH within &gt;48 hours and received this </w:t>
            </w:r>
            <w:proofErr w:type="spellStart"/>
            <w:r w:rsidRPr="008C3AC3">
              <w:rPr>
                <w:rFonts w:ascii="Arial" w:eastAsia="Calibri" w:hAnsi="Arial" w:cs="Arial"/>
                <w:sz w:val="14"/>
                <w:szCs w:val="14"/>
                <w:lang w:val="en-GB"/>
              </w:rPr>
              <w:t>counseling</w:t>
            </w:r>
            <w:proofErr w:type="spellEnd"/>
            <w:r w:rsidRPr="008C3AC3">
              <w:rPr>
                <w:rFonts w:ascii="Arial" w:eastAsia="Calibri" w:hAnsi="Arial" w:cs="Arial"/>
                <w:sz w:val="14"/>
                <w:szCs w:val="14"/>
                <w:lang w:val="en-GB"/>
              </w:rPr>
              <w:t xml:space="preserve"> as planned</w:t>
            </w:r>
          </w:p>
        </w:tc>
        <w:tc>
          <w:tcPr>
            <w:tcW w:w="1276" w:type="dxa"/>
            <w:shd w:val="clear" w:color="auto" w:fill="auto"/>
          </w:tcPr>
          <w:p w14:paraId="02E957A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tc>
        <w:tc>
          <w:tcPr>
            <w:tcW w:w="1275" w:type="dxa"/>
            <w:shd w:val="clear" w:color="auto" w:fill="auto"/>
          </w:tcPr>
          <w:p w14:paraId="4CD3FA0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FU-3 months</w:t>
            </w:r>
          </w:p>
          <w:p w14:paraId="7B2BDB5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EHD (2; 0.33%)</w:t>
            </w:r>
          </w:p>
          <w:p w14:paraId="5C8BD3E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SHD (0.7%)</w:t>
            </w:r>
          </w:p>
        </w:tc>
        <w:tc>
          <w:tcPr>
            <w:tcW w:w="1438" w:type="dxa"/>
            <w:shd w:val="clear" w:color="auto" w:fill="auto"/>
          </w:tcPr>
          <w:p w14:paraId="7B4C4F0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Median </w:t>
            </w:r>
          </w:p>
          <w:p w14:paraId="3981B0A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EHD (24.6)</w:t>
            </w:r>
          </w:p>
          <w:p w14:paraId="3F62546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SHD (65.9)</w:t>
            </w:r>
          </w:p>
          <w:p w14:paraId="3A4DB31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hours</w:t>
            </w:r>
          </w:p>
        </w:tc>
        <w:tc>
          <w:tcPr>
            <w:tcW w:w="946" w:type="dxa"/>
            <w:shd w:val="clear" w:color="auto" w:fill="auto"/>
          </w:tcPr>
          <w:p w14:paraId="51DB420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91%</w:t>
            </w:r>
          </w:p>
        </w:tc>
      </w:tr>
      <w:tr w:rsidR="008C3AC3" w:rsidRPr="008C3AC3" w14:paraId="0179CE68" w14:textId="77777777" w:rsidTr="00E66782">
        <w:trPr>
          <w:trHeight w:val="234"/>
          <w:jc w:val="center"/>
        </w:trPr>
        <w:tc>
          <w:tcPr>
            <w:tcW w:w="1372" w:type="dxa"/>
            <w:shd w:val="clear" w:color="auto" w:fill="auto"/>
          </w:tcPr>
          <w:p w14:paraId="42B3ABC6"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Jones et al (2012)</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{"citationItems":[{"id":"ITEM-1","itemData":{"DOI":"10.1136/heartjnl-2012-302414","ISSN":"13556037","PMID":"23053711","abstract":"Aim: Primary percutaneous coronary intervention (PPCI) produces more effective coronary reperfusion and allows immediate risk stratification compared with fibrinolysis. We investigated the safety and feasibility of very early discharge at 2 days following PPCI in selected low-risk cases. Methods: This was a prospective observational cohort study of 2779 patients who underwent PPCI between 2004 and 2011. Patients meeting the following criteria were deemed suitable for very early discharge; TIMI III flow, left ventricle (LF) ejection fraction &gt;40%, and rhythmic and haemodynamic stability out to 48 h. Higher-risk patients who did not fulfil these criteria were discharged later according to physician preference. All patients were offered outpatient review by a multidisciplinary team. Endpoints included 30 day readmission rates and major adverse cardiac events (MACE) out to a median of 2.8 years (IQR range: 1.3-4.4 years). Results: 1309 (49.3%) PPCI patients met very early discharge criteria, of whom 1117 (85.3%) were actually discharged at 2 days. 620 (23.4%) were discharged at 3 days, and 916 (34.5%) &gt;3 days after admission (median 5, IQR: 4-8) days). Patients discharged at 2 days were younger, and had lower rates of diabetes, renal dysfunction, multivessel coronary artery disease, previous myocardial infarction, and previous coronary artery bypass surgery, compared with patients discharged later. 30-day readmission rates for non-MACE events were 4.8%, 4.9% and 4.6% for patients discharged 2 days, 3 days and &gt;3 days after admission, respectively. MACE rates were lowest in patients discharged at 2 days (9.6%, 95% CI 4.7% to 16.6%) compared with patients discharged at 3 days (12.3% 95% CI 6.0% to 19.2%) and &gt;3 days (28.6% 95% CI 22.9% to 34.7%, p&lt;0.0001) after admission. Conclusions: Our data suggest that discharge of low-risk patients 2 days after successful PPCI is feasible and safe. Over 40% of all patients with ST-elevation myocardial infarction may be suitable for early discharge with important implications for healthcare costs.","author":[{"dropping-particle":"","family":"Jones","given":"Daniel A","non-dropping-particle":"","parse-names":false,"suffix":""},{"dropping-particle":"","family":"Rathod","given":"Krishnaraj S","non-dropping-particle":"","parse-names":false,"suffix":""},{"dropping-particle":"","family":"Howard","given":"James Philip","non-dropping-particle":"","parse-names":false,"suffix":""},{"dropping-particle":"","family":"Gallagher","given":"Sean","non-dropping-particle":"","parse-names":false,"suffix":""},{"dropping-particle":"","family":"Antoniou","given":"Sotiris","non-dropping-particle":"","parse-names":false,"suffix":""},{"dropping-particle":"De","family":"Palma","given":"Rodney","non-dropping-particle":"","parse-names":false,"suffix":""},{"dropping-particle":"","family":"Guttmann","given":"Oliver","non-dropping-particle":"","parse-names":false,"suffix":""},{"dropping-particle":"","family":"Cliffe","given":"Samantha","non-dropping-particle":"","parse-names":false,"suffix":""},{"dropping-particle":"","family":"Colley","given":"Judith","non-dropping-particle":"","parse-names":false,"suffix":""},{"dropping-particle":"","family":"Butler","given":"Jane","non-dropping-particle":"","parse-names":false,"suffix":""},{"dropping-particle":"","family":"Ferguson","given":"Eileen","non-dropping-particle":"","parse-names":false,"suffix":""},{"dropping-particle":"","family":"Mohiddin","given":"Saidi","non-dropping-particle":"","parse-names":false,"suffix":""},{"dropping-particle":"","family":"Kapur","given":"Akhil","non-dropping-particle":"","parse-names":false,"suffix":""},{"dropping-particle":"","family":"J","given":"Charles","non-dropping-particle":"","parse-names":false,"suffix":""},{"dropping-particle":"","family":"Wragg","given":"Andrew","non-dropping-particle":"","parse-names":false,"suffix":""}],"container-title":"Heart","id":"ITEM-1","issue":"23","issued":{"date-parts":[["2012"]]},"page":"1722-1727","title":"Safety and feasibility of hospital discharge 2 days following primary percutaneous intervention for ST-segment elevation myocardial infarction","type":"article-journal","volume":"98"},"uris":["http://www.mendeley.com/documents/?uuid=780d45c8-2d71-4a26-af27-00886413a807"]}],"mendeley":{"formattedCitation":"&lt;sup&gt;29&lt;/sup&gt;","plainTextFormattedCitation":"29","previouslyFormattedCitation":"&lt;sup&gt;29&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29</w:t>
            </w:r>
            <w:r w:rsidRPr="008C3AC3">
              <w:rPr>
                <w:rFonts w:ascii="Arial" w:eastAsia="Calibri" w:hAnsi="Arial" w:cs="Arial"/>
                <w:sz w:val="14"/>
                <w:szCs w:val="14"/>
                <w:lang w:val="id-ID"/>
              </w:rPr>
              <w:fldChar w:fldCharType="end"/>
            </w:r>
          </w:p>
          <w:p w14:paraId="01D1A84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United Kingdom</w:t>
            </w:r>
          </w:p>
          <w:p w14:paraId="63320528"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Prospective cohort study</w:t>
            </w:r>
          </w:p>
        </w:tc>
        <w:tc>
          <w:tcPr>
            <w:tcW w:w="2370" w:type="dxa"/>
            <w:shd w:val="clear" w:color="auto" w:fill="auto"/>
          </w:tcPr>
          <w:p w14:paraId="10FCCD6B"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en-GB"/>
              </w:rPr>
              <w:t>TIMI III flow, LVEF &gt;40%, and rhythmic and haemodynamic stability out to 48 h.</w:t>
            </w:r>
          </w:p>
          <w:p w14:paraId="4D612BFB" w14:textId="77777777" w:rsidR="008C3AC3" w:rsidRPr="008C3AC3" w:rsidRDefault="008C3AC3" w:rsidP="008C3AC3">
            <w:pPr>
              <w:spacing w:after="0" w:line="276" w:lineRule="auto"/>
              <w:jc w:val="both"/>
              <w:rPr>
                <w:rFonts w:ascii="Arial" w:eastAsia="Calibri" w:hAnsi="Arial" w:cs="Arial"/>
                <w:sz w:val="14"/>
                <w:szCs w:val="14"/>
                <w:lang w:val="en-GB"/>
              </w:rPr>
            </w:pPr>
          </w:p>
          <w:p w14:paraId="23E1192C"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Radial access in ED (42.5%)</w:t>
            </w:r>
          </w:p>
        </w:tc>
        <w:tc>
          <w:tcPr>
            <w:tcW w:w="1418" w:type="dxa"/>
            <w:shd w:val="clear" w:color="auto" w:fill="auto"/>
          </w:tcPr>
          <w:p w14:paraId="0D8F706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2.653 Patients</w:t>
            </w:r>
          </w:p>
          <w:p w14:paraId="52D8A4F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2 days (n=1117)</w:t>
            </w:r>
          </w:p>
          <w:p w14:paraId="5C3E823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3 days (n=620)</w:t>
            </w:r>
          </w:p>
          <w:p w14:paraId="6517091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&gt;3 days (n=916)</w:t>
            </w:r>
          </w:p>
        </w:tc>
        <w:tc>
          <w:tcPr>
            <w:tcW w:w="1275" w:type="dxa"/>
            <w:shd w:val="clear" w:color="auto" w:fill="auto"/>
          </w:tcPr>
          <w:p w14:paraId="3FC4BAA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2 days (61.02±0.13)</w:t>
            </w:r>
          </w:p>
          <w:p w14:paraId="7938955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3 days (63.21±0.27)</w:t>
            </w:r>
          </w:p>
          <w:p w14:paraId="0AC534A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&gt;3 days (67.33±0.27)</w:t>
            </w:r>
          </w:p>
        </w:tc>
        <w:tc>
          <w:tcPr>
            <w:tcW w:w="1701" w:type="dxa"/>
            <w:shd w:val="clear" w:color="auto" w:fill="auto"/>
          </w:tcPr>
          <w:p w14:paraId="4A8261D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within ≤3 days</w:t>
            </w:r>
          </w:p>
          <w:p w14:paraId="06F0F15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week after discharge</w:t>
            </w:r>
          </w:p>
        </w:tc>
        <w:tc>
          <w:tcPr>
            <w:tcW w:w="1418" w:type="dxa"/>
            <w:shd w:val="clear" w:color="auto" w:fill="auto"/>
          </w:tcPr>
          <w:p w14:paraId="6466735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within &gt;3 days discharge</w:t>
            </w:r>
          </w:p>
        </w:tc>
        <w:tc>
          <w:tcPr>
            <w:tcW w:w="1276" w:type="dxa"/>
            <w:shd w:val="clear" w:color="auto" w:fill="auto"/>
          </w:tcPr>
          <w:p w14:paraId="49638BF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FU-2.8 year</w:t>
            </w:r>
          </w:p>
          <w:p w14:paraId="0AFCBDB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2-3 days (87 Total/1737</w:t>
            </w:r>
          </w:p>
          <w:p w14:paraId="1D0730E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3 days</w:t>
            </w:r>
          </w:p>
          <w:p w14:paraId="37EB1D4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42/916</w:t>
            </w:r>
          </w:p>
          <w:p w14:paraId="51CFEC96" w14:textId="77777777" w:rsidR="008C3AC3" w:rsidRPr="008C3AC3" w:rsidRDefault="008C3AC3" w:rsidP="008C3AC3">
            <w:pPr>
              <w:spacing w:after="0" w:line="276" w:lineRule="auto"/>
              <w:jc w:val="center"/>
              <w:rPr>
                <w:rFonts w:ascii="Arial" w:eastAsia="Calibri" w:hAnsi="Arial" w:cs="Arial"/>
                <w:sz w:val="14"/>
                <w:szCs w:val="14"/>
                <w:lang w:val="en-GB"/>
              </w:rPr>
            </w:pPr>
          </w:p>
        </w:tc>
        <w:tc>
          <w:tcPr>
            <w:tcW w:w="1275" w:type="dxa"/>
            <w:shd w:val="clear" w:color="auto" w:fill="auto"/>
          </w:tcPr>
          <w:p w14:paraId="30B419A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tc>
        <w:tc>
          <w:tcPr>
            <w:tcW w:w="1438" w:type="dxa"/>
          </w:tcPr>
          <w:p w14:paraId="0847CE8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tc>
        <w:tc>
          <w:tcPr>
            <w:tcW w:w="946" w:type="dxa"/>
            <w:shd w:val="clear" w:color="auto" w:fill="auto"/>
          </w:tcPr>
          <w:p w14:paraId="45CA6B0E"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91%</w:t>
            </w:r>
          </w:p>
        </w:tc>
      </w:tr>
      <w:tr w:rsidR="008C3AC3" w:rsidRPr="008C3AC3" w14:paraId="15913AC0" w14:textId="77777777" w:rsidTr="00E66782">
        <w:trPr>
          <w:trHeight w:val="234"/>
          <w:jc w:val="center"/>
        </w:trPr>
        <w:tc>
          <w:tcPr>
            <w:tcW w:w="1372" w:type="dxa"/>
            <w:shd w:val="clear" w:color="auto" w:fill="auto"/>
          </w:tcPr>
          <w:p w14:paraId="38F028D9"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Yndigegn et al (2022)</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{"citationItems":[{"id":"ITEM-1","itemData":{"DOI":"10.4244/EIJ-D-21-00501","ISSN":"1969-6213 (Electronic)","PMID":"34338642","abstract":"BACKGROUND: The Second Primary Angioplasty in Myocardial Infarction (PAMI-II) risk score is recommended by guidelines to identify low-risk patients with ST-elevation myocardial infarction (STEMI) for an early discharge strategy. AIMS: We aimed to assess the safety of early discharge (≤2 days) for low-risk STEMI patients treated with primary percutaneous coronary intervention (PCI). METHODS: Using nationwide data from the SWEDEHEART registry, we identified patients with STEMI treated with primary PCI during the period 2009-2017, of whom 8,092 (26.4%) were identified as low risk with the PAMI-II score. Low-risk patients were stratified according to their length of hospital stay (≤2 days vs &gt;2 days). The primary endpoint was major adverse cardiovascular events (MACE, including death, reinfarction treated with PCI, stroke or heart failure hospitalisation) at one year, assessed using a Cox proportional hazards model with propensity score as well as an inverse probability weighting propensity score of average treatment effect to adjust for confounders. RESULTS: A total of 1,449 (17.9%) patients were discharged ≤2 days from admission. After adjustment, the one-year MACE rate was not higher for patients discharged at &gt;2 days from admission than for patients discharged ≤2 days (4.3% vs 3.2%; adjusted HR 1.31, 95% confidence interval [CI]: 0.92-1.87, p=0.14), and no difference was observed regarding any of the individual components of the main outcome. Results were consistent across all subgroups with no difference in MACE between early and late discharge patients. CONCLUSIONS: Nationwide observational data suggest that early discharge of low-risk patients with STEMI treated with PCI is not associated with an increase in one-year MACE.","author":[{"dropping-particle":"","family":"Yndigegn et al","given":"","non-dropping-particle":"","parse-names":false,"suffix":""}],"container-title":"EuroIntervention : journal of EuroPCR in collaboration with the Working Group on Interventional Cardiology of the European Society of Cardiology","id":"ITEM-1","issue":"13","issued":{"date-parts":[["2022","1"]]},"language":"eng","page":"1091-1099","publisher-place":"France","title":"Safety of early hospital discharge following admission with ST-elevation myocardial infarction treated with percutaneous coronary intervention: a nationwide cohort study.","type":"article-journal","volume":"17"},"uris":["http://www.mendeley.com/documents/?uuid=18c1510b-2707-4504-ad95-e13bcf0e2c1e"]}],"mendeley":{"formattedCitation":"&lt;sup&gt;25&lt;/sup&gt;","plainTextFormattedCitation":"25","previouslyFormattedCitation":"&lt;sup&gt;25&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25</w:t>
            </w:r>
            <w:r w:rsidRPr="008C3AC3">
              <w:rPr>
                <w:rFonts w:ascii="Arial" w:eastAsia="Calibri" w:hAnsi="Arial" w:cs="Arial"/>
                <w:sz w:val="14"/>
                <w:szCs w:val="14"/>
                <w:lang w:val="id-ID"/>
              </w:rPr>
              <w:fldChar w:fldCharType="end"/>
            </w:r>
          </w:p>
          <w:p w14:paraId="705BE818" w14:textId="77777777" w:rsidR="008C3AC3" w:rsidRPr="008C3AC3" w:rsidRDefault="008C3AC3" w:rsidP="008C3AC3">
            <w:pPr>
              <w:spacing w:after="0" w:line="276" w:lineRule="auto"/>
              <w:jc w:val="center"/>
              <w:rPr>
                <w:rFonts w:ascii="Arial" w:eastAsia="Calibri" w:hAnsi="Arial" w:cs="Arial"/>
                <w:sz w:val="14"/>
                <w:szCs w:val="14"/>
                <w:lang w:val="en-GB"/>
              </w:rPr>
            </w:pPr>
            <w:proofErr w:type="spellStart"/>
            <w:r w:rsidRPr="008C3AC3">
              <w:rPr>
                <w:rFonts w:ascii="Arial" w:eastAsia="Calibri" w:hAnsi="Arial" w:cs="Arial"/>
                <w:sz w:val="14"/>
                <w:szCs w:val="14"/>
                <w:lang w:val="en-GB"/>
              </w:rPr>
              <w:t>Swedia</w:t>
            </w:r>
            <w:proofErr w:type="spellEnd"/>
          </w:p>
          <w:p w14:paraId="10E3CF2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Prospective cohort study</w:t>
            </w:r>
          </w:p>
        </w:tc>
        <w:tc>
          <w:tcPr>
            <w:tcW w:w="2370" w:type="dxa"/>
            <w:shd w:val="clear" w:color="auto" w:fill="auto"/>
          </w:tcPr>
          <w:p w14:paraId="0E8F4E36"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en-GB"/>
              </w:rPr>
              <w:t>Age &lt;70 years, One- or two-vessel disease, LVEF ≥50%, and absence of serious arrhythmias requiring defibrillation/ cardioversion or pacemaker.</w:t>
            </w:r>
          </w:p>
          <w:p w14:paraId="2AB819D4" w14:textId="77777777" w:rsidR="008C3AC3" w:rsidRPr="008C3AC3" w:rsidRDefault="008C3AC3" w:rsidP="008C3AC3">
            <w:pPr>
              <w:spacing w:after="0" w:line="276" w:lineRule="auto"/>
              <w:jc w:val="both"/>
              <w:rPr>
                <w:rFonts w:ascii="Arial" w:eastAsia="Calibri" w:hAnsi="Arial" w:cs="Arial"/>
                <w:sz w:val="14"/>
                <w:szCs w:val="14"/>
                <w:lang w:val="en-GB"/>
              </w:rPr>
            </w:pPr>
          </w:p>
          <w:p w14:paraId="73C393E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id-ID"/>
              </w:rPr>
              <w:lastRenderedPageBreak/>
              <w:t>Radial access in ED (83.9%)</w:t>
            </w:r>
          </w:p>
        </w:tc>
        <w:tc>
          <w:tcPr>
            <w:tcW w:w="1418" w:type="dxa"/>
            <w:shd w:val="clear" w:color="auto" w:fill="auto"/>
          </w:tcPr>
          <w:p w14:paraId="310F215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lastRenderedPageBreak/>
              <w:t>8.092 Patients</w:t>
            </w:r>
          </w:p>
          <w:p w14:paraId="2C7E3D6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(n=1.449) LD (n=6.643)</w:t>
            </w:r>
          </w:p>
        </w:tc>
        <w:tc>
          <w:tcPr>
            <w:tcW w:w="1275" w:type="dxa"/>
            <w:shd w:val="clear" w:color="auto" w:fill="auto"/>
          </w:tcPr>
          <w:p w14:paraId="0206608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ED (59.0) </w:t>
            </w:r>
          </w:p>
          <w:p w14:paraId="49B0DE4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(59.0)</w:t>
            </w:r>
          </w:p>
        </w:tc>
        <w:tc>
          <w:tcPr>
            <w:tcW w:w="1701" w:type="dxa"/>
            <w:shd w:val="clear" w:color="auto" w:fill="auto"/>
          </w:tcPr>
          <w:p w14:paraId="214CF49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within ≤2 days</w:t>
            </w:r>
          </w:p>
        </w:tc>
        <w:tc>
          <w:tcPr>
            <w:tcW w:w="1418" w:type="dxa"/>
            <w:shd w:val="clear" w:color="auto" w:fill="auto"/>
          </w:tcPr>
          <w:p w14:paraId="2050DDD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within &gt;2 days</w:t>
            </w:r>
          </w:p>
        </w:tc>
        <w:tc>
          <w:tcPr>
            <w:tcW w:w="1276" w:type="dxa"/>
            <w:shd w:val="clear" w:color="auto" w:fill="auto"/>
          </w:tcPr>
          <w:p w14:paraId="595B3A6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1BDD3FB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ED (7; 0.5%) </w:t>
            </w:r>
          </w:p>
          <w:p w14:paraId="11E21A5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(61; 0.9%)</w:t>
            </w:r>
          </w:p>
          <w:p w14:paraId="2A191A54" w14:textId="77777777" w:rsidR="008C3AC3" w:rsidRPr="008C3AC3" w:rsidRDefault="008C3AC3" w:rsidP="008C3AC3">
            <w:pPr>
              <w:spacing w:after="0" w:line="276" w:lineRule="auto"/>
              <w:jc w:val="center"/>
              <w:rPr>
                <w:rFonts w:ascii="Arial" w:eastAsia="Calibri" w:hAnsi="Arial" w:cs="Arial"/>
                <w:sz w:val="14"/>
                <w:szCs w:val="14"/>
                <w:lang w:val="en-GB"/>
              </w:rPr>
            </w:pPr>
          </w:p>
        </w:tc>
        <w:tc>
          <w:tcPr>
            <w:tcW w:w="1275" w:type="dxa"/>
            <w:shd w:val="clear" w:color="auto" w:fill="auto"/>
          </w:tcPr>
          <w:p w14:paraId="2013CE2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32D771A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ED (6; 0.4%) </w:t>
            </w:r>
          </w:p>
          <w:p w14:paraId="0E2FC6D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(20; 0.3%)</w:t>
            </w:r>
          </w:p>
          <w:p w14:paraId="59EC28A1" w14:textId="77777777" w:rsidR="008C3AC3" w:rsidRPr="008C3AC3" w:rsidRDefault="008C3AC3" w:rsidP="008C3AC3">
            <w:pPr>
              <w:spacing w:after="0" w:line="276" w:lineRule="auto"/>
              <w:rPr>
                <w:rFonts w:ascii="Arial" w:eastAsia="Calibri" w:hAnsi="Arial" w:cs="Arial"/>
                <w:sz w:val="14"/>
                <w:szCs w:val="14"/>
                <w:lang w:val="en-GB"/>
              </w:rPr>
            </w:pPr>
          </w:p>
          <w:p w14:paraId="53DF925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years</w:t>
            </w:r>
          </w:p>
          <w:p w14:paraId="42FEC68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ED (14; 1.0%) </w:t>
            </w:r>
          </w:p>
          <w:p w14:paraId="4312696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lastRenderedPageBreak/>
              <w:t>LD (68;1.0%)</w:t>
            </w:r>
          </w:p>
        </w:tc>
        <w:tc>
          <w:tcPr>
            <w:tcW w:w="1438" w:type="dxa"/>
          </w:tcPr>
          <w:p w14:paraId="346372A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lastRenderedPageBreak/>
              <w:t>N/I</w:t>
            </w:r>
          </w:p>
        </w:tc>
        <w:tc>
          <w:tcPr>
            <w:tcW w:w="946" w:type="dxa"/>
            <w:shd w:val="clear" w:color="auto" w:fill="auto"/>
          </w:tcPr>
          <w:p w14:paraId="66318A3D"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91%</w:t>
            </w:r>
          </w:p>
        </w:tc>
      </w:tr>
      <w:tr w:rsidR="008C3AC3" w:rsidRPr="008C3AC3" w14:paraId="164C96F5" w14:textId="77777777" w:rsidTr="00E66782">
        <w:trPr>
          <w:trHeight w:val="234"/>
          <w:jc w:val="center"/>
        </w:trPr>
        <w:tc>
          <w:tcPr>
            <w:tcW w:w="1372" w:type="dxa"/>
            <w:shd w:val="clear" w:color="auto" w:fill="auto"/>
          </w:tcPr>
          <w:p w14:paraId="7F87A380"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Noman et al (2013)</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{"citationItems":[{"id":"ITEM-1","itemData":{"DOI":"10.1177/2048872612475231","author":[{"dropping-particle":"","family":"Noman","given":"A","non-dropping-particle":"","parse-names":false,"suffix":""},{"dropping-particle":"","family":"Zaman","given":"A G","non-dropping-particle":"","parse-names":false,"suffix":""},{"dropping-particle":"","family":"Schechter","given":"C","non-dropping-particle":"","parse-names":false,"suffix":""},{"dropping-particle":"","family":"Balasubramaniam","given":"K","non-dropping-particle":"","parse-names":false,"suffix":""},{"dropping-particle":"","family":"Das","given":"R","non-dropping-particle":"","parse-names":false,"suffix":""}],"container-title":"European Heart Journal: Acute Cardiovascular Care","id":"ITEM-1","issue":"3","issued":{"date-parts":[["2013"]]},"note":"Cited By :47\n\nExport Date: 19 November 2022","page":"262-269","title":"Early discharge after primary percutaneous coronary intervention for ST-elevation myocardial infarction","type":"article-journal","volume":"2"},"uris":["http://www.mendeley.com/documents/?uuid=46420d02-ded8-4cf4-9f32-94a2896fd8df"]}],"mendeley":{"formattedCitation":"&lt;sup&gt;19&lt;/sup&gt;","plainTextFormattedCitation":"19","previouslyFormattedCitation":"&lt;sup&gt;19&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19</w:t>
            </w:r>
            <w:r w:rsidRPr="008C3AC3">
              <w:rPr>
                <w:rFonts w:ascii="Arial" w:eastAsia="Calibri" w:hAnsi="Arial" w:cs="Arial"/>
                <w:sz w:val="14"/>
                <w:szCs w:val="14"/>
                <w:lang w:val="id-ID"/>
              </w:rPr>
              <w:fldChar w:fldCharType="end"/>
            </w:r>
          </w:p>
          <w:p w14:paraId="119857D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United Kingdom</w:t>
            </w:r>
          </w:p>
          <w:p w14:paraId="1C6EB424"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R</w:t>
            </w:r>
            <w:r w:rsidRPr="008C3AC3">
              <w:rPr>
                <w:rFonts w:ascii="Arial" w:eastAsia="Calibri" w:hAnsi="Arial" w:cs="Arial"/>
                <w:sz w:val="14"/>
                <w:szCs w:val="14"/>
                <w:lang w:val="id-ID"/>
              </w:rPr>
              <w:t>etrospective observational cohort study.</w:t>
            </w:r>
          </w:p>
        </w:tc>
        <w:tc>
          <w:tcPr>
            <w:tcW w:w="2370" w:type="dxa"/>
            <w:shd w:val="clear" w:color="auto" w:fill="auto"/>
          </w:tcPr>
          <w:p w14:paraId="5E01852B"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en-GB"/>
              </w:rPr>
              <w:t>TIMI grade flow 3 in the infarct-related artery and without haemodynamic or arrhythmic complications.</w:t>
            </w:r>
          </w:p>
          <w:p w14:paraId="7B5EB662" w14:textId="77777777" w:rsidR="008C3AC3" w:rsidRPr="008C3AC3" w:rsidRDefault="008C3AC3" w:rsidP="008C3AC3">
            <w:pPr>
              <w:spacing w:after="0" w:line="276" w:lineRule="auto"/>
              <w:jc w:val="both"/>
              <w:rPr>
                <w:rFonts w:ascii="Arial" w:eastAsia="Calibri" w:hAnsi="Arial" w:cs="Arial"/>
                <w:sz w:val="14"/>
                <w:szCs w:val="14"/>
                <w:lang w:val="en-GB"/>
              </w:rPr>
            </w:pPr>
          </w:p>
          <w:p w14:paraId="7B87BFC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Radial access in ED (72.6%)</w:t>
            </w:r>
          </w:p>
        </w:tc>
        <w:tc>
          <w:tcPr>
            <w:tcW w:w="1418" w:type="dxa"/>
            <w:shd w:val="clear" w:color="auto" w:fill="auto"/>
          </w:tcPr>
          <w:p w14:paraId="21D5A1B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2.448 Patients</w:t>
            </w:r>
          </w:p>
          <w:p w14:paraId="1BA8E02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(n=1.542)</w:t>
            </w:r>
          </w:p>
          <w:p w14:paraId="38AB7A9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(n=906)</w:t>
            </w:r>
          </w:p>
        </w:tc>
        <w:tc>
          <w:tcPr>
            <w:tcW w:w="1275" w:type="dxa"/>
            <w:shd w:val="clear" w:color="auto" w:fill="auto"/>
          </w:tcPr>
          <w:p w14:paraId="258A4DC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(61.4±12.8)</w:t>
            </w:r>
          </w:p>
          <w:p w14:paraId="45D6356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(64.8±13.6)</w:t>
            </w:r>
          </w:p>
        </w:tc>
        <w:tc>
          <w:tcPr>
            <w:tcW w:w="1701" w:type="dxa"/>
            <w:shd w:val="clear" w:color="auto" w:fill="auto"/>
          </w:tcPr>
          <w:p w14:paraId="45CBFBD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within 2 days of admission</w:t>
            </w:r>
          </w:p>
        </w:tc>
        <w:tc>
          <w:tcPr>
            <w:tcW w:w="1418" w:type="dxa"/>
            <w:shd w:val="clear" w:color="auto" w:fill="auto"/>
          </w:tcPr>
          <w:p w14:paraId="3D89939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within &gt;2 days of admission</w:t>
            </w:r>
          </w:p>
        </w:tc>
        <w:tc>
          <w:tcPr>
            <w:tcW w:w="1276" w:type="dxa"/>
            <w:shd w:val="clear" w:color="auto" w:fill="auto"/>
          </w:tcPr>
          <w:p w14:paraId="61EFE6F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tc>
        <w:tc>
          <w:tcPr>
            <w:tcW w:w="1275" w:type="dxa"/>
            <w:shd w:val="clear" w:color="auto" w:fill="auto"/>
          </w:tcPr>
          <w:p w14:paraId="4B7B724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FU-7 days</w:t>
            </w:r>
          </w:p>
          <w:p w14:paraId="59DC1FF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(0)</w:t>
            </w:r>
          </w:p>
          <w:p w14:paraId="6CC3A24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(4; 0.4%)</w:t>
            </w:r>
          </w:p>
          <w:p w14:paraId="283512DA" w14:textId="77777777" w:rsidR="008C3AC3" w:rsidRPr="008C3AC3" w:rsidRDefault="008C3AC3" w:rsidP="008C3AC3">
            <w:pPr>
              <w:spacing w:after="0" w:line="276" w:lineRule="auto"/>
              <w:jc w:val="center"/>
              <w:rPr>
                <w:rFonts w:ascii="Arial" w:eastAsia="Calibri" w:hAnsi="Arial" w:cs="Arial"/>
                <w:sz w:val="14"/>
                <w:szCs w:val="14"/>
                <w:lang w:val="en-GB"/>
              </w:rPr>
            </w:pPr>
          </w:p>
          <w:p w14:paraId="1720EA5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64CA1D4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(11;0.71%)</w:t>
            </w:r>
          </w:p>
          <w:p w14:paraId="38D3518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(15; 1.66%)</w:t>
            </w:r>
          </w:p>
          <w:p w14:paraId="1DEB0B6C" w14:textId="77777777" w:rsidR="008C3AC3" w:rsidRPr="008C3AC3" w:rsidRDefault="008C3AC3" w:rsidP="008C3AC3">
            <w:pPr>
              <w:spacing w:after="0" w:line="276" w:lineRule="auto"/>
              <w:jc w:val="center"/>
              <w:rPr>
                <w:rFonts w:ascii="Arial" w:eastAsia="Calibri" w:hAnsi="Arial" w:cs="Arial"/>
                <w:sz w:val="14"/>
                <w:szCs w:val="14"/>
                <w:lang w:val="en-GB"/>
              </w:rPr>
            </w:pPr>
          </w:p>
          <w:p w14:paraId="5D21F93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FU-584 days</w:t>
            </w:r>
          </w:p>
          <w:p w14:paraId="7B636C2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(67;4.3%)</w:t>
            </w:r>
          </w:p>
          <w:p w14:paraId="303A047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(111; 12.3%)</w:t>
            </w:r>
          </w:p>
        </w:tc>
        <w:tc>
          <w:tcPr>
            <w:tcW w:w="1438" w:type="dxa"/>
          </w:tcPr>
          <w:p w14:paraId="3CC933E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Median</w:t>
            </w:r>
          </w:p>
          <w:p w14:paraId="0DD8D80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(2)</w:t>
            </w:r>
          </w:p>
          <w:p w14:paraId="52E40D0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(3)</w:t>
            </w:r>
          </w:p>
          <w:p w14:paraId="11D3F3B9"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days</w:t>
            </w:r>
          </w:p>
          <w:p w14:paraId="0B39CC90" w14:textId="77777777" w:rsidR="008C3AC3" w:rsidRPr="008C3AC3" w:rsidRDefault="008C3AC3" w:rsidP="008C3AC3">
            <w:pPr>
              <w:spacing w:after="0" w:line="276" w:lineRule="auto"/>
              <w:jc w:val="center"/>
              <w:rPr>
                <w:rFonts w:ascii="Arial" w:eastAsia="Calibri" w:hAnsi="Arial" w:cs="Arial"/>
                <w:sz w:val="14"/>
                <w:szCs w:val="14"/>
                <w:lang w:val="en-GB"/>
              </w:rPr>
            </w:pPr>
          </w:p>
          <w:p w14:paraId="4369674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Mean</w:t>
            </w:r>
          </w:p>
          <w:p w14:paraId="3DAD27F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(1.4)</w:t>
            </w:r>
          </w:p>
          <w:p w14:paraId="36E3795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LD (5.1)</w:t>
            </w:r>
          </w:p>
        </w:tc>
        <w:tc>
          <w:tcPr>
            <w:tcW w:w="946" w:type="dxa"/>
            <w:shd w:val="clear" w:color="auto" w:fill="auto"/>
          </w:tcPr>
          <w:p w14:paraId="4FB2B813"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91%</w:t>
            </w:r>
          </w:p>
        </w:tc>
      </w:tr>
      <w:tr w:rsidR="008C3AC3" w:rsidRPr="008C3AC3" w14:paraId="4D2EDF6A" w14:textId="77777777" w:rsidTr="00E66782">
        <w:trPr>
          <w:trHeight w:val="234"/>
          <w:jc w:val="center"/>
        </w:trPr>
        <w:tc>
          <w:tcPr>
            <w:tcW w:w="1372" w:type="dxa"/>
            <w:shd w:val="clear" w:color="auto" w:fill="auto"/>
          </w:tcPr>
          <w:p w14:paraId="1347F79E"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Yousif et al (2021)</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{"citationItems":[{"id":"ITEM-1","itemData":{"DOI":"10.37616/2212-5043.1242","ISSN":"22125043","PMID":"33936941","abstract":"Background: The aim of the current study is to determine the safety of early discharge (ED) within 48 hours (h) for ST-elevation myocardial infarction (STEMI) patients who underwent primary percutaneous coronary intervention (PPCI) and to define the criteria of low-risk patients that can be considered for ED. Methods: This is a single-center retrospective study that took place at Mohammed bin Khalifa Cardiac Centre in the Kingdom of Bahrain. 301 patients who underwent PPCI between January 2018 and March 2019 were included. Endpoints at 30 days follow-up comprised cardiac re-admission, cardiovascular death, non-fatal myocardial infarction, stroke, and major adverse cardiovascular and cerebrovascular events. Results: Of the 301 patients included in our study, 74 (24.5%) were discharged within 48 h (group 1) compared with 227 (75.5%) hospitalized for more than 48 h after PPCI (group 2) (&lt;0.0001). In terms of baseline characteristics, group 2 had higher proportions of chronic kidney disease (P ¼ 0.051), mean HbA1c (P ¼ 0.016) and mean CPK (P &lt; 0.0001) compared to their group 1 counterparts. The prevalence of anterior STEMI was twice as high among group 2 (P &lt; 0.0001), with a significantly higher prevalence of left main stenting (P ¼ 0.025). Additionally, larger proportion of group 2 required inotropic therapy (P ¼ 0.031), oral anticoagulation (P ¼ 0.005) and had a significantly lower ejection fraction (LVEF) (P &lt; 0.0001) with more procedural complications (P ¼ 0.005). LVEF exerts a large effect on ED, as reflected by a high deviance R2 ¼ 20.4%, and was able to correctly classify the subjects into their pertaining discharge group with an accuracy of 80.4%, a specificity of 82.7%, and a sensitivity of 71.2%. According to the fitted LVEF values using the logistic equation, each 1% increase in LVEF is associated with a 3.5% increase in the chance of ED. The two groups recorded fairly similar clinical outcomes at 30-day. Conclusion: Preserved LV systolic function is a good predictor of early and safe discharge after successful PPCI. The presented data support the practice of ED, with length of stay even shorter than current guidelines recommendation in selected low-risk patients.","author":[{"dropping-particle":"","family":"Yousif","given":"Nooraldaem","non-dropping-particle":"","parse-names":false,"suffix":""},{"dropping-particle":"","family":"Chachar","given":"Tarique S.","non-dropping-particle":"","parse-names":false,"suffix":""},{"dropping-particle":"","family":"Subbramaniyam","given":"Suddharsan","non-dropping-particle":"","parse-names":false,"suffix":""},{"dropping-particle":"","family":"Vadgaonkar","given":"Vinayak","non-dropping-particle":"","parse-names":false,"suffix":""},{"dropping-particle":"","family":"Noor","given":"Husam A.","non-dropping-particle":"","parse-names":false,"suffix":""}],"container-title":"Journal of the Saudi Heart Association","id":"ITEM-1","issue":"1","issued":{"date-parts":[["2021"]]},"language":"eng","page":"77-84","publisher-place":"Saudi Arabia","title":"Safety and feasibility of 48 h discharge after successful primary percutaneous coronary intervention","type":"article-journal","volume":"33"},"uris":["http://www.mendeley.com/documents/?uuid=ab72625a-a0ab-4d5c-9c45-e7d35ff1ddaa"]}],"mendeley":{"formattedCitation":"&lt;sup&gt;26&lt;/sup&gt;","plainTextFormattedCitation":"26","previouslyFormattedCitation":"&lt;sup&gt;26&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26</w:t>
            </w:r>
            <w:r w:rsidRPr="008C3AC3">
              <w:rPr>
                <w:rFonts w:ascii="Arial" w:eastAsia="Calibri" w:hAnsi="Arial" w:cs="Arial"/>
                <w:sz w:val="14"/>
                <w:szCs w:val="14"/>
                <w:lang w:val="id-ID"/>
              </w:rPr>
              <w:fldChar w:fldCharType="end"/>
            </w:r>
          </w:p>
          <w:p w14:paraId="4AF32E3B"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id-ID"/>
              </w:rPr>
              <w:t>Kingdom of Bahrain</w:t>
            </w:r>
          </w:p>
          <w:p w14:paraId="6E41725C"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R</w:t>
            </w:r>
            <w:r w:rsidRPr="008C3AC3">
              <w:rPr>
                <w:rFonts w:ascii="Arial" w:eastAsia="Calibri" w:hAnsi="Arial" w:cs="Arial"/>
                <w:sz w:val="14"/>
                <w:szCs w:val="14"/>
                <w:lang w:val="id-ID"/>
              </w:rPr>
              <w:t>etrospective observational cohort study</w:t>
            </w:r>
          </w:p>
        </w:tc>
        <w:tc>
          <w:tcPr>
            <w:tcW w:w="2370" w:type="dxa"/>
            <w:shd w:val="clear" w:color="auto" w:fill="auto"/>
          </w:tcPr>
          <w:p w14:paraId="5FCD26F6"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en-GB"/>
              </w:rPr>
              <w:t>TIMI grade flow 3 in the culprit artery and without haemodynamic or arrhythmic complications, the absence of complications, LVEF&gt;40%.</w:t>
            </w:r>
          </w:p>
          <w:p w14:paraId="5C5C88CD" w14:textId="77777777" w:rsidR="008C3AC3" w:rsidRPr="008C3AC3" w:rsidRDefault="008C3AC3" w:rsidP="008C3AC3">
            <w:pPr>
              <w:spacing w:after="0" w:line="276" w:lineRule="auto"/>
              <w:jc w:val="both"/>
              <w:rPr>
                <w:rFonts w:ascii="Arial" w:eastAsia="Calibri" w:hAnsi="Arial" w:cs="Arial"/>
                <w:sz w:val="14"/>
                <w:szCs w:val="14"/>
                <w:lang w:val="en-GB"/>
              </w:rPr>
            </w:pPr>
          </w:p>
          <w:p w14:paraId="64F90DB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Radial access in ED (90.5%)</w:t>
            </w:r>
          </w:p>
        </w:tc>
        <w:tc>
          <w:tcPr>
            <w:tcW w:w="1418" w:type="dxa"/>
            <w:shd w:val="clear" w:color="auto" w:fill="auto"/>
          </w:tcPr>
          <w:p w14:paraId="41901F3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301 Patients</w:t>
            </w:r>
          </w:p>
          <w:p w14:paraId="510B475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(n=74)</w:t>
            </w:r>
          </w:p>
          <w:p w14:paraId="38BDC3A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(n=227)</w:t>
            </w:r>
          </w:p>
        </w:tc>
        <w:tc>
          <w:tcPr>
            <w:tcW w:w="1275" w:type="dxa"/>
            <w:shd w:val="clear" w:color="auto" w:fill="auto"/>
          </w:tcPr>
          <w:p w14:paraId="6308BE9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(55 ± 11.5)</w:t>
            </w:r>
          </w:p>
          <w:p w14:paraId="618421D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(53.4 ± 11.3)</w:t>
            </w:r>
          </w:p>
        </w:tc>
        <w:tc>
          <w:tcPr>
            <w:tcW w:w="1701" w:type="dxa"/>
            <w:shd w:val="clear" w:color="auto" w:fill="auto"/>
          </w:tcPr>
          <w:p w14:paraId="2512E21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within &lt;48 h of admission</w:t>
            </w:r>
          </w:p>
        </w:tc>
        <w:tc>
          <w:tcPr>
            <w:tcW w:w="1418" w:type="dxa"/>
            <w:shd w:val="clear" w:color="auto" w:fill="auto"/>
          </w:tcPr>
          <w:p w14:paraId="6077590D"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within &gt;48 hour of admission</w:t>
            </w:r>
          </w:p>
        </w:tc>
        <w:tc>
          <w:tcPr>
            <w:tcW w:w="1276" w:type="dxa"/>
            <w:shd w:val="clear" w:color="auto" w:fill="auto"/>
          </w:tcPr>
          <w:p w14:paraId="5DA02E5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651FECD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(2; 2.7%)</w:t>
            </w:r>
          </w:p>
          <w:p w14:paraId="14CEF23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(9; 4%)</w:t>
            </w:r>
          </w:p>
        </w:tc>
        <w:tc>
          <w:tcPr>
            <w:tcW w:w="1275" w:type="dxa"/>
            <w:shd w:val="clear" w:color="auto" w:fill="auto"/>
          </w:tcPr>
          <w:p w14:paraId="622FF615"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6500815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(0)</w:t>
            </w:r>
          </w:p>
          <w:p w14:paraId="5F6F785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(2; 0.8%)</w:t>
            </w:r>
          </w:p>
        </w:tc>
        <w:tc>
          <w:tcPr>
            <w:tcW w:w="1438" w:type="dxa"/>
          </w:tcPr>
          <w:p w14:paraId="5267A9B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tc>
        <w:tc>
          <w:tcPr>
            <w:tcW w:w="946" w:type="dxa"/>
            <w:shd w:val="clear" w:color="auto" w:fill="auto"/>
          </w:tcPr>
          <w:p w14:paraId="6DE6E011"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91%</w:t>
            </w:r>
          </w:p>
        </w:tc>
      </w:tr>
      <w:tr w:rsidR="008C3AC3" w:rsidRPr="008C3AC3" w14:paraId="71BFDC87" w14:textId="77777777" w:rsidTr="00E66782">
        <w:trPr>
          <w:trHeight w:val="234"/>
          <w:jc w:val="center"/>
        </w:trPr>
        <w:tc>
          <w:tcPr>
            <w:tcW w:w="1372" w:type="dxa"/>
            <w:shd w:val="clear" w:color="auto" w:fill="auto"/>
          </w:tcPr>
          <w:p w14:paraId="1A3DCD70"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Swaminathan et al (2015)</w:t>
            </w:r>
            <w:r w:rsidRPr="008C3AC3">
              <w:rPr>
                <w:rFonts w:ascii="Arial" w:eastAsia="Calibri" w:hAnsi="Arial" w:cs="Arial"/>
                <w:sz w:val="14"/>
                <w:szCs w:val="14"/>
                <w:lang w:val="id-ID"/>
              </w:rPr>
              <w:fldChar w:fldCharType="begin" w:fldLock="1"/>
            </w:r>
            <w:r w:rsidRPr="008C3AC3">
              <w:rPr>
                <w:rFonts w:ascii="Arial" w:eastAsia="Calibri" w:hAnsi="Arial" w:cs="Arial"/>
                <w:sz w:val="14"/>
                <w:szCs w:val="14"/>
                <w:lang w:val="id-ID"/>
              </w:rPr>
              <w:instrText>ADDIN CSL_CITATION {"citationItems":[{"id":"ITEM-1","itemData":{"DOI":"10.1016/j.jacc.2015.01.028","ISSN":"1558-3597 (Electronic)","PMID":"25814223","abstract":"BACKGROUND: There has been a decline in hospital length of stay (LOS) after  primary percutaneous coronary intervention (PPCI) for ST-segment elevation myocardial infarction (STEMI). OBJECTIVES: The objective of this study was to examine whether shorter LOS is safe for older patients undergoing PPCI for STEMI. METHODS: The study analyzed patients' characteristics and 30-day outcomes by LOS (short, ≤3 days; medium, 4 to 5 days; long &gt;5 days; where LOS was the discharge date minus the admission date plus 1) among 33,920 patients with STEMI in the linked CathPCI Registry-Centers for Medicare &amp; Medicaid Services dataset who were ≥65 years of age and treated with PPCI from 2004 to 2009. RESULTS: Percents of patients in each category were as follows: 26.9%, 46.3%, and 26.8% for short, medium, and long LOS, respectively. Patients with a long LOS were generally older, female, and had more comorbidities, including cardiogenic shock and multivessel disease. Patients with a short LOS generally had higher ejection fraction and single-vessel disease. There was no significant difference in 30-day all-cause mortality (hazard ratio [HR]: 1.00; 95% confidence interval [CI]: 0.74 to 1.34) or major adverse cardiac events (MACE) (death, readmission for myocardial infarction, unplanned revascularization: HR: 1.03; 95% CI: 0.86 to 1.25) for medium versus short LOS. There was a significant increase in adjusted mortality (HR: 2.30; 95% CI: 1.72 to 3.07) and MACE (HR: 1.75; 95% CI: 1.44 to 2.12) for long versus short LOS. Patients with a very short LOS (1 to 2 days) had significantly increased 30-day mortality and MACE compared with a 3- to 4-day LOS. CONCLUSIONS: Patients discharged as early as 48 h after PPCI have outcomes similar to patients who stay in the hospital for 4 to 5 days. Early, but not very early (&lt;48 h), discharge may be safe among selected older patients with STEMI.","author":[{"dropping-particle":"V","family":"Swaminathan","given":"Rajesh","non-dropping-particle":"","parse-names":false,"suffix":""},{"dropping-particle":"V","family":"Rao","given":"Sunil","non-dropping-particle":"","parse-names":false,"suffix":""},{"dropping-particle":"","family":"McCoy","given":"Lisa A","non-dropping-particle":"","parse-names":false,"suffix":""},{"dropping-particle":"","family":"Kim","given":"Luke K","non-dropping-particle":"","parse-names":false,"suffix":""},{"dropping-particle":"","family":"Minutello","given":"Robert M","non-dropping-particle":"","parse-names":false,"suffix":""},{"dropping-particle":"","family":"Wong","given":"S Chiu","non-dropping-particle":"","parse-names":false,"suffix":""},{"dropping-particle":"","family":"Yang","given":"David C","non-dropping-particle":"","parse-names":false,"suffix":""},{"dropping-particle":"","family":"Saha-Chaudhuri","given":"Paramita","non-dropping-particle":"","parse-names":false,"suffix":""},{"dropping-particle":"","family":"Singh","given":"Harsimran S","non-dropping-particle":"","parse-names":false,"suffix":""},{"dropping-particle":"","family":"Bergman","given":"Geoffrey","non-dropping-particle":"","parse-names":false,"suffix":""},{"dropping-particle":"","family":"Feldman","given":"Dmitriy N","non-dropping-particle":"","parse-names":false,"suffix":""}],"container-title":"Journal of the American College of Cardiology","id":"ITEM-1","issue":"12","issued":{"date-parts":[["2015","3"]]},"language":"eng","page":"1161-1171","publisher-place":"United States","title":"Hospital length of stay and clinical outcomes in older STEMI patients after  primary PCI: a report from the National Cardiovascular Data Registry.","type":"article-journal","volume":"65"},"uris":["http://www.mendeley.com/documents/?uuid=f56ed853-d4a7-47df-90db-124c52d4e82c"]}],"mendeley":{"formattedCitation":"&lt;sup&gt;17&lt;/sup&gt;","plainTextFormattedCitation":"17","previouslyFormattedCitation":"&lt;sup&gt;17&lt;/sup&gt;"},"properties":{"noteIndex":0},"schema":"https://github.com/citation-style-language/schema/raw/master/csl-citation.json"}</w:instrText>
            </w:r>
            <w:r w:rsidRPr="008C3AC3">
              <w:rPr>
                <w:rFonts w:ascii="Arial" w:eastAsia="Calibri" w:hAnsi="Arial" w:cs="Arial"/>
                <w:sz w:val="14"/>
                <w:szCs w:val="14"/>
                <w:lang w:val="id-ID"/>
              </w:rPr>
              <w:fldChar w:fldCharType="separate"/>
            </w:r>
            <w:r w:rsidRPr="008C3AC3">
              <w:rPr>
                <w:rFonts w:ascii="Arial" w:eastAsia="Calibri" w:hAnsi="Arial" w:cs="Arial"/>
                <w:noProof/>
                <w:sz w:val="14"/>
                <w:szCs w:val="14"/>
                <w:vertAlign w:val="superscript"/>
                <w:lang w:val="id-ID"/>
              </w:rPr>
              <w:t>17</w:t>
            </w:r>
            <w:r w:rsidRPr="008C3AC3">
              <w:rPr>
                <w:rFonts w:ascii="Arial" w:eastAsia="Calibri" w:hAnsi="Arial" w:cs="Arial"/>
                <w:sz w:val="14"/>
                <w:szCs w:val="14"/>
                <w:lang w:val="id-ID"/>
              </w:rPr>
              <w:fldChar w:fldCharType="end"/>
            </w:r>
          </w:p>
          <w:p w14:paraId="4FFEF2B1"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USA</w:t>
            </w:r>
          </w:p>
          <w:p w14:paraId="02B1423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R</w:t>
            </w:r>
            <w:r w:rsidRPr="008C3AC3">
              <w:rPr>
                <w:rFonts w:ascii="Arial" w:eastAsia="Calibri" w:hAnsi="Arial" w:cs="Arial"/>
                <w:sz w:val="14"/>
                <w:szCs w:val="14"/>
                <w:lang w:val="id-ID"/>
              </w:rPr>
              <w:t>etrospective observational cohort study</w:t>
            </w:r>
          </w:p>
        </w:tc>
        <w:tc>
          <w:tcPr>
            <w:tcW w:w="2370" w:type="dxa"/>
            <w:shd w:val="clear" w:color="auto" w:fill="auto"/>
          </w:tcPr>
          <w:p w14:paraId="65456675" w14:textId="77777777" w:rsidR="008C3AC3" w:rsidRPr="008C3AC3" w:rsidRDefault="008C3AC3" w:rsidP="008C3AC3">
            <w:pPr>
              <w:spacing w:after="0" w:line="276" w:lineRule="auto"/>
              <w:jc w:val="both"/>
              <w:rPr>
                <w:rFonts w:ascii="Arial" w:eastAsia="Calibri" w:hAnsi="Arial" w:cs="Arial"/>
                <w:sz w:val="14"/>
                <w:szCs w:val="14"/>
                <w:lang w:val="en-GB"/>
              </w:rPr>
            </w:pPr>
            <w:r w:rsidRPr="008C3AC3">
              <w:rPr>
                <w:rFonts w:ascii="Arial" w:eastAsia="Calibri" w:hAnsi="Arial" w:cs="Arial"/>
                <w:sz w:val="14"/>
                <w:szCs w:val="14"/>
                <w:lang w:val="en-GB"/>
              </w:rPr>
              <w:t>No complications after PPCI, without comorbidities, Ventricular function was good before PCI, Onset of symptoms at hospital admission ≤6 hours, LVEF &gt;45%.</w:t>
            </w:r>
          </w:p>
          <w:p w14:paraId="32787EBC" w14:textId="77777777" w:rsidR="008C3AC3" w:rsidRPr="008C3AC3" w:rsidRDefault="008C3AC3" w:rsidP="008C3AC3">
            <w:pPr>
              <w:spacing w:after="0" w:line="276" w:lineRule="auto"/>
              <w:jc w:val="both"/>
              <w:rPr>
                <w:rFonts w:ascii="Arial" w:eastAsia="Calibri" w:hAnsi="Arial" w:cs="Arial"/>
                <w:sz w:val="14"/>
                <w:szCs w:val="14"/>
                <w:lang w:val="en-GB"/>
              </w:rPr>
            </w:pPr>
          </w:p>
          <w:p w14:paraId="53A2AFD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Femoral access in ED (97.9%)</w:t>
            </w:r>
          </w:p>
        </w:tc>
        <w:tc>
          <w:tcPr>
            <w:tcW w:w="1418" w:type="dxa"/>
            <w:shd w:val="clear" w:color="auto" w:fill="auto"/>
          </w:tcPr>
          <w:p w14:paraId="233F9D4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33,920 </w:t>
            </w:r>
            <w:proofErr w:type="spellStart"/>
            <w:r w:rsidRPr="008C3AC3">
              <w:rPr>
                <w:rFonts w:ascii="Arial" w:eastAsia="Calibri" w:hAnsi="Arial" w:cs="Arial"/>
                <w:sz w:val="14"/>
                <w:szCs w:val="14"/>
                <w:lang w:val="en-GB"/>
              </w:rPr>
              <w:t>Patiets</w:t>
            </w:r>
            <w:proofErr w:type="spellEnd"/>
          </w:p>
          <w:p w14:paraId="5A8150A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LOS ≤3 days </w:t>
            </w:r>
          </w:p>
          <w:p w14:paraId="2E0123A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(n = 9,135) </w:t>
            </w:r>
          </w:p>
          <w:p w14:paraId="7CC10AC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LOS 4–5 days </w:t>
            </w:r>
          </w:p>
          <w:p w14:paraId="14C7DAC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(n = 15,704) </w:t>
            </w:r>
          </w:p>
          <w:p w14:paraId="5220AD47"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LOS &gt;5 days </w:t>
            </w:r>
          </w:p>
          <w:p w14:paraId="4AA4645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 = 9,081)</w:t>
            </w:r>
          </w:p>
        </w:tc>
        <w:tc>
          <w:tcPr>
            <w:tcW w:w="1275" w:type="dxa"/>
            <w:shd w:val="clear" w:color="auto" w:fill="auto"/>
          </w:tcPr>
          <w:p w14:paraId="1FAA5ED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LOS ≤3 days </w:t>
            </w:r>
          </w:p>
          <w:p w14:paraId="6605DE0F"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(72.0) </w:t>
            </w:r>
          </w:p>
          <w:p w14:paraId="0A24D1E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LOS 4–5 days </w:t>
            </w:r>
          </w:p>
          <w:p w14:paraId="41942B7B"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(73.0) </w:t>
            </w:r>
          </w:p>
          <w:p w14:paraId="6C54F4D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LOS &gt;5 days </w:t>
            </w:r>
          </w:p>
          <w:p w14:paraId="12427A5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(76.0)</w:t>
            </w:r>
          </w:p>
        </w:tc>
        <w:tc>
          <w:tcPr>
            <w:tcW w:w="1701" w:type="dxa"/>
            <w:shd w:val="clear" w:color="auto" w:fill="auto"/>
          </w:tcPr>
          <w:p w14:paraId="1B5BE3A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w:t>
            </w:r>
          </w:p>
          <w:p w14:paraId="2F383550"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LOS ≤3 days </w:t>
            </w:r>
          </w:p>
          <w:p w14:paraId="1A61FCC8" w14:textId="77777777" w:rsidR="008C3AC3" w:rsidRPr="008C3AC3" w:rsidRDefault="008C3AC3" w:rsidP="008C3AC3">
            <w:pPr>
              <w:spacing w:after="0" w:line="276" w:lineRule="auto"/>
              <w:jc w:val="center"/>
              <w:rPr>
                <w:rFonts w:ascii="Arial" w:eastAsia="Calibri" w:hAnsi="Arial" w:cs="Arial"/>
                <w:sz w:val="14"/>
                <w:szCs w:val="14"/>
                <w:lang w:val="en-GB"/>
              </w:rPr>
            </w:pPr>
          </w:p>
        </w:tc>
        <w:tc>
          <w:tcPr>
            <w:tcW w:w="1418" w:type="dxa"/>
            <w:shd w:val="clear" w:color="auto" w:fill="auto"/>
          </w:tcPr>
          <w:p w14:paraId="3C2B3968"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w:t>
            </w:r>
          </w:p>
          <w:p w14:paraId="61461FD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 xml:space="preserve">LOS &gt;3 days </w:t>
            </w:r>
          </w:p>
          <w:p w14:paraId="5A3FC1B6" w14:textId="77777777" w:rsidR="008C3AC3" w:rsidRPr="008C3AC3" w:rsidRDefault="008C3AC3" w:rsidP="008C3AC3">
            <w:pPr>
              <w:spacing w:after="0" w:line="276" w:lineRule="auto"/>
              <w:jc w:val="center"/>
              <w:rPr>
                <w:rFonts w:ascii="Arial" w:eastAsia="Calibri" w:hAnsi="Arial" w:cs="Arial"/>
                <w:sz w:val="14"/>
                <w:szCs w:val="14"/>
                <w:lang w:val="en-GB"/>
              </w:rPr>
            </w:pPr>
          </w:p>
        </w:tc>
        <w:tc>
          <w:tcPr>
            <w:tcW w:w="1276" w:type="dxa"/>
            <w:shd w:val="clear" w:color="auto" w:fill="auto"/>
          </w:tcPr>
          <w:p w14:paraId="5AF737B6"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59211DBA"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(91/9135)</w:t>
            </w:r>
          </w:p>
          <w:p w14:paraId="667E55E3"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(318/24785)</w:t>
            </w:r>
          </w:p>
        </w:tc>
        <w:tc>
          <w:tcPr>
            <w:tcW w:w="1275" w:type="dxa"/>
            <w:shd w:val="clear" w:color="auto" w:fill="auto"/>
          </w:tcPr>
          <w:p w14:paraId="17B1E632"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FU-1 month</w:t>
            </w:r>
          </w:p>
          <w:p w14:paraId="1ED8C1E4"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ED (82/9135)</w:t>
            </w:r>
          </w:p>
          <w:p w14:paraId="7C93045E"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SD (475/24785)</w:t>
            </w:r>
          </w:p>
        </w:tc>
        <w:tc>
          <w:tcPr>
            <w:tcW w:w="1438" w:type="dxa"/>
          </w:tcPr>
          <w:p w14:paraId="2F1B815C" w14:textId="77777777" w:rsidR="008C3AC3" w:rsidRPr="008C3AC3" w:rsidRDefault="008C3AC3" w:rsidP="008C3AC3">
            <w:pPr>
              <w:spacing w:after="0" w:line="276" w:lineRule="auto"/>
              <w:jc w:val="center"/>
              <w:rPr>
                <w:rFonts w:ascii="Arial" w:eastAsia="Calibri" w:hAnsi="Arial" w:cs="Arial"/>
                <w:sz w:val="14"/>
                <w:szCs w:val="14"/>
                <w:lang w:val="en-GB"/>
              </w:rPr>
            </w:pPr>
            <w:r w:rsidRPr="008C3AC3">
              <w:rPr>
                <w:rFonts w:ascii="Arial" w:eastAsia="Calibri" w:hAnsi="Arial" w:cs="Arial"/>
                <w:sz w:val="14"/>
                <w:szCs w:val="14"/>
                <w:lang w:val="en-GB"/>
              </w:rPr>
              <w:t>N/I</w:t>
            </w:r>
          </w:p>
        </w:tc>
        <w:tc>
          <w:tcPr>
            <w:tcW w:w="946" w:type="dxa"/>
            <w:shd w:val="clear" w:color="auto" w:fill="auto"/>
          </w:tcPr>
          <w:p w14:paraId="4D3E7FF6" w14:textId="77777777" w:rsidR="008C3AC3" w:rsidRPr="008C3AC3" w:rsidRDefault="008C3AC3" w:rsidP="008C3AC3">
            <w:pPr>
              <w:spacing w:after="0" w:line="276" w:lineRule="auto"/>
              <w:jc w:val="center"/>
              <w:rPr>
                <w:rFonts w:ascii="Arial" w:eastAsia="Calibri" w:hAnsi="Arial" w:cs="Arial"/>
                <w:sz w:val="14"/>
                <w:szCs w:val="14"/>
                <w:lang w:val="id-ID"/>
              </w:rPr>
            </w:pPr>
            <w:r w:rsidRPr="008C3AC3">
              <w:rPr>
                <w:rFonts w:ascii="Arial" w:eastAsia="Calibri" w:hAnsi="Arial" w:cs="Arial"/>
                <w:sz w:val="14"/>
                <w:szCs w:val="14"/>
                <w:lang w:val="en-GB"/>
              </w:rPr>
              <w:t>91%</w:t>
            </w:r>
          </w:p>
        </w:tc>
      </w:tr>
    </w:tbl>
    <w:bookmarkEnd w:id="0"/>
    <w:p w14:paraId="42F2E3D8" w14:textId="554040CA" w:rsidR="00674C19" w:rsidRPr="00E37030" w:rsidRDefault="00674C19" w:rsidP="00F46738">
      <w:pPr>
        <w:spacing w:before="240" w:after="0" w:line="360" w:lineRule="auto"/>
        <w:jc w:val="both"/>
        <w:rPr>
          <w:rFonts w:ascii="Arial" w:hAnsi="Arial" w:cs="Arial"/>
          <w:sz w:val="18"/>
        </w:rPr>
      </w:pPr>
      <w:r w:rsidRPr="00E37030">
        <w:rPr>
          <w:rFonts w:ascii="Arial" w:hAnsi="Arial" w:cs="Arial"/>
          <w:b/>
          <w:bCs/>
          <w:sz w:val="18"/>
        </w:rPr>
        <w:t>Abbreviations</w:t>
      </w:r>
      <w:r w:rsidRPr="00E37030">
        <w:rPr>
          <w:rFonts w:ascii="Arial" w:hAnsi="Arial" w:cs="Arial"/>
          <w:sz w:val="18"/>
        </w:rPr>
        <w:t>: AC, Accelerated care; CDS, Conventional Discharge Strategy; ED, Early Discharge, EHD, Early Hospital Discharge; FU, Follow Up; LD, Late Discharge; LVEF, Left ventricular ejection fraction; N/I, Not Information; NED, Non-Early Discharge; PPCI, Primary Percutaneous Coronary Intervention; RCT, randomized controlled trials; SD, Standard Discharge; SHD, Standard Hospital Discharge; TD, Traditional Discharge; TIMI, Thrombolysis in Myocardial Infarction.</w:t>
      </w:r>
    </w:p>
    <w:p w14:paraId="7B1BA93C" w14:textId="77777777" w:rsidR="00674C19" w:rsidRPr="00E37030" w:rsidRDefault="00674C19" w:rsidP="00674C19">
      <w:pPr>
        <w:spacing w:after="0"/>
        <w:rPr>
          <w:rFonts w:ascii="Arial" w:hAnsi="Arial" w:cs="Arial"/>
          <w:b/>
          <w:bCs/>
        </w:rPr>
      </w:pPr>
    </w:p>
    <w:p w14:paraId="45C4441D" w14:textId="77777777" w:rsidR="00674C19" w:rsidRPr="00E37030" w:rsidRDefault="00674C19" w:rsidP="00674C19">
      <w:pPr>
        <w:spacing w:after="0"/>
        <w:rPr>
          <w:rFonts w:ascii="Arial" w:hAnsi="Arial" w:cs="Arial"/>
          <w:b/>
          <w:bCs/>
          <w:lang w:val="en-GB"/>
        </w:rPr>
        <w:sectPr w:rsidR="00674C19" w:rsidRPr="00E37030" w:rsidSect="004758DC">
          <w:pgSz w:w="16838" w:h="11906" w:orient="landscape"/>
          <w:pgMar w:top="1440" w:right="1440" w:bottom="1440" w:left="1440" w:header="708" w:footer="708" w:gutter="0"/>
          <w:cols w:space="708"/>
          <w:docGrid w:linePitch="360"/>
        </w:sectPr>
      </w:pPr>
    </w:p>
    <w:p w14:paraId="5A04D54D" w14:textId="48C84420" w:rsidR="00C07C75" w:rsidRPr="00E37030" w:rsidRDefault="00C07C75" w:rsidP="00D15217">
      <w:pPr>
        <w:spacing w:after="0"/>
        <w:jc w:val="center"/>
        <w:rPr>
          <w:rFonts w:ascii="Arial" w:hAnsi="Arial" w:cs="Arial"/>
          <w:b/>
          <w:bCs/>
          <w:sz w:val="20"/>
          <w:szCs w:val="20"/>
          <w:lang w:val="en-GB"/>
        </w:rPr>
      </w:pPr>
      <w:r w:rsidRPr="00E37030">
        <w:rPr>
          <w:rFonts w:ascii="Arial" w:hAnsi="Arial" w:cs="Arial"/>
          <w:b/>
          <w:bCs/>
          <w:sz w:val="20"/>
          <w:szCs w:val="20"/>
          <w:lang w:val="en-GB"/>
        </w:rPr>
        <w:lastRenderedPageBreak/>
        <w:t>Publication Bias</w:t>
      </w:r>
      <w:r w:rsidR="00A605CE" w:rsidRPr="00E37030">
        <w:rPr>
          <w:rFonts w:ascii="Arial" w:hAnsi="Arial" w:cs="Arial"/>
          <w:b/>
          <w:bCs/>
          <w:sz w:val="20"/>
          <w:szCs w:val="20"/>
          <w:lang w:val="en-GB"/>
        </w:rPr>
        <w:t xml:space="preserve"> Results</w:t>
      </w:r>
    </w:p>
    <w:p w14:paraId="2330FD49" w14:textId="77777777" w:rsidR="00D30A33" w:rsidRPr="00E37030" w:rsidRDefault="00D30A33" w:rsidP="00D15217">
      <w:pPr>
        <w:spacing w:after="0"/>
        <w:jc w:val="center"/>
        <w:rPr>
          <w:rFonts w:ascii="Arial" w:hAnsi="Arial" w:cs="Arial"/>
          <w:b/>
          <w:bCs/>
          <w:sz w:val="20"/>
          <w:szCs w:val="20"/>
          <w:lang w:val="en-GB"/>
        </w:rPr>
      </w:pPr>
    </w:p>
    <w:p w14:paraId="6BCF3E7A" w14:textId="1618BECC" w:rsidR="00C07C75" w:rsidRDefault="00DD5173" w:rsidP="00C07C75">
      <w:pPr>
        <w:rPr>
          <w:rFonts w:ascii="Arial" w:hAnsi="Arial" w:cs="Arial"/>
          <w:color w:val="333333"/>
          <w:sz w:val="16"/>
          <w:szCs w:val="16"/>
        </w:rPr>
      </w:pPr>
      <w:r w:rsidRPr="00DD5173">
        <w:rPr>
          <w:rFonts w:ascii="Arial" w:hAnsi="Arial" w:cs="Arial"/>
          <w:noProof/>
          <w:color w:val="333333"/>
          <w:sz w:val="16"/>
          <w:szCs w:val="16"/>
        </w:rPr>
        <w:drawing>
          <wp:inline distT="0" distB="0" distL="0" distR="0" wp14:anchorId="4E5C4477" wp14:editId="28109014">
            <wp:extent cx="3304969" cy="2178658"/>
            <wp:effectExtent l="0" t="0" r="0" b="0"/>
            <wp:docPr id="922182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82793" name=""/>
                    <pic:cNvPicPr/>
                  </pic:nvPicPr>
                  <pic:blipFill>
                    <a:blip r:embed="rId9"/>
                    <a:stretch>
                      <a:fillRect/>
                    </a:stretch>
                  </pic:blipFill>
                  <pic:spPr>
                    <a:xfrm>
                      <a:off x="0" y="0"/>
                      <a:ext cx="3321000" cy="2189226"/>
                    </a:xfrm>
                    <a:prstGeom prst="rect">
                      <a:avLst/>
                    </a:prstGeom>
                  </pic:spPr>
                </pic:pic>
              </a:graphicData>
            </a:graphic>
          </wp:inline>
        </w:drawing>
      </w:r>
    </w:p>
    <w:p w14:paraId="089CB50D" w14:textId="125B3FDA" w:rsidR="00C07C75" w:rsidRPr="00E37030" w:rsidRDefault="00C07C75" w:rsidP="00C07C75">
      <w:pPr>
        <w:rPr>
          <w:rFonts w:ascii="Arial" w:hAnsi="Arial" w:cs="Arial"/>
          <w:sz w:val="20"/>
          <w:szCs w:val="20"/>
        </w:rPr>
      </w:pPr>
      <w:r w:rsidRPr="00E37030">
        <w:rPr>
          <w:rFonts w:ascii="Arial" w:hAnsi="Arial" w:cs="Arial"/>
          <w:b/>
          <w:bCs/>
          <w:sz w:val="20"/>
          <w:szCs w:val="20"/>
        </w:rPr>
        <w:t xml:space="preserve">Figure </w:t>
      </w:r>
      <w:r w:rsidR="0089327D">
        <w:rPr>
          <w:rFonts w:ascii="Arial" w:hAnsi="Arial" w:cs="Arial"/>
          <w:b/>
          <w:bCs/>
          <w:sz w:val="20"/>
          <w:szCs w:val="20"/>
        </w:rPr>
        <w:t>S1</w:t>
      </w:r>
      <w:r w:rsidRPr="00E37030">
        <w:rPr>
          <w:rFonts w:ascii="Arial" w:hAnsi="Arial" w:cs="Arial"/>
          <w:sz w:val="20"/>
          <w:szCs w:val="20"/>
        </w:rPr>
        <w:t>. Funnel Plot of Readmission Outcome</w:t>
      </w:r>
    </w:p>
    <w:p w14:paraId="0DB4679B" w14:textId="77CB1395" w:rsidR="004948FF" w:rsidRPr="00E37030" w:rsidRDefault="00D740CE" w:rsidP="00C07C75">
      <w:pPr>
        <w:rPr>
          <w:rFonts w:ascii="Arial" w:hAnsi="Arial" w:cs="Arial"/>
          <w:color w:val="333333"/>
          <w:sz w:val="16"/>
          <w:szCs w:val="16"/>
        </w:rPr>
      </w:pPr>
      <w:r w:rsidRPr="00D740CE">
        <w:rPr>
          <w:rFonts w:ascii="Arial" w:hAnsi="Arial" w:cs="Arial"/>
          <w:noProof/>
          <w:color w:val="333333"/>
          <w:sz w:val="16"/>
          <w:szCs w:val="16"/>
        </w:rPr>
        <w:drawing>
          <wp:inline distT="0" distB="0" distL="0" distR="0" wp14:anchorId="44BB32DD" wp14:editId="2E9F39F7">
            <wp:extent cx="3333509" cy="2238836"/>
            <wp:effectExtent l="0" t="0" r="635" b="9525"/>
            <wp:docPr id="1477961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61119" name=""/>
                    <pic:cNvPicPr/>
                  </pic:nvPicPr>
                  <pic:blipFill>
                    <a:blip r:embed="rId10"/>
                    <a:stretch>
                      <a:fillRect/>
                    </a:stretch>
                  </pic:blipFill>
                  <pic:spPr>
                    <a:xfrm>
                      <a:off x="0" y="0"/>
                      <a:ext cx="3340818" cy="2243745"/>
                    </a:xfrm>
                    <a:prstGeom prst="rect">
                      <a:avLst/>
                    </a:prstGeom>
                  </pic:spPr>
                </pic:pic>
              </a:graphicData>
            </a:graphic>
          </wp:inline>
        </w:drawing>
      </w:r>
    </w:p>
    <w:p w14:paraId="430ABE35" w14:textId="7631301E" w:rsidR="00C07C75" w:rsidRPr="00E37030" w:rsidRDefault="00C07C75" w:rsidP="00C07C75">
      <w:pPr>
        <w:rPr>
          <w:rFonts w:ascii="Arial" w:hAnsi="Arial" w:cs="Arial"/>
          <w:sz w:val="20"/>
          <w:szCs w:val="20"/>
        </w:rPr>
      </w:pPr>
      <w:r w:rsidRPr="00E37030">
        <w:rPr>
          <w:rFonts w:ascii="Arial" w:hAnsi="Arial" w:cs="Arial"/>
          <w:b/>
          <w:bCs/>
          <w:sz w:val="20"/>
          <w:szCs w:val="20"/>
        </w:rPr>
        <w:t xml:space="preserve">Figure </w:t>
      </w:r>
      <w:r w:rsidR="0089327D">
        <w:rPr>
          <w:rFonts w:ascii="Arial" w:hAnsi="Arial" w:cs="Arial"/>
          <w:b/>
          <w:bCs/>
          <w:sz w:val="20"/>
          <w:szCs w:val="20"/>
        </w:rPr>
        <w:t>S2</w:t>
      </w:r>
      <w:r w:rsidRPr="00E37030">
        <w:rPr>
          <w:rFonts w:ascii="Arial" w:hAnsi="Arial" w:cs="Arial"/>
          <w:sz w:val="20"/>
          <w:szCs w:val="20"/>
        </w:rPr>
        <w:t>. Funnel Plot of Mortality Outcome</w:t>
      </w:r>
    </w:p>
    <w:p w14:paraId="54B733FC" w14:textId="06F6E9DE" w:rsidR="00C07C75" w:rsidRPr="00E37030" w:rsidRDefault="00C07C75" w:rsidP="00C07C75">
      <w:pPr>
        <w:rPr>
          <w:rFonts w:ascii="Arial" w:hAnsi="Arial" w:cs="Arial"/>
          <w:noProof/>
          <w:sz w:val="20"/>
          <w:szCs w:val="20"/>
        </w:rPr>
      </w:pPr>
      <w:r w:rsidRPr="00E37030">
        <w:rPr>
          <w:rFonts w:ascii="Arial" w:hAnsi="Arial" w:cs="Arial"/>
          <w:noProof/>
          <w:sz w:val="20"/>
          <w:szCs w:val="20"/>
        </w:rPr>
        <w:drawing>
          <wp:inline distT="0" distB="0" distL="0" distR="0" wp14:anchorId="5BA143E9" wp14:editId="587E01B7">
            <wp:extent cx="3369310" cy="2363470"/>
            <wp:effectExtent l="0" t="0" r="2540" b="0"/>
            <wp:docPr id="1557898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9310" cy="2363470"/>
                    </a:xfrm>
                    <a:prstGeom prst="rect">
                      <a:avLst/>
                    </a:prstGeom>
                    <a:noFill/>
                    <a:ln>
                      <a:noFill/>
                    </a:ln>
                  </pic:spPr>
                </pic:pic>
              </a:graphicData>
            </a:graphic>
          </wp:inline>
        </w:drawing>
      </w:r>
    </w:p>
    <w:p w14:paraId="13522B6F" w14:textId="612FD156" w:rsidR="00C07C75" w:rsidRPr="00E37030" w:rsidRDefault="00C07C75" w:rsidP="00C07C75">
      <w:pPr>
        <w:rPr>
          <w:rFonts w:ascii="Arial" w:hAnsi="Arial" w:cs="Arial"/>
          <w:sz w:val="20"/>
          <w:szCs w:val="20"/>
        </w:rPr>
      </w:pPr>
      <w:r w:rsidRPr="00E37030">
        <w:rPr>
          <w:rFonts w:ascii="Arial" w:hAnsi="Arial" w:cs="Arial"/>
          <w:b/>
          <w:bCs/>
          <w:sz w:val="20"/>
          <w:szCs w:val="20"/>
        </w:rPr>
        <w:t xml:space="preserve">Figure </w:t>
      </w:r>
      <w:r w:rsidR="0089327D">
        <w:rPr>
          <w:rFonts w:ascii="Arial" w:hAnsi="Arial" w:cs="Arial"/>
          <w:b/>
          <w:bCs/>
          <w:sz w:val="20"/>
          <w:szCs w:val="20"/>
        </w:rPr>
        <w:t>S3</w:t>
      </w:r>
      <w:r w:rsidRPr="00E37030">
        <w:rPr>
          <w:rFonts w:ascii="Arial" w:hAnsi="Arial" w:cs="Arial"/>
          <w:sz w:val="20"/>
          <w:szCs w:val="20"/>
        </w:rPr>
        <w:t>. Funnel Plot of LOS Outcome</w:t>
      </w:r>
    </w:p>
    <w:p w14:paraId="352F7D63" w14:textId="77777777" w:rsidR="00C07C75" w:rsidRPr="00E37030" w:rsidRDefault="00C07C75" w:rsidP="00C07C75">
      <w:pPr>
        <w:rPr>
          <w:rFonts w:ascii="Arial" w:hAnsi="Arial" w:cs="Arial"/>
          <w:sz w:val="20"/>
          <w:szCs w:val="20"/>
        </w:rPr>
      </w:pPr>
    </w:p>
    <w:p w14:paraId="66059BD1" w14:textId="77777777" w:rsidR="00C07C75" w:rsidRPr="00E37030" w:rsidRDefault="00C07C75" w:rsidP="00D15217">
      <w:pPr>
        <w:spacing w:after="0"/>
        <w:jc w:val="center"/>
        <w:rPr>
          <w:rFonts w:ascii="Arial" w:hAnsi="Arial" w:cs="Arial"/>
          <w:b/>
          <w:bCs/>
          <w:sz w:val="20"/>
          <w:szCs w:val="20"/>
          <w:lang w:val="en-GB"/>
        </w:rPr>
      </w:pPr>
    </w:p>
    <w:p w14:paraId="78EE8FAE" w14:textId="77777777" w:rsidR="00C07C75" w:rsidRPr="00E37030" w:rsidRDefault="00C07C75" w:rsidP="00D15217">
      <w:pPr>
        <w:spacing w:after="0"/>
        <w:jc w:val="center"/>
        <w:rPr>
          <w:rFonts w:ascii="Arial" w:hAnsi="Arial" w:cs="Arial"/>
          <w:b/>
          <w:bCs/>
          <w:sz w:val="20"/>
          <w:szCs w:val="20"/>
          <w:lang w:val="en-GB"/>
        </w:rPr>
      </w:pPr>
      <w:r w:rsidRPr="00E37030">
        <w:rPr>
          <w:rFonts w:ascii="Arial" w:hAnsi="Arial" w:cs="Arial"/>
          <w:b/>
          <w:bCs/>
          <w:sz w:val="20"/>
          <w:szCs w:val="20"/>
          <w:lang w:val="en-GB"/>
        </w:rPr>
        <w:br w:type="page"/>
      </w:r>
    </w:p>
    <w:p w14:paraId="47ACA860" w14:textId="004951DD" w:rsidR="00674C19" w:rsidRPr="00E37030" w:rsidRDefault="000E12A6" w:rsidP="00D15217">
      <w:pPr>
        <w:spacing w:after="0"/>
        <w:jc w:val="center"/>
        <w:rPr>
          <w:rFonts w:ascii="Arial" w:hAnsi="Arial" w:cs="Arial"/>
          <w:b/>
          <w:bCs/>
          <w:sz w:val="20"/>
          <w:szCs w:val="20"/>
          <w:lang w:val="en-GB"/>
        </w:rPr>
      </w:pPr>
      <w:r w:rsidRPr="00E37030">
        <w:rPr>
          <w:rFonts w:ascii="Arial" w:hAnsi="Arial" w:cs="Arial"/>
          <w:b/>
          <w:bCs/>
          <w:sz w:val="20"/>
          <w:szCs w:val="20"/>
          <w:lang w:val="en-GB"/>
        </w:rPr>
        <w:lastRenderedPageBreak/>
        <w:t>Subgroup Analysis Results</w:t>
      </w:r>
    </w:p>
    <w:p w14:paraId="0A3866DA" w14:textId="77777777" w:rsidR="00455D99" w:rsidRPr="00E37030" w:rsidRDefault="00455D99" w:rsidP="00455D99">
      <w:pPr>
        <w:spacing w:after="0"/>
        <w:rPr>
          <w:rFonts w:ascii="Arial" w:hAnsi="Arial" w:cs="Arial"/>
          <w:b/>
          <w:bCs/>
          <w:sz w:val="20"/>
          <w:szCs w:val="20"/>
          <w:lang w:val="en-GB"/>
        </w:rPr>
      </w:pPr>
    </w:p>
    <w:p w14:paraId="3AD6D84B" w14:textId="77777777" w:rsidR="00674C19" w:rsidRPr="00E37030" w:rsidRDefault="00674C19" w:rsidP="00674C19">
      <w:pPr>
        <w:spacing w:after="0"/>
        <w:rPr>
          <w:rFonts w:ascii="Arial" w:hAnsi="Arial" w:cs="Arial"/>
          <w:sz w:val="20"/>
          <w:szCs w:val="20"/>
        </w:rPr>
      </w:pPr>
      <w:r w:rsidRPr="00E37030">
        <w:rPr>
          <w:rStyle w:val="fontstyle01"/>
          <w:rFonts w:ascii="Arial" w:hAnsi="Arial" w:cs="Arial"/>
          <w:noProof/>
          <w:color w:val="auto"/>
          <w:sz w:val="22"/>
          <w:szCs w:val="22"/>
          <w:lang w:val="en-GB"/>
        </w:rPr>
        <w:drawing>
          <wp:inline distT="0" distB="0" distL="0" distR="0" wp14:anchorId="7AB8FAD2" wp14:editId="257B4ACB">
            <wp:extent cx="5422900" cy="2425065"/>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2900" cy="2425065"/>
                    </a:xfrm>
                    <a:prstGeom prst="rect">
                      <a:avLst/>
                    </a:prstGeom>
                    <a:noFill/>
                    <a:ln>
                      <a:noFill/>
                    </a:ln>
                  </pic:spPr>
                </pic:pic>
              </a:graphicData>
            </a:graphic>
          </wp:inline>
        </w:drawing>
      </w:r>
    </w:p>
    <w:p w14:paraId="5F3476A8" w14:textId="09D24D0D" w:rsidR="00674C19" w:rsidRPr="00E37030" w:rsidRDefault="00674C19" w:rsidP="00674C19">
      <w:pPr>
        <w:spacing w:after="0"/>
        <w:rPr>
          <w:rFonts w:ascii="Arial" w:hAnsi="Arial" w:cs="Arial"/>
          <w:sz w:val="20"/>
          <w:szCs w:val="20"/>
        </w:rPr>
      </w:pPr>
      <w:r w:rsidRPr="00E37030">
        <w:rPr>
          <w:rFonts w:ascii="Arial" w:hAnsi="Arial" w:cs="Arial"/>
          <w:b/>
          <w:bCs/>
          <w:sz w:val="20"/>
          <w:szCs w:val="20"/>
        </w:rPr>
        <w:t xml:space="preserve">Figure </w:t>
      </w:r>
      <w:r w:rsidR="00073EF6">
        <w:rPr>
          <w:rFonts w:ascii="Arial" w:hAnsi="Arial" w:cs="Arial"/>
          <w:b/>
          <w:bCs/>
          <w:sz w:val="20"/>
          <w:szCs w:val="20"/>
        </w:rPr>
        <w:t>S4</w:t>
      </w:r>
      <w:r w:rsidRPr="00E37030">
        <w:rPr>
          <w:rFonts w:ascii="Arial" w:hAnsi="Arial" w:cs="Arial"/>
          <w:b/>
          <w:bCs/>
          <w:sz w:val="20"/>
          <w:szCs w:val="20"/>
        </w:rPr>
        <w:t xml:space="preserve">. </w:t>
      </w:r>
      <w:r w:rsidRPr="00E37030">
        <w:rPr>
          <w:rFonts w:ascii="Arial" w:hAnsi="Arial" w:cs="Arial"/>
          <w:sz w:val="20"/>
          <w:szCs w:val="20"/>
        </w:rPr>
        <w:t>Forest Plot Outcome of Readmission (FU-1 Month) with Early Discharge vs Standard Discharge</w:t>
      </w:r>
    </w:p>
    <w:p w14:paraId="35B0D6C9" w14:textId="77777777" w:rsidR="00A605CE" w:rsidRPr="00E37030" w:rsidRDefault="00A605CE" w:rsidP="00674C19">
      <w:pPr>
        <w:spacing w:after="0"/>
        <w:rPr>
          <w:rFonts w:ascii="Arial" w:hAnsi="Arial" w:cs="Arial"/>
          <w:sz w:val="20"/>
          <w:szCs w:val="20"/>
        </w:rPr>
      </w:pPr>
    </w:p>
    <w:p w14:paraId="777A3BC4" w14:textId="77777777" w:rsidR="00DF6945" w:rsidRPr="00E37030" w:rsidRDefault="00DF6945" w:rsidP="00674C19">
      <w:pPr>
        <w:spacing w:after="0"/>
        <w:rPr>
          <w:rFonts w:ascii="Arial" w:hAnsi="Arial" w:cs="Arial"/>
          <w:sz w:val="20"/>
          <w:szCs w:val="20"/>
          <w:lang w:val="en-GB"/>
        </w:rPr>
      </w:pPr>
    </w:p>
    <w:p w14:paraId="6D4C1C15" w14:textId="77777777" w:rsidR="00674C19" w:rsidRPr="00E37030" w:rsidRDefault="00674C19" w:rsidP="00674C19">
      <w:pPr>
        <w:spacing w:after="0"/>
        <w:rPr>
          <w:rFonts w:ascii="Arial" w:hAnsi="Arial" w:cs="Arial"/>
          <w:sz w:val="20"/>
          <w:szCs w:val="20"/>
        </w:rPr>
      </w:pPr>
      <w:r w:rsidRPr="00E37030">
        <w:rPr>
          <w:rFonts w:ascii="Arial" w:hAnsi="Arial" w:cs="Arial"/>
          <w:noProof/>
          <w:sz w:val="20"/>
          <w:szCs w:val="20"/>
          <w:lang w:val="en-GB"/>
        </w:rPr>
        <w:drawing>
          <wp:inline distT="0" distB="0" distL="0" distR="0" wp14:anchorId="37053772" wp14:editId="5E2CDE7D">
            <wp:extent cx="5478145" cy="155067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8145" cy="1550670"/>
                    </a:xfrm>
                    <a:prstGeom prst="rect">
                      <a:avLst/>
                    </a:prstGeom>
                    <a:noFill/>
                    <a:ln>
                      <a:noFill/>
                    </a:ln>
                  </pic:spPr>
                </pic:pic>
              </a:graphicData>
            </a:graphic>
          </wp:inline>
        </w:drawing>
      </w:r>
    </w:p>
    <w:p w14:paraId="1BDE3789" w14:textId="0D71919C" w:rsidR="00674C19" w:rsidRPr="00E37030" w:rsidRDefault="00674C19" w:rsidP="00674C19">
      <w:pPr>
        <w:spacing w:after="0"/>
        <w:rPr>
          <w:rFonts w:ascii="Arial" w:hAnsi="Arial" w:cs="Arial"/>
          <w:sz w:val="20"/>
          <w:szCs w:val="20"/>
        </w:rPr>
      </w:pPr>
      <w:r w:rsidRPr="00E37030">
        <w:rPr>
          <w:rFonts w:ascii="Arial" w:hAnsi="Arial" w:cs="Arial"/>
          <w:b/>
          <w:bCs/>
          <w:sz w:val="20"/>
          <w:szCs w:val="20"/>
        </w:rPr>
        <w:t xml:space="preserve">Figure </w:t>
      </w:r>
      <w:r w:rsidR="00073EF6">
        <w:rPr>
          <w:rFonts w:ascii="Arial" w:hAnsi="Arial" w:cs="Arial"/>
          <w:b/>
          <w:bCs/>
          <w:sz w:val="20"/>
          <w:szCs w:val="20"/>
        </w:rPr>
        <w:t>S5</w:t>
      </w:r>
      <w:r w:rsidRPr="00E37030">
        <w:rPr>
          <w:rFonts w:ascii="Arial" w:hAnsi="Arial" w:cs="Arial"/>
          <w:b/>
          <w:bCs/>
          <w:sz w:val="20"/>
          <w:szCs w:val="20"/>
        </w:rPr>
        <w:t xml:space="preserve">. </w:t>
      </w:r>
      <w:r w:rsidRPr="00E37030">
        <w:rPr>
          <w:rFonts w:ascii="Arial" w:hAnsi="Arial" w:cs="Arial"/>
          <w:sz w:val="20"/>
          <w:szCs w:val="20"/>
        </w:rPr>
        <w:t>Forest Plot Outcome of Mortality (FU-1 Month) with Early Discharge vs Standard Discharge of RCT Studies</w:t>
      </w:r>
    </w:p>
    <w:p w14:paraId="2DFD3859" w14:textId="77777777" w:rsidR="00A605CE" w:rsidRPr="00E37030" w:rsidRDefault="00A605CE" w:rsidP="00674C19">
      <w:pPr>
        <w:spacing w:after="0"/>
        <w:rPr>
          <w:rFonts w:ascii="Arial" w:hAnsi="Arial" w:cs="Arial"/>
          <w:sz w:val="20"/>
          <w:szCs w:val="20"/>
        </w:rPr>
      </w:pPr>
    </w:p>
    <w:p w14:paraId="3B740762" w14:textId="77777777" w:rsidR="00674C19" w:rsidRPr="00E37030" w:rsidRDefault="00674C19" w:rsidP="00674C19">
      <w:pPr>
        <w:spacing w:after="0"/>
        <w:rPr>
          <w:rFonts w:ascii="Arial" w:hAnsi="Arial" w:cs="Arial"/>
          <w:sz w:val="20"/>
          <w:szCs w:val="20"/>
          <w:lang w:val="en-GB"/>
        </w:rPr>
      </w:pPr>
    </w:p>
    <w:p w14:paraId="58D87520" w14:textId="77777777" w:rsidR="00674C19" w:rsidRPr="00E37030" w:rsidRDefault="00674C19" w:rsidP="00674C19">
      <w:pPr>
        <w:spacing w:after="0"/>
        <w:rPr>
          <w:rFonts w:ascii="Arial" w:hAnsi="Arial" w:cs="Arial"/>
          <w:noProof/>
          <w:sz w:val="20"/>
          <w:szCs w:val="20"/>
          <w:lang w:val="en-GB"/>
        </w:rPr>
      </w:pPr>
      <w:r w:rsidRPr="00E37030">
        <w:rPr>
          <w:rFonts w:ascii="Arial" w:hAnsi="Arial" w:cs="Arial"/>
          <w:noProof/>
          <w:sz w:val="20"/>
          <w:szCs w:val="20"/>
          <w:lang w:val="en-GB"/>
        </w:rPr>
        <w:drawing>
          <wp:inline distT="0" distB="0" distL="0" distR="0" wp14:anchorId="6CAA9A42" wp14:editId="67ECD0C9">
            <wp:extent cx="5510530" cy="161417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0530" cy="1614170"/>
                    </a:xfrm>
                    <a:prstGeom prst="rect">
                      <a:avLst/>
                    </a:prstGeom>
                    <a:noFill/>
                    <a:ln>
                      <a:noFill/>
                    </a:ln>
                  </pic:spPr>
                </pic:pic>
              </a:graphicData>
            </a:graphic>
          </wp:inline>
        </w:drawing>
      </w:r>
    </w:p>
    <w:p w14:paraId="031235E7" w14:textId="03EE5DE6" w:rsidR="00674C19" w:rsidRPr="00E37030" w:rsidRDefault="00674C19" w:rsidP="00674C19">
      <w:pPr>
        <w:spacing w:after="0"/>
        <w:rPr>
          <w:rFonts w:ascii="Arial" w:hAnsi="Arial" w:cs="Arial"/>
          <w:sz w:val="20"/>
          <w:szCs w:val="20"/>
        </w:rPr>
      </w:pPr>
      <w:r w:rsidRPr="00E37030">
        <w:rPr>
          <w:rFonts w:ascii="Arial" w:hAnsi="Arial" w:cs="Arial"/>
          <w:b/>
          <w:bCs/>
          <w:sz w:val="20"/>
          <w:szCs w:val="20"/>
        </w:rPr>
        <w:t xml:space="preserve">Figure </w:t>
      </w:r>
      <w:r w:rsidR="00073EF6">
        <w:rPr>
          <w:rFonts w:ascii="Arial" w:hAnsi="Arial" w:cs="Arial"/>
          <w:b/>
          <w:bCs/>
          <w:sz w:val="20"/>
          <w:szCs w:val="20"/>
        </w:rPr>
        <w:t>S6</w:t>
      </w:r>
      <w:r w:rsidRPr="00E37030">
        <w:rPr>
          <w:rFonts w:ascii="Arial" w:hAnsi="Arial" w:cs="Arial"/>
          <w:b/>
          <w:bCs/>
          <w:sz w:val="20"/>
          <w:szCs w:val="20"/>
        </w:rPr>
        <w:t xml:space="preserve">. </w:t>
      </w:r>
      <w:r w:rsidRPr="00E37030">
        <w:rPr>
          <w:rFonts w:ascii="Arial" w:hAnsi="Arial" w:cs="Arial"/>
          <w:sz w:val="20"/>
          <w:szCs w:val="20"/>
        </w:rPr>
        <w:t>Forest Plot Outcome of Mortality (FU-1 Month) with Early Discharge vs Standard Discharge of Cohort Studies</w:t>
      </w:r>
    </w:p>
    <w:p w14:paraId="7ADF5D28" w14:textId="77777777" w:rsidR="00674C19" w:rsidRPr="00E37030" w:rsidRDefault="00674C19" w:rsidP="00674C19">
      <w:pPr>
        <w:spacing w:after="0"/>
        <w:rPr>
          <w:rFonts w:ascii="Arial" w:hAnsi="Arial" w:cs="Arial"/>
          <w:lang w:val="en-GB"/>
        </w:rPr>
      </w:pPr>
    </w:p>
    <w:sectPr w:rsidR="00674C19" w:rsidRPr="00E370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649F" w14:textId="77777777" w:rsidR="005B211C" w:rsidRDefault="005B211C" w:rsidP="005B211C">
      <w:pPr>
        <w:spacing w:after="0" w:line="240" w:lineRule="auto"/>
      </w:pPr>
      <w:r>
        <w:separator/>
      </w:r>
    </w:p>
  </w:endnote>
  <w:endnote w:type="continuationSeparator" w:id="0">
    <w:p w14:paraId="0521B33A" w14:textId="77777777" w:rsidR="005B211C" w:rsidRDefault="005B211C" w:rsidP="005B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ee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B7FD" w14:textId="5EE1C2A5" w:rsidR="005B211C" w:rsidRDefault="005B211C">
    <w:pPr>
      <w:pStyle w:val="Footer"/>
    </w:pPr>
    <w:r>
      <w:rPr>
        <w:noProof/>
      </w:rPr>
      <mc:AlternateContent>
        <mc:Choice Requires="wps">
          <w:drawing>
            <wp:anchor distT="0" distB="0" distL="0" distR="0" simplePos="0" relativeHeight="251659264" behindDoc="0" locked="0" layoutInCell="1" allowOverlap="1" wp14:anchorId="15F5199F" wp14:editId="1CCE5578">
              <wp:simplePos x="635" y="635"/>
              <wp:positionH relativeFrom="page">
                <wp:align>left</wp:align>
              </wp:positionH>
              <wp:positionV relativeFrom="page">
                <wp:align>bottom</wp:align>
              </wp:positionV>
              <wp:extent cx="443865" cy="443865"/>
              <wp:effectExtent l="0" t="0" r="9525" b="0"/>
              <wp:wrapNone/>
              <wp:docPr id="129013708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C409D" w14:textId="1A37D327" w:rsidR="005B211C" w:rsidRPr="005B211C" w:rsidRDefault="005B211C" w:rsidP="005B211C">
                          <w:pPr>
                            <w:spacing w:after="0"/>
                            <w:rPr>
                              <w:rFonts w:ascii="Rockwell" w:eastAsia="Rockwell" w:hAnsi="Rockwell" w:cs="Rockwell"/>
                              <w:noProof/>
                              <w:color w:val="0078D7"/>
                              <w:sz w:val="18"/>
                              <w:szCs w:val="18"/>
                            </w:rPr>
                          </w:pPr>
                          <w:r w:rsidRPr="005B211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F5199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BAC409D" w14:textId="1A37D327" w:rsidR="005B211C" w:rsidRPr="005B211C" w:rsidRDefault="005B211C" w:rsidP="005B211C">
                    <w:pPr>
                      <w:spacing w:after="0"/>
                      <w:rPr>
                        <w:rFonts w:ascii="Rockwell" w:eastAsia="Rockwell" w:hAnsi="Rockwell" w:cs="Rockwell"/>
                        <w:noProof/>
                        <w:color w:val="0078D7"/>
                        <w:sz w:val="18"/>
                        <w:szCs w:val="18"/>
                      </w:rPr>
                    </w:pPr>
                    <w:r w:rsidRPr="005B211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5DAE" w14:textId="60E274DB" w:rsidR="005B211C" w:rsidRDefault="005B211C">
    <w:pPr>
      <w:pStyle w:val="Footer"/>
    </w:pPr>
    <w:r>
      <w:rPr>
        <w:noProof/>
      </w:rPr>
      <mc:AlternateContent>
        <mc:Choice Requires="wps">
          <w:drawing>
            <wp:anchor distT="0" distB="0" distL="0" distR="0" simplePos="0" relativeHeight="251660288" behindDoc="0" locked="0" layoutInCell="1" allowOverlap="1" wp14:anchorId="6AA9E38D" wp14:editId="79F21E36">
              <wp:simplePos x="914400" y="10072048"/>
              <wp:positionH relativeFrom="page">
                <wp:align>left</wp:align>
              </wp:positionH>
              <wp:positionV relativeFrom="page">
                <wp:align>bottom</wp:align>
              </wp:positionV>
              <wp:extent cx="443865" cy="443865"/>
              <wp:effectExtent l="0" t="0" r="9525" b="0"/>
              <wp:wrapNone/>
              <wp:docPr id="163200402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83F23" w14:textId="2E2AF93C" w:rsidR="005B211C" w:rsidRPr="005B211C" w:rsidRDefault="005B211C" w:rsidP="005B211C">
                          <w:pPr>
                            <w:spacing w:after="0"/>
                            <w:rPr>
                              <w:rFonts w:ascii="Rockwell" w:eastAsia="Rockwell" w:hAnsi="Rockwell" w:cs="Rockwell"/>
                              <w:noProof/>
                              <w:color w:val="0078D7"/>
                              <w:sz w:val="18"/>
                              <w:szCs w:val="18"/>
                            </w:rPr>
                          </w:pPr>
                          <w:r w:rsidRPr="005B211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A9E38D"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5C83F23" w14:textId="2E2AF93C" w:rsidR="005B211C" w:rsidRPr="005B211C" w:rsidRDefault="005B211C" w:rsidP="005B211C">
                    <w:pPr>
                      <w:spacing w:after="0"/>
                      <w:rPr>
                        <w:rFonts w:ascii="Rockwell" w:eastAsia="Rockwell" w:hAnsi="Rockwell" w:cs="Rockwell"/>
                        <w:noProof/>
                        <w:color w:val="0078D7"/>
                        <w:sz w:val="18"/>
                        <w:szCs w:val="18"/>
                      </w:rPr>
                    </w:pPr>
                    <w:r w:rsidRPr="005B211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A860" w14:textId="22E61AB6" w:rsidR="005B211C" w:rsidRDefault="005B211C">
    <w:pPr>
      <w:pStyle w:val="Footer"/>
    </w:pPr>
    <w:r>
      <w:rPr>
        <w:noProof/>
      </w:rPr>
      <mc:AlternateContent>
        <mc:Choice Requires="wps">
          <w:drawing>
            <wp:anchor distT="0" distB="0" distL="0" distR="0" simplePos="0" relativeHeight="251658240" behindDoc="0" locked="0" layoutInCell="1" allowOverlap="1" wp14:anchorId="709B86F0" wp14:editId="5F89FBAC">
              <wp:simplePos x="635" y="635"/>
              <wp:positionH relativeFrom="page">
                <wp:align>left</wp:align>
              </wp:positionH>
              <wp:positionV relativeFrom="page">
                <wp:align>bottom</wp:align>
              </wp:positionV>
              <wp:extent cx="443865" cy="443865"/>
              <wp:effectExtent l="0" t="0" r="9525" b="0"/>
              <wp:wrapNone/>
              <wp:docPr id="63962229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E4F72" w14:textId="781AC983" w:rsidR="005B211C" w:rsidRPr="005B211C" w:rsidRDefault="005B211C" w:rsidP="005B211C">
                          <w:pPr>
                            <w:spacing w:after="0"/>
                            <w:rPr>
                              <w:rFonts w:ascii="Rockwell" w:eastAsia="Rockwell" w:hAnsi="Rockwell" w:cs="Rockwell"/>
                              <w:noProof/>
                              <w:color w:val="0078D7"/>
                              <w:sz w:val="18"/>
                              <w:szCs w:val="18"/>
                            </w:rPr>
                          </w:pPr>
                          <w:r w:rsidRPr="005B211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9B86F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75E4F72" w14:textId="781AC983" w:rsidR="005B211C" w:rsidRPr="005B211C" w:rsidRDefault="005B211C" w:rsidP="005B211C">
                    <w:pPr>
                      <w:spacing w:after="0"/>
                      <w:rPr>
                        <w:rFonts w:ascii="Rockwell" w:eastAsia="Rockwell" w:hAnsi="Rockwell" w:cs="Rockwell"/>
                        <w:noProof/>
                        <w:color w:val="0078D7"/>
                        <w:sz w:val="18"/>
                        <w:szCs w:val="18"/>
                      </w:rPr>
                    </w:pPr>
                    <w:r w:rsidRPr="005B211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F509" w14:textId="77777777" w:rsidR="005B211C" w:rsidRDefault="005B211C" w:rsidP="005B211C">
      <w:pPr>
        <w:spacing w:after="0" w:line="240" w:lineRule="auto"/>
      </w:pPr>
      <w:r>
        <w:separator/>
      </w:r>
    </w:p>
  </w:footnote>
  <w:footnote w:type="continuationSeparator" w:id="0">
    <w:p w14:paraId="273590B8" w14:textId="77777777" w:rsidR="005B211C" w:rsidRDefault="005B211C" w:rsidP="005B2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45"/>
    <w:rsid w:val="000640AA"/>
    <w:rsid w:val="00073EF6"/>
    <w:rsid w:val="000E12A6"/>
    <w:rsid w:val="00135C52"/>
    <w:rsid w:val="001361F9"/>
    <w:rsid w:val="00232E80"/>
    <w:rsid w:val="00274445"/>
    <w:rsid w:val="00283C37"/>
    <w:rsid w:val="002D33B2"/>
    <w:rsid w:val="002E391F"/>
    <w:rsid w:val="003255F5"/>
    <w:rsid w:val="003F427F"/>
    <w:rsid w:val="00426EC1"/>
    <w:rsid w:val="00455D99"/>
    <w:rsid w:val="004647BD"/>
    <w:rsid w:val="004758DC"/>
    <w:rsid w:val="004948FF"/>
    <w:rsid w:val="004F5CE6"/>
    <w:rsid w:val="0050301E"/>
    <w:rsid w:val="00525AFC"/>
    <w:rsid w:val="005736F6"/>
    <w:rsid w:val="00586EF3"/>
    <w:rsid w:val="005B211C"/>
    <w:rsid w:val="00644859"/>
    <w:rsid w:val="00664AEE"/>
    <w:rsid w:val="00674C19"/>
    <w:rsid w:val="00685AA7"/>
    <w:rsid w:val="006B63B4"/>
    <w:rsid w:val="00723516"/>
    <w:rsid w:val="007D5856"/>
    <w:rsid w:val="00814B6A"/>
    <w:rsid w:val="008511E8"/>
    <w:rsid w:val="0088562B"/>
    <w:rsid w:val="0089327D"/>
    <w:rsid w:val="008C3AC3"/>
    <w:rsid w:val="008D2666"/>
    <w:rsid w:val="009E7FC2"/>
    <w:rsid w:val="00A605CE"/>
    <w:rsid w:val="00AA4146"/>
    <w:rsid w:val="00AF7CD9"/>
    <w:rsid w:val="00B2407F"/>
    <w:rsid w:val="00B306F1"/>
    <w:rsid w:val="00B92A36"/>
    <w:rsid w:val="00BC141A"/>
    <w:rsid w:val="00C07C75"/>
    <w:rsid w:val="00C75E15"/>
    <w:rsid w:val="00D15217"/>
    <w:rsid w:val="00D30A33"/>
    <w:rsid w:val="00D4003F"/>
    <w:rsid w:val="00D45D83"/>
    <w:rsid w:val="00D740CE"/>
    <w:rsid w:val="00D93023"/>
    <w:rsid w:val="00DB7A5C"/>
    <w:rsid w:val="00DD5173"/>
    <w:rsid w:val="00DF6945"/>
    <w:rsid w:val="00E21494"/>
    <w:rsid w:val="00E2650D"/>
    <w:rsid w:val="00E26D4D"/>
    <w:rsid w:val="00E308E8"/>
    <w:rsid w:val="00E37030"/>
    <w:rsid w:val="00E63C48"/>
    <w:rsid w:val="00E718FB"/>
    <w:rsid w:val="00E92260"/>
    <w:rsid w:val="00E92C22"/>
    <w:rsid w:val="00F452A6"/>
    <w:rsid w:val="00F46738"/>
    <w:rsid w:val="00F71579"/>
    <w:rsid w:val="00FD1E5F"/>
    <w:rsid w:val="00FF67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C081"/>
  <w15:chartTrackingRefBased/>
  <w15:docId w15:val="{30CD111F-D3D3-4A82-B235-CE24CB16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AB INTI"/>
    <w:basedOn w:val="Normal"/>
    <w:next w:val="Normal"/>
    <w:link w:val="Heading1Char"/>
    <w:autoRedefine/>
    <w:uiPriority w:val="9"/>
    <w:qFormat/>
    <w:rsid w:val="00525AFC"/>
    <w:pPr>
      <w:keepNext/>
      <w:keepLines/>
      <w:spacing w:after="0" w:line="360" w:lineRule="auto"/>
      <w:jc w:val="center"/>
      <w:textAlignment w:val="baseline"/>
      <w:outlineLvl w:val="0"/>
    </w:pPr>
    <w:rPr>
      <w:rFonts w:ascii="Times New Roman" w:hAnsi="Times New Roman" w:cs="Times New Roman"/>
      <w:bCs/>
      <w:kern w:val="0"/>
      <w:sz w:val="24"/>
      <w:szCs w:val="24"/>
      <w14:ligatures w14:val="none"/>
    </w:rPr>
  </w:style>
  <w:style w:type="paragraph" w:styleId="Heading2">
    <w:name w:val="heading 2"/>
    <w:basedOn w:val="Normal"/>
    <w:next w:val="Normal"/>
    <w:link w:val="Heading2Char"/>
    <w:autoRedefine/>
    <w:uiPriority w:val="9"/>
    <w:unhideWhenUsed/>
    <w:qFormat/>
    <w:rsid w:val="00525AFC"/>
    <w:pPr>
      <w:keepNext/>
      <w:keepLines/>
      <w:spacing w:before="40" w:after="0" w:line="276" w:lineRule="auto"/>
      <w:jc w:val="both"/>
      <w:outlineLvl w:val="1"/>
    </w:pPr>
    <w:rPr>
      <w:rFonts w:ascii="Palatino Linotype" w:eastAsiaTheme="majorEastAsia" w:hAnsi="Palatino Linotype" w:cstheme="majorBidi"/>
      <w:b/>
      <w:noProof/>
      <w:color w:val="000000" w:themeColor="text1"/>
      <w:kern w:val="0"/>
      <w:sz w:val="20"/>
      <w:szCs w:val="26"/>
      <w:lang w:val="en"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674C19"/>
    <w:rPr>
      <w:rFonts w:ascii="FreeSerif" w:hAnsi="FreeSerif" w:hint="default"/>
      <w:b w:val="0"/>
      <w:bCs w:val="0"/>
      <w:i w:val="0"/>
      <w:iCs w:val="0"/>
      <w:color w:val="0D7F25"/>
      <w:sz w:val="24"/>
      <w:szCs w:val="24"/>
    </w:rPr>
  </w:style>
  <w:style w:type="character" w:styleId="CommentReference">
    <w:name w:val="annotation reference"/>
    <w:basedOn w:val="DefaultParagraphFont"/>
    <w:uiPriority w:val="99"/>
    <w:semiHidden/>
    <w:unhideWhenUsed/>
    <w:rsid w:val="002E391F"/>
    <w:rPr>
      <w:sz w:val="16"/>
      <w:szCs w:val="16"/>
    </w:rPr>
  </w:style>
  <w:style w:type="paragraph" w:styleId="CommentText">
    <w:name w:val="annotation text"/>
    <w:basedOn w:val="Normal"/>
    <w:link w:val="CommentTextChar"/>
    <w:uiPriority w:val="99"/>
    <w:unhideWhenUsed/>
    <w:rsid w:val="002E391F"/>
    <w:pPr>
      <w:spacing w:line="240" w:lineRule="auto"/>
    </w:pPr>
    <w:rPr>
      <w:sz w:val="20"/>
      <w:szCs w:val="20"/>
    </w:rPr>
  </w:style>
  <w:style w:type="character" w:customStyle="1" w:styleId="CommentTextChar">
    <w:name w:val="Comment Text Char"/>
    <w:basedOn w:val="DefaultParagraphFont"/>
    <w:link w:val="CommentText"/>
    <w:uiPriority w:val="99"/>
    <w:rsid w:val="002E391F"/>
    <w:rPr>
      <w:sz w:val="20"/>
      <w:szCs w:val="20"/>
    </w:rPr>
  </w:style>
  <w:style w:type="paragraph" w:styleId="CommentSubject">
    <w:name w:val="annotation subject"/>
    <w:basedOn w:val="CommentText"/>
    <w:next w:val="CommentText"/>
    <w:link w:val="CommentSubjectChar"/>
    <w:uiPriority w:val="99"/>
    <w:semiHidden/>
    <w:unhideWhenUsed/>
    <w:rsid w:val="002E391F"/>
    <w:rPr>
      <w:b/>
      <w:bCs/>
    </w:rPr>
  </w:style>
  <w:style w:type="character" w:customStyle="1" w:styleId="CommentSubjectChar">
    <w:name w:val="Comment Subject Char"/>
    <w:basedOn w:val="CommentTextChar"/>
    <w:link w:val="CommentSubject"/>
    <w:uiPriority w:val="99"/>
    <w:semiHidden/>
    <w:rsid w:val="002E391F"/>
    <w:rPr>
      <w:b/>
      <w:bCs/>
      <w:sz w:val="20"/>
      <w:szCs w:val="20"/>
    </w:rPr>
  </w:style>
  <w:style w:type="character" w:customStyle="1" w:styleId="Heading1Char">
    <w:name w:val="Heading 1 Char"/>
    <w:aliases w:val="BAB INTI Char"/>
    <w:basedOn w:val="DefaultParagraphFont"/>
    <w:link w:val="Heading1"/>
    <w:uiPriority w:val="9"/>
    <w:rsid w:val="00525AFC"/>
    <w:rPr>
      <w:rFonts w:ascii="Times New Roman" w:hAnsi="Times New Roman" w:cs="Times New Roman"/>
      <w:bCs/>
      <w:kern w:val="0"/>
      <w:sz w:val="24"/>
      <w:szCs w:val="24"/>
      <w14:ligatures w14:val="none"/>
    </w:rPr>
  </w:style>
  <w:style w:type="character" w:customStyle="1" w:styleId="Heading2Char">
    <w:name w:val="Heading 2 Char"/>
    <w:basedOn w:val="DefaultParagraphFont"/>
    <w:link w:val="Heading2"/>
    <w:uiPriority w:val="9"/>
    <w:rsid w:val="00525AFC"/>
    <w:rPr>
      <w:rFonts w:ascii="Palatino Linotype" w:eastAsiaTheme="majorEastAsia" w:hAnsi="Palatino Linotype" w:cstheme="majorBidi"/>
      <w:b/>
      <w:noProof/>
      <w:color w:val="000000" w:themeColor="text1"/>
      <w:kern w:val="0"/>
      <w:sz w:val="20"/>
      <w:szCs w:val="26"/>
      <w:lang w:val="en" w:eastAsia="id-ID"/>
      <w14:ligatures w14:val="none"/>
    </w:rPr>
  </w:style>
  <w:style w:type="table" w:styleId="TableGrid">
    <w:name w:val="Table Grid"/>
    <w:basedOn w:val="TableNormal"/>
    <w:uiPriority w:val="39"/>
    <w:rsid w:val="00525AFC"/>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2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9578</Words>
  <Characters>54597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Firman Sugiharto</dc:creator>
  <cp:keywords/>
  <dc:description/>
  <cp:lastModifiedBy>Olliver, Tania</cp:lastModifiedBy>
  <cp:revision>2</cp:revision>
  <dcterms:created xsi:type="dcterms:W3CDTF">2024-02-28T02:34:00Z</dcterms:created>
  <dcterms:modified xsi:type="dcterms:W3CDTF">2024-02-28T02:34:00Z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261fdc92,4ce5ee00,614667b5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2024-02-28T02:34:15Z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1a6554fc-66a3-4d75-bed8-2b04ac39ff9e</vt:lpwstr>
  </property>
  <property fmtid="{D5CDD505-2E9C-101B-9397-08002B2CF9AE}" pid="11" name="MSIP_Label_2bbab825-a111-45e4-86a1-18cee0005896_ContentBits">
    <vt:lpwstr>2</vt:lpwstr>
  </property>
</Properties>
</file>