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 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Baseline characteristics of 84 MMD patients and 70 healthy individuals.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2389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3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MMD patients (n=84)</w:t>
            </w:r>
          </w:p>
        </w:tc>
        <w:tc>
          <w:tcPr>
            <w:tcW w:w="286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Healthy individuals (n=70)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Demographics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Age, median (IQR)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35.0 (24.5-47.0)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35.5 (29.0-40.5)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Sex, 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Male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 (45.2%)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34 (48.6%)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Female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46 (54.8%)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36 (51.4%)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Cigarette smoking, n (%)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 (13.1%)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Alcohol drinking, n (%)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 (7.1%)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Comorbidities and family history, 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Hypertension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 (39.3%)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Diabetes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 (9.5%)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Hyperlipidemia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 (15.5%)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Hyperhomocysteinemia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 (6.0%)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Family history of Stroke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 (8.3%)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Clinical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Primary symptom, 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Ischemia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61 (72.6%)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Non-Ischemia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 (27.4%)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Systolic blood pressure, SBP(mmHg), median (IQR)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122.0 (114.0-131.5)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Diastolic blood pressure, DBP(mmHg), median (IQR)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80.0 (71.0-85.0)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modified Rankin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s Scale, mRS, 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 (7.1%)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61 (72.6%)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 (15.5%)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 (4.8%)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Average Suzuki stage, 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Early stage (≤3)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46 (54.8%)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Late stage (＞3)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 (45.2%)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Posterior circulation involvement, n (%)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 (42.9%)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</w:tbl>
    <w:p>
      <w:pPr>
        <w:rPr>
          <w:rFonts w:hint="eastAsia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IQR indicates interquartile range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 Table 2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 Immunological molecules expression in different subgroups.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tbl>
      <w:tblPr>
        <w:tblStyle w:val="3"/>
        <w:tblW w:w="14875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663"/>
        <w:gridCol w:w="1400"/>
        <w:gridCol w:w="850"/>
        <w:gridCol w:w="1138"/>
        <w:gridCol w:w="662"/>
        <w:gridCol w:w="1450"/>
        <w:gridCol w:w="863"/>
        <w:gridCol w:w="1775"/>
        <w:gridCol w:w="675"/>
        <w:gridCol w:w="1400"/>
        <w:gridCol w:w="674"/>
        <w:gridCol w:w="1288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Subgroup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IgA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P </w:t>
            </w: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IgG</w:t>
            </w:r>
          </w:p>
        </w:tc>
        <w:tc>
          <w:tcPr>
            <w:tcW w:w="66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4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IgM</w:t>
            </w:r>
          </w:p>
        </w:tc>
        <w:tc>
          <w:tcPr>
            <w:tcW w:w="8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7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IgE</w:t>
            </w:r>
          </w:p>
        </w:tc>
        <w:tc>
          <w:tcPr>
            <w:tcW w:w="6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C3</w:t>
            </w:r>
          </w:p>
        </w:tc>
        <w:tc>
          <w:tcPr>
            <w:tcW w:w="6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  <w:tc>
          <w:tcPr>
            <w:tcW w:w="12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C4</w:t>
            </w:r>
          </w:p>
        </w:tc>
        <w:tc>
          <w:tcPr>
            <w:tcW w:w="63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Age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＜0.001</w:t>
            </w:r>
          </w:p>
        </w:tc>
        <w:tc>
          <w:tcPr>
            <w:tcW w:w="113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0.005</w:t>
            </w:r>
          </w:p>
        </w:tc>
        <w:tc>
          <w:tcPr>
            <w:tcW w:w="145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0.010</w:t>
            </w:r>
          </w:p>
        </w:tc>
        <w:tc>
          <w:tcPr>
            <w:tcW w:w="177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0.192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0.747</w:t>
            </w:r>
          </w:p>
        </w:tc>
        <w:tc>
          <w:tcPr>
            <w:tcW w:w="128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＜40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1.50±0.69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10.55±2.61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1.16 (0.88-1.47)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44.14 (13.38-135.45)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98.48±12.30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23.22±6.43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2.34±0.79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12.15±2.31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0.89 (0.66-1.17)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29.00 (6.26-68.79)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99.92±20.83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20.79±6.18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Sex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0.061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0.574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0.653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1.68±0.66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11.06±2.34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1.17 (0.94-1.52)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32.27 (9.36-100.13)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98.21±17.86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22.28±5.48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Female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2.01±0.94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11.38±2.81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0.88 (0.67-1.14)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44.64 (11.77-108.53)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100.21±21.90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21.45±7.05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Symptom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0.036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0.872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＜0.001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0.725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Ischemia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1.74±0.85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11.21±2.73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1.15 (0.93-1.52)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45.08 (10.67-116.05)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99.78±21.46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20.99±6.37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Non-ischemia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2.17±0.75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11.31±2.28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0.79 (0.63-0.8)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24.2 (6.90-69.00)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98.04±16.21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24.07±5.91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Hypertension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0.926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0.069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1.91±0.85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11.17±2.65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0.94 (0.69-1.22)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40.05 (12.05-110.30)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97.17±14.27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23.34±3.98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1.85±0.84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11.25±2.61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1.14 (0.85-1.52)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35.39 (6.01-1101.90)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99.70±21.03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21.55±6.70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Diabetes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0.648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2.25±1.04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11.09±2.30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1.02 (0.55-2.17)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63.95 (28.92-123.45)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111.70±12.63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25.45±5.72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1.82±0.81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11.25±2.64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1.03 (0.78-1.39)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34.39 (9.47-99.70)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98.00±20.33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21.45±6.35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Hyperlipidemia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0.926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0.367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1.91±0.85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11.17±2.65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0.94 (0.74-1.16)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52.31 (16.61-115.00)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97.17±14.27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23.34±3.98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1.85±0.84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11.25±2.61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1.06 (0.74-1.40)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33.39 (6.90-101.90)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99.70±21.03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21.55±6.70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Hyperhomocysteinemia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0.925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0.487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0.898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0.653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1.83±0.88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10.45±2.66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0.99 (0.91-1.55)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45.88 (5.31-495.6)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95.36±22.67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21.02±4.80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1.86±0.84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11.28±2.60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1.05 (0.74-1.39)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35.39 (10.21-100.50)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99.57±20.04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21.88±6.47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mRS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0.339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0.942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0.496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≤2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1.92±0.86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11.37±2.59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1.05 (0.74-1.40)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35.39 (6.90-101.90)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98.55±21.27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21.90±6.40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＞2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1.63±0.73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10.69±2.63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0.98 (0.88-1.17)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40.05 (16.80-112.00)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102.29±14.62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21.55±6.43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PC involvement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0.621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0.501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0.183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1.82±0.73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11.41±2.69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0.94 (0.69-1.35)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43.19 (11.89-97.04)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100.48±16.73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22.86±6.35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1.91±0.96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11.03±2.51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1.14 (0.87-1.40)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35.39 (6.08-141.90)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97.95±23.52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20.64±6.25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mRS, indicates modified Rankin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 scale and PC indicates posterior circulation.</w:t>
      </w: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 table 3.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Immunological molecules expression difference in 72 patients between baseline and follow-up.</w:t>
      </w:r>
    </w:p>
    <w:tbl>
      <w:tblPr>
        <w:tblStyle w:val="3"/>
        <w:tblpPr w:leftFromText="180" w:rightFromText="180" w:vertAnchor="text" w:tblpXSpec="center" w:tblpY="1"/>
        <w:tblOverlap w:val="never"/>
        <w:tblW w:w="5182" w:type="pct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807"/>
        <w:gridCol w:w="2823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8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Immunological molecules</w:t>
            </w:r>
          </w:p>
        </w:tc>
        <w:tc>
          <w:tcPr>
            <w:tcW w:w="159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Baseline expression,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edian (IQR)</w:t>
            </w:r>
          </w:p>
        </w:tc>
        <w:tc>
          <w:tcPr>
            <w:tcW w:w="1599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Follow-up expression,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edian (IQR)</w:t>
            </w:r>
          </w:p>
        </w:tc>
        <w:tc>
          <w:tcPr>
            <w:tcW w:w="62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 xml:space="preserve">P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op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Progressive group (n=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IgA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1.53±0.79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1.44±0.71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IgG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10.41±2.29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9.94±2.71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IgM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1.16 (0.82-1.45)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1.19 (0.81-1.76)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IgE (IU/L)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97.30 (13.20-182.75)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39.27 (12.52-141.22)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0.002**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C3 (mg/dL)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108.55±22.05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97.46±17.96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0.012*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C4 (mg/dL)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22.31±7.57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17.50±4.88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＜0.001***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Stable group (n=4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IgA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1.98±0.87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1.94±0.71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IgG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11.71±2.70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11.35±2.45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IgM (g/L)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0.98 (0.74-1.30)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1.09 (0.88-1.43)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＜0.001***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IgE (IU/L)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33.19 (6.78-80.44)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26.96 (8.40-46.70)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C3 (mg/dL)</w:t>
            </w:r>
          </w:p>
        </w:tc>
        <w:tc>
          <w:tcPr>
            <w:tcW w:w="1590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96.84±17.75</w:t>
            </w:r>
          </w:p>
        </w:tc>
        <w:tc>
          <w:tcPr>
            <w:tcW w:w="1599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108.43±24.05</w:t>
            </w:r>
          </w:p>
        </w:tc>
        <w:tc>
          <w:tcPr>
            <w:tcW w:w="625" w:type="pct"/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0.001**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pct"/>
            <w:tcBorders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bidi="ar"/>
              </w:rPr>
              <w:t>C4 (mg/dL)</w:t>
            </w:r>
          </w:p>
        </w:tc>
        <w:tc>
          <w:tcPr>
            <w:tcW w:w="1590" w:type="pct"/>
            <w:tcBorders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21.50±6.22</w:t>
            </w:r>
          </w:p>
        </w:tc>
        <w:tc>
          <w:tcPr>
            <w:tcW w:w="1599" w:type="pct"/>
            <w:tcBorders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20.89±5.54</w:t>
            </w:r>
          </w:p>
        </w:tc>
        <w:tc>
          <w:tcPr>
            <w:tcW w:w="625" w:type="pct"/>
            <w:tcBorders>
              <w:bottom w:val="single" w:color="auto" w:sz="12" w:space="0"/>
            </w:tcBorders>
            <w:shd w:val="clear" w:color="auto" w:fill="FFFFFF" w:themeFill="background1"/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0.218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ascii="Times New Roman" w:hAnsi="Times New Roman"/>
          <w:sz w:val="18"/>
          <w:szCs w:val="18"/>
        </w:rPr>
        <w:t>IQR indicates interquartile range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*P＜0.05； **P＜0.01； ***P＜0.001.</w:t>
      </w: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tbl>
      <w:tblPr>
        <w:tblStyle w:val="3"/>
        <w:tblpPr w:leftFromText="180" w:rightFromText="180" w:vertAnchor="text" w:horzAnchor="page" w:tblpX="1849" w:tblpY="8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99"/>
        <w:gridCol w:w="2333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59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β-coeficient</w:t>
            </w:r>
          </w:p>
        </w:tc>
        <w:tc>
          <w:tcPr>
            <w:tcW w:w="233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OR (95%CI)</w:t>
            </w:r>
          </w:p>
        </w:tc>
        <w:tc>
          <w:tcPr>
            <w:tcW w:w="108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IgA</w:t>
            </w:r>
          </w:p>
        </w:tc>
        <w:tc>
          <w:tcPr>
            <w:tcW w:w="159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0.112</w:t>
            </w:r>
          </w:p>
        </w:tc>
        <w:tc>
          <w:tcPr>
            <w:tcW w:w="233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1.118 (0.751-1.665)</w:t>
            </w:r>
          </w:p>
        </w:tc>
        <w:tc>
          <w:tcPr>
            <w:tcW w:w="108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IgG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0.033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1.034 (0.908-1.177)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IgM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0.579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1.785 (0.947-3.364)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IgE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1.001 (0.999-1.003)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1.003 (0.987-1.019)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-0.049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0.952 (0.903-1.004)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0.071</w:t>
            </w:r>
          </w:p>
        </w:tc>
      </w:tr>
    </w:tbl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 Table 4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 Univariate analysis between immunological molecules and revascularization.</w:t>
      </w: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OR, indicates odd ratio and CI, confidence interval.</w:t>
      </w: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widowControl/>
        <w:jc w:val="left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 Table 5.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Risk factors association with vasculopathy progression in univariate analysis.</w:t>
      </w:r>
    </w:p>
    <w:tbl>
      <w:tblPr>
        <w:tblStyle w:val="3"/>
        <w:tblpPr w:leftFromText="180" w:rightFromText="180" w:vertAnchor="text" w:horzAnchor="page" w:tblpX="1904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821"/>
        <w:gridCol w:w="29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Variables</w:t>
            </w:r>
          </w:p>
        </w:tc>
        <w:tc>
          <w:tcPr>
            <w:tcW w:w="182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β-coeficient</w:t>
            </w:r>
          </w:p>
        </w:tc>
        <w:tc>
          <w:tcPr>
            <w:tcW w:w="29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OR (95%CI)</w:t>
            </w:r>
          </w:p>
        </w:tc>
        <w:tc>
          <w:tcPr>
            <w:tcW w:w="122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Age</w:t>
            </w:r>
          </w:p>
        </w:tc>
        <w:tc>
          <w:tcPr>
            <w:tcW w:w="182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-0.033</w:t>
            </w:r>
          </w:p>
        </w:tc>
        <w:tc>
          <w:tcPr>
            <w:tcW w:w="290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0.968 (0.939-0.997)</w:t>
            </w:r>
          </w:p>
        </w:tc>
        <w:tc>
          <w:tcPr>
            <w:tcW w:w="122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0.031*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Sex, male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0.047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1.048 (0.417-2.633)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Cigarette smoking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-0.217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0.805 (0.214-3.026)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Alcohol drinking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-0.811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0.444 (0.084-2.363)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Symptom, ischemia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1.464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4.324 (1.158-16.151)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0.029*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SBP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0.011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1.012 (0.985-1.039)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DBP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0.043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1.044 (1.001-1.089)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0.045*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Hypertension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1.150 (0.448-2.954)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Diabetes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-0.835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0.434 (0.100-1.887)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Hyperlipidemia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-0.713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0.490 (0.147-1.633)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Hyperhomocysteinemia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-0.365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0.694 (0.109-4.421)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Family history of stroke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0.184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1.202 (0.218-6.631)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Suzuki stage, early stage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0.496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1.641 (0.642-4.193)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PCI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-0.340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0.712 (0.282-1.799)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IgA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-0.596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0.551 (0.298-1.020)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IgG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-0.144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0.866 (0.720-1.042)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IgM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0.442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1.555 (0.831-2.912)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IgE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0.001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1.001 (0.999-1.004)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0.036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1.037 (1.008-1.066)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0.012*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0.019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1.019 (0.949-1.095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C3/C4 ratio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0.197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1.218 (0.912-1.627)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0.182</w:t>
            </w:r>
          </w:p>
        </w:tc>
      </w:tr>
    </w:tbl>
    <w:p>
      <w:pPr>
        <w:rPr>
          <w:rFonts w:hint="eastAsia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OR, indicates odd ratio; CI, confidence interval; SBP, systolic blood pressure; DBP, diastolic blood pressure and PCI, indicates posterior circulation involvement;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*P＜0.05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NTFiZTk1ZGQwYmI2YmU0NmY4ZjNjMWYyYmZhOTQifQ=="/>
    <w:docVar w:name="KSO_WPS_MARK_KEY" w:val="f3cc3be8-6dd6-46ce-95e1-42937c2a94db"/>
  </w:docVars>
  <w:rsids>
    <w:rsidRoot w:val="601E0066"/>
    <w:rsid w:val="031F510B"/>
    <w:rsid w:val="08D33DE5"/>
    <w:rsid w:val="0C896A04"/>
    <w:rsid w:val="1057106E"/>
    <w:rsid w:val="140F79EE"/>
    <w:rsid w:val="18911017"/>
    <w:rsid w:val="1C6127AF"/>
    <w:rsid w:val="32780143"/>
    <w:rsid w:val="37ED5E30"/>
    <w:rsid w:val="393A3157"/>
    <w:rsid w:val="3F1D4BEB"/>
    <w:rsid w:val="40172640"/>
    <w:rsid w:val="55A734CB"/>
    <w:rsid w:val="56847004"/>
    <w:rsid w:val="573632E7"/>
    <w:rsid w:val="5EB90541"/>
    <w:rsid w:val="601E0066"/>
    <w:rsid w:val="603159B3"/>
    <w:rsid w:val="6EB5235D"/>
    <w:rsid w:val="6EDA79BB"/>
    <w:rsid w:val="73D36ADA"/>
    <w:rsid w:val="7B16377C"/>
    <w:rsid w:val="7D0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923</Words>
  <Characters>4889</Characters>
  <Lines>0</Lines>
  <Paragraphs>0</Paragraphs>
  <TotalTime>1</TotalTime>
  <ScaleCrop>false</ScaleCrop>
  <LinksUpToDate>false</LinksUpToDate>
  <CharactersWithSpaces>5171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2023-11-16T08:34:00Z</dcterms:created>
  <dc:creator>   lijingjie</dc:creator>
  <cp:lastModifiedBy>   lijingjie</cp:lastModifiedBy>
  <dcterms:modified xsi:type="dcterms:W3CDTF">2024-02-24T07:35:15Z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75511BD832454AC1B09A03A8125C16F4_11</vt:lpwstr>
  </property>
</Properties>
</file>