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ORIGINAL  RESEARCH</w:t>
      </w:r>
    </w:p>
    <w:p>
      <w:pPr>
        <w:spacing w:line="480" w:lineRule="auto"/>
        <w:rPr>
          <w:rFonts w:hint="eastAsia"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Suwen Huang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1*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, Yanchu Wang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1,2*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, Jinrong Zhu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1,3*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 xml:space="preserve"> et al</w:t>
      </w:r>
    </w:p>
    <w:p>
      <w:pPr>
        <w:spacing w:line="480" w:lineRule="auto"/>
        <w:rPr>
          <w:rFonts w:hint="eastAsia"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8"/>
          <w:szCs w:val="24"/>
        </w:rPr>
        <w:t>Systemic Inflammatory Response Index, a Potential Inflammatory Biomarker in Disease Severity of Myasthenia Gravis: A Pilot Retrospective Study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</w:t>
      </w:r>
    </w:p>
    <w:p>
      <w:pPr>
        <w:spacing w:line="480" w:lineRule="auto"/>
        <w:rPr>
          <w:rFonts w:hint="eastAsia"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Suwen Huang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1*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, Yanchu Wang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1,2*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, Jinrong Zhu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1,3*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, Shengqi Li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1,2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, Shenyi Lin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1,2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, Wei Xie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1,2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, Siyao Chen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1,2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, Yukai Wang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1,3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, Lingsheng Wang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1,2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, Qiaoqiao Jin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1,2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, Yiyun Weng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1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, Dehao Yang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4</w:t>
      </w:r>
    </w:p>
    <w:p>
      <w:pPr>
        <w:spacing w:line="480" w:lineRule="auto"/>
        <w:rPr>
          <w:rFonts w:hint="eastAsia" w:ascii="Times New Roman" w:hAnsi="Times New Roman" w:cs="Times New Roman"/>
          <w:b w:val="0"/>
          <w:bCs w:val="0"/>
          <w:sz w:val="22"/>
          <w:szCs w:val="21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1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Department of Neurology, The First Affiliated Hospital of Wenzhou Medical University, Wenzhou, Zhejiang, China</w:t>
      </w:r>
    </w:p>
    <w:p>
      <w:pPr>
        <w:spacing w:line="480" w:lineRule="auto"/>
        <w:rPr>
          <w:rFonts w:hint="eastAsia" w:ascii="Times New Roman" w:hAnsi="Times New Roman" w:cs="Times New Roman"/>
          <w:b w:val="0"/>
          <w:bCs w:val="0"/>
          <w:sz w:val="22"/>
          <w:szCs w:val="21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2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The First School of Medicine, School of Information and Engineering, Wenzhou Medical University, Wenzhou, China</w:t>
      </w:r>
    </w:p>
    <w:p>
      <w:pPr>
        <w:spacing w:line="480" w:lineRule="auto"/>
        <w:rPr>
          <w:rFonts w:hint="eastAsia" w:ascii="Times New Roman" w:hAnsi="Times New Roman" w:cs="Times New Roman"/>
          <w:b w:val="0"/>
          <w:bCs w:val="0"/>
          <w:sz w:val="22"/>
          <w:szCs w:val="21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3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The Second School of Medicine, Wenzhou Medical University, Wenzhou, China</w:t>
      </w:r>
    </w:p>
    <w:p>
      <w:pPr>
        <w:spacing w:line="480" w:lineRule="auto"/>
        <w:rPr>
          <w:rFonts w:hint="eastAsia" w:ascii="Times New Roman" w:hAnsi="Times New Roman" w:cs="Times New Roman"/>
          <w:b w:val="0"/>
          <w:bCs w:val="0"/>
          <w:sz w:val="22"/>
          <w:szCs w:val="21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4</w:t>
      </w: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Department of Neurology, The Second Affiliated Hospital, Zhejiang University School of Medicine, Hangzhou, China</w:t>
      </w:r>
    </w:p>
    <w:p>
      <w:pPr>
        <w:spacing w:line="480" w:lineRule="auto"/>
        <w:rPr>
          <w:rFonts w:hint="eastAsia" w:ascii="Times New Roman" w:hAnsi="Times New Roman" w:cs="Times New Roman"/>
          <w:b/>
          <w:bCs/>
          <w:sz w:val="24"/>
        </w:rPr>
      </w:pPr>
      <w:bookmarkStart w:id="0" w:name="_GoBack"/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1"/>
          <w:vertAlign w:val="superscript"/>
        </w:rPr>
        <w:t>*</w:t>
      </w:r>
      <w:bookmarkEnd w:id="0"/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These authors contributed equally to this work</w:t>
      </w:r>
    </w:p>
    <w:p>
      <w:pPr>
        <w:spacing w:line="480" w:lineRule="auto"/>
        <w:rPr>
          <w:rFonts w:hint="eastAsia"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Correspondence: </w:t>
      </w:r>
    </w:p>
    <w:p>
      <w:pPr>
        <w:spacing w:line="480" w:lineRule="auto"/>
        <w:rPr>
          <w:rFonts w:hint="eastAsia" w:ascii="Times New Roman" w:hAnsi="Times New Roman" w:cs="Times New Roman"/>
          <w:b w:val="0"/>
          <w:bCs w:val="0"/>
          <w:sz w:val="22"/>
          <w:szCs w:val="21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Yiyun Weng, Department of Neurology, The First Affiliated Hospital of Wenzhou Medical University, Nanbaixiang Street, Ouhai District, Wenzhou 325000, Zhejiang, China. E-mail: wengyiyun2012@126.com. Tel: +86-0577-55579371. Fax: +86-0577-55579318.</w:t>
      </w:r>
    </w:p>
    <w:p>
      <w:pPr>
        <w:spacing w:line="480" w:lineRule="auto"/>
        <w:rPr>
          <w:rFonts w:hint="eastAsia" w:ascii="Times New Roman" w:hAnsi="Times New Roman" w:cs="Times New Roman"/>
          <w:b w:val="0"/>
          <w:bCs w:val="0"/>
          <w:sz w:val="22"/>
          <w:szCs w:val="21"/>
        </w:rPr>
      </w:pPr>
      <w:r>
        <w:rPr>
          <w:rFonts w:hint="eastAsia" w:ascii="Times New Roman" w:hAnsi="Times New Roman" w:cs="Times New Roman"/>
          <w:b w:val="0"/>
          <w:bCs w:val="0"/>
          <w:sz w:val="22"/>
          <w:szCs w:val="21"/>
        </w:rPr>
        <w:t>Dehao Yang, Department of Neurology, The Second Affiliated Hospital, Zhejiang University School of Medicine, Hangzhou 310009, Zhejiang, China. E-mail: dehao_yang@zju.edu.cn.</w:t>
      </w:r>
    </w:p>
    <w:p>
      <w:pPr>
        <w:spacing w:line="480" w:lineRule="auto"/>
        <w:rPr>
          <w:rFonts w:hint="default" w:ascii="Times New Roman" w:hAnsi="Times New Roman" w:cs="Times New Roman"/>
          <w:sz w:val="24"/>
          <w:lang w:val="en-US" w:eastAsia="zh-CN"/>
        </w:rPr>
      </w:pPr>
    </w:p>
    <w:p>
      <w:pPr>
        <w:spacing w:line="480" w:lineRule="auto"/>
        <w:rPr>
          <w:rFonts w:hint="default" w:ascii="Times New Roman" w:hAnsi="Times New Roman" w:cs="Times New Roman"/>
          <w:sz w:val="24"/>
          <w:lang w:val="en-US" w:eastAsia="zh-CN"/>
        </w:rPr>
      </w:pPr>
    </w:p>
    <w:p>
      <w:pPr>
        <w:spacing w:line="480" w:lineRule="auto"/>
        <w:rPr>
          <w:rFonts w:hint="default" w:ascii="Times New Roman" w:hAnsi="Times New Roman" w:cs="Times New Roman"/>
          <w:sz w:val="24"/>
          <w:lang w:val="en-US" w:eastAsia="zh-CN"/>
        </w:rPr>
      </w:pPr>
    </w:p>
    <w:p>
      <w:pPr>
        <w:spacing w:line="48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</w:rPr>
      </w:pPr>
    </w:p>
    <w:p>
      <w:pPr>
        <w:spacing w:line="48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</w:rPr>
        <w:t>Catalogs</w:t>
      </w:r>
    </w:p>
    <w:p>
      <w:pPr>
        <w:spacing w:line="48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</w:rPr>
      </w:pPr>
    </w:p>
    <w:p>
      <w:pPr>
        <w:spacing w:line="480" w:lineRule="auto"/>
        <w:jc w:val="both"/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</w:pPr>
      <w:r>
        <w:rPr>
          <w:rFonts w:ascii="Times New Roman" w:hAnsi="Times New Roman" w:cs="Times New Roman"/>
          <w:b/>
          <w:bCs/>
          <w:kern w:val="0"/>
          <w:szCs w:val="21"/>
          <w:lang w:eastAsia="en-US"/>
        </w:rPr>
        <w:t>Supplementary Tables</w:t>
      </w:r>
      <w:r>
        <w:rPr>
          <w:rFonts w:ascii="Times New Roman" w:hAnsi="Times New Roman" w:cs="Times New Roman"/>
          <w:kern w:val="0"/>
          <w:szCs w:val="21"/>
          <w:lang w:eastAsia="en-US"/>
        </w:rPr>
        <w:t>............................................................................................................................................................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..3</w:t>
      </w:r>
    </w:p>
    <w:p>
      <w:pPr>
        <w:spacing w:line="480" w:lineRule="auto"/>
        <w:jc w:val="both"/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kern w:val="0"/>
          <w:szCs w:val="21"/>
          <w:lang w:val="en-US" w:eastAsia="zh-CN"/>
        </w:rPr>
        <w:t>Supplementary Table 1. Logistic regression analysis assessing different factors of worse disease severity with crisis patients excluded</w:t>
      </w:r>
      <w:r>
        <w:rPr>
          <w:rFonts w:ascii="Times New Roman" w:hAnsi="Times New Roman" w:cs="Times New Roman"/>
          <w:kern w:val="0"/>
          <w:szCs w:val="21"/>
          <w:lang w:eastAsia="en-US"/>
        </w:rPr>
        <w:t>............................................................................................................................................................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..........................3</w:t>
      </w:r>
    </w:p>
    <w:p>
      <w:pPr>
        <w:spacing w:line="480" w:lineRule="auto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lang w:val="en-US" w:eastAsia="zh-CN"/>
        </w:rPr>
        <w:t>Table</w:t>
      </w:r>
      <w:r>
        <w:rPr>
          <w:rFonts w:hint="eastAsia" w:ascii="Times New Roman" w:hAnsi="Times New Roman" w:cs="Times New Roman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Correlation between SIRI and ADL in subgroups</w:t>
      </w:r>
      <w:r>
        <w:rPr>
          <w:rFonts w:ascii="Times New Roman" w:hAnsi="Times New Roman" w:cs="Times New Roman"/>
          <w:kern w:val="0"/>
          <w:szCs w:val="21"/>
          <w:lang w:eastAsia="en-US"/>
        </w:rPr>
        <w:t>................................................................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................4</w:t>
      </w:r>
    </w:p>
    <w:p>
      <w:pPr>
        <w:spacing w:line="480" w:lineRule="auto"/>
        <w:jc w:val="both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Supplementary T</w:t>
      </w:r>
      <w:r>
        <w:rPr>
          <w:rFonts w:hint="default" w:ascii="Times New Roman" w:hAnsi="Times New Roman" w:cs="Times New Roman"/>
          <w:lang w:val="en-US" w:eastAsia="zh-CN"/>
        </w:rPr>
        <w:t>able</w:t>
      </w:r>
      <w:r>
        <w:rPr>
          <w:rFonts w:hint="eastAsia" w:ascii="Times New Roman" w:hAnsi="Times New Roman" w:cs="Times New Roman"/>
          <w:lang w:val="en-US" w:eastAsia="zh-CN"/>
        </w:rPr>
        <w:t xml:space="preserve"> 3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Comparisons between SIRI and other inflammatory biomarkers as well as single blood cell counts</w:t>
      </w:r>
      <w:r>
        <w:rPr>
          <w:rFonts w:ascii="Times New Roman" w:hAnsi="Times New Roman" w:cs="Times New Roman"/>
          <w:kern w:val="0"/>
          <w:szCs w:val="21"/>
          <w:lang w:eastAsia="en-US"/>
        </w:rPr>
        <w:t>...............................................................................................................................................................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...........................5</w:t>
      </w:r>
    </w:p>
    <w:p>
      <w:pPr>
        <w:spacing w:line="480" w:lineRule="auto"/>
        <w:jc w:val="both"/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</w:pPr>
      <w:r>
        <w:rPr>
          <w:rFonts w:ascii="Times New Roman" w:hAnsi="Times New Roman" w:cs="Times New Roman"/>
          <w:b/>
          <w:bCs/>
          <w:kern w:val="0"/>
          <w:szCs w:val="21"/>
          <w:lang w:eastAsia="en-US"/>
        </w:rPr>
        <w:t>Supplementary Figure</w:t>
      </w:r>
      <w:r>
        <w:rPr>
          <w:rFonts w:ascii="Times New Roman" w:hAnsi="Times New Roman" w:cs="Times New Roman"/>
          <w:kern w:val="0"/>
          <w:szCs w:val="21"/>
          <w:lang w:eastAsia="en-US"/>
        </w:rPr>
        <w:t>....................................................................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..........................................................................................6</w:t>
      </w:r>
    </w:p>
    <w:p>
      <w:pPr>
        <w:spacing w:line="480" w:lineRule="auto"/>
        <w:jc w:val="both"/>
        <w:rPr>
          <w:rFonts w:hint="eastAsia" w:ascii="Times New Roman" w:hAnsi="Times New Roman" w:cs="Times New Roman" w:eastAsiaTheme="minorEastAsia"/>
          <w:kern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kern w:val="0"/>
          <w:szCs w:val="21"/>
          <w:lang w:val="en-US" w:eastAsia="zh-CN"/>
        </w:rPr>
        <w:t>Supplementary Figure 1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kern w:val="0"/>
          <w:szCs w:val="21"/>
          <w:lang w:val="en-US" w:eastAsia="zh-CN"/>
        </w:rPr>
        <w:t xml:space="preserve"> Scatter plot of the correlation between SIRI and ADL with crisis patients excluded</w:t>
      </w:r>
      <w:r>
        <w:rPr>
          <w:rFonts w:ascii="Times New Roman" w:hAnsi="Times New Roman" w:cs="Times New Roman"/>
          <w:kern w:val="0"/>
          <w:szCs w:val="21"/>
          <w:lang w:eastAsia="en-US"/>
        </w:rPr>
        <w:t>.....................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...6</w:t>
      </w:r>
    </w:p>
    <w:p>
      <w:pPr>
        <w:spacing w:line="480" w:lineRule="auto"/>
        <w:rPr>
          <w:rFonts w:ascii="Times New Roman" w:hAnsi="Times New Roman" w:cs="Times New Roman"/>
          <w:kern w:val="0"/>
          <w:szCs w:val="21"/>
          <w:lang w:eastAsia="en-US"/>
        </w:rPr>
      </w:pPr>
    </w:p>
    <w:p>
      <w:pPr>
        <w:spacing w:line="480" w:lineRule="auto"/>
        <w:rPr>
          <w:rFonts w:ascii="Times New Roman" w:hAnsi="Times New Roman" w:cs="Times New Roman"/>
          <w:kern w:val="0"/>
          <w:szCs w:val="21"/>
          <w:lang w:eastAsia="en-US"/>
        </w:rPr>
      </w:pPr>
    </w:p>
    <w:p>
      <w:pPr>
        <w:spacing w:line="480" w:lineRule="auto"/>
        <w:rPr>
          <w:rFonts w:ascii="Times New Roman" w:hAnsi="Times New Roman" w:cs="Times New Roman"/>
          <w:kern w:val="0"/>
          <w:szCs w:val="21"/>
          <w:lang w:eastAsia="en-US"/>
        </w:rPr>
      </w:pPr>
    </w:p>
    <w:p>
      <w:pPr>
        <w:spacing w:line="480" w:lineRule="auto"/>
        <w:rPr>
          <w:rFonts w:ascii="Times New Roman" w:hAnsi="Times New Roman" w:cs="Times New Roman"/>
          <w:kern w:val="0"/>
          <w:szCs w:val="21"/>
          <w:lang w:eastAsia="en-US"/>
        </w:rPr>
      </w:pPr>
    </w:p>
    <w:p>
      <w:pPr>
        <w:spacing w:line="480" w:lineRule="auto"/>
        <w:rPr>
          <w:rFonts w:ascii="Times New Roman" w:hAnsi="Times New Roman" w:cs="Times New Roman"/>
          <w:kern w:val="0"/>
          <w:szCs w:val="21"/>
          <w:lang w:eastAsia="en-US"/>
        </w:rPr>
      </w:pPr>
    </w:p>
    <w:p>
      <w:pPr>
        <w:spacing w:line="480" w:lineRule="auto"/>
        <w:rPr>
          <w:rFonts w:ascii="Times New Roman" w:hAnsi="Times New Roman" w:cs="Times New Roman"/>
          <w:kern w:val="0"/>
          <w:szCs w:val="21"/>
          <w:lang w:eastAsia="en-US"/>
        </w:rPr>
      </w:pPr>
    </w:p>
    <w:p>
      <w:pPr>
        <w:spacing w:line="480" w:lineRule="auto"/>
        <w:rPr>
          <w:rFonts w:ascii="Times New Roman" w:hAnsi="Times New Roman" w:cs="Times New Roman"/>
          <w:kern w:val="0"/>
          <w:szCs w:val="21"/>
          <w:lang w:eastAsia="en-US"/>
        </w:rPr>
      </w:pPr>
    </w:p>
    <w:p>
      <w:pPr>
        <w:spacing w:line="480" w:lineRule="auto"/>
        <w:rPr>
          <w:rFonts w:ascii="Times New Roman" w:hAnsi="Times New Roman" w:cs="Times New Roman"/>
          <w:kern w:val="0"/>
          <w:szCs w:val="21"/>
          <w:lang w:eastAsia="en-US"/>
        </w:rPr>
      </w:pPr>
    </w:p>
    <w:p>
      <w:pPr>
        <w:spacing w:line="480" w:lineRule="auto"/>
        <w:rPr>
          <w:rFonts w:ascii="Times New Roman" w:hAnsi="Times New Roman" w:cs="Times New Roman"/>
          <w:kern w:val="0"/>
          <w:szCs w:val="21"/>
          <w:lang w:eastAsia="en-US"/>
        </w:rPr>
      </w:pPr>
    </w:p>
    <w:p>
      <w:pPr>
        <w:spacing w:line="480" w:lineRule="auto"/>
        <w:rPr>
          <w:rFonts w:ascii="Times New Roman" w:hAnsi="Times New Roman" w:cs="Times New Roman"/>
          <w:kern w:val="0"/>
          <w:szCs w:val="21"/>
          <w:lang w:eastAsia="en-US"/>
        </w:rPr>
      </w:pPr>
    </w:p>
    <w:p>
      <w:pPr>
        <w:spacing w:line="480" w:lineRule="auto"/>
        <w:rPr>
          <w:rFonts w:ascii="Times New Roman" w:hAnsi="Times New Roman" w:cs="Times New Roman"/>
          <w:kern w:val="0"/>
          <w:szCs w:val="21"/>
          <w:lang w:eastAsia="en-US"/>
        </w:rPr>
      </w:pPr>
    </w:p>
    <w:p>
      <w:pPr>
        <w:spacing w:line="480" w:lineRule="auto"/>
        <w:rPr>
          <w:rFonts w:ascii="Times New Roman" w:hAnsi="Times New Roman" w:cs="Times New Roman"/>
          <w:kern w:val="0"/>
          <w:szCs w:val="21"/>
          <w:lang w:eastAsia="en-US"/>
        </w:rPr>
      </w:pP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able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Logistic regression analysis assessing different factors of </w:t>
      </w:r>
      <w:r>
        <w:rPr>
          <w:rFonts w:hint="eastAsia" w:ascii="Times New Roman" w:hAnsi="Times New Roman" w:cs="Times New Roman"/>
          <w:lang w:val="en-US" w:eastAsia="zh-CN"/>
        </w:rPr>
        <w:t xml:space="preserve">worse </w:t>
      </w:r>
      <w:r>
        <w:rPr>
          <w:rFonts w:hint="default" w:ascii="Times New Roman" w:hAnsi="Times New Roman" w:cs="Times New Roman"/>
          <w:lang w:val="en-US" w:eastAsia="zh-CN"/>
        </w:rPr>
        <w:t>disease severity</w:t>
      </w:r>
      <w:r>
        <w:rPr>
          <w:rFonts w:hint="eastAsia" w:ascii="Times New Roman" w:hAnsi="Times New Roman" w:cs="Times New Roman"/>
          <w:lang w:val="en-US" w:eastAsia="zh-CN"/>
        </w:rPr>
        <w:t xml:space="preserve"> with crisis patients excluded</w:t>
      </w:r>
    </w:p>
    <w:tbl>
      <w:tblPr>
        <w:tblStyle w:val="4"/>
        <w:tblW w:w="91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852"/>
        <w:gridCol w:w="1308"/>
        <w:gridCol w:w="911"/>
        <w:gridCol w:w="240"/>
        <w:gridCol w:w="793"/>
        <w:gridCol w:w="1184"/>
        <w:gridCol w:w="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Univariate Logistic regression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Multivariate logistic regression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OR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95%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CI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value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OR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95%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CI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Age (years)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1.021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0.977-1.067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0.345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1.031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0.972-1.093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Sex (male,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1.130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0.304-4.200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0.855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1.206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0.242-6.018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Disease duration (months)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1.009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1.001-1.016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1.001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0.990-1.013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Recent onset (months)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0.788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0.455-1.364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0.395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Primary onset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0.204-5.092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0.981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History of MG medication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0.362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0.099-1.327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Smoking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0.366-24.606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Hypertension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1.265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0.312-5.132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0.742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Diabetes mellitus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1.766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0.212-14.690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0.599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Thymoma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0.681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0.077-5.987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0.207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0.015-2.889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Thymectomy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0.264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0.061-1.146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0.075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Prehospital infection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0.057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0.013-0.244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Cholinesterase inhibitor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1.603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0.388-6.617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Glucocorticoid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0.521-3.298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0.886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Immunosuppressor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0.653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0.159-2.692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Azathioprine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0.290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0.029-2.877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0.291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Intravenous immunoglobulin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0.682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0.182-2.550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0.569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SIRI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1.552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1.197-2.012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1.592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1.166-2.174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NLR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1.098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1.022-1.180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PLR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1.002-1.011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LMR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0.337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0.173-0.659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SII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1.000-1.001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r>
        <w:rPr>
          <w:rFonts w:hint="default" w:ascii="Times New Roman" w:hAnsi="Times New Roman" w:cs="Times New Roman"/>
          <w:lang w:val="en-US" w:eastAsia="zh-CN"/>
        </w:rPr>
        <w:t>Abbreviations: MG, Myasthenia gravis; SIRI, system inflammation response index</w:t>
      </w:r>
      <w:r>
        <w:rPr>
          <w:rFonts w:hint="eastAsia" w:ascii="Times New Roman" w:hAnsi="Times New Roman" w:cs="Times New Roman"/>
          <w:lang w:val="en-US" w:eastAsia="zh-CN"/>
        </w:rPr>
        <w:t>; NLR, neutrophil-to-lymphocyte ratio; PLR, platelet-to-lymphocyte ratio; LMR, lymphocyte-to-monocyte ratio; SII, systemic immune-inflammation index.</w:t>
      </w:r>
    </w:p>
    <w:p>
      <w:pPr>
        <w:spacing w:line="480" w:lineRule="auto"/>
        <w:rPr>
          <w:rFonts w:hint="default" w:ascii="Times New Roman" w:hAnsi="Times New Roman" w:cs="Times New Roman"/>
          <w:kern w:val="0"/>
          <w:szCs w:val="21"/>
          <w:lang w:val="en-US" w:eastAsia="zh-CN"/>
        </w:rPr>
      </w:pPr>
    </w:p>
    <w:p>
      <w:pPr>
        <w:spacing w:line="480" w:lineRule="auto"/>
        <w:rPr>
          <w:rFonts w:hint="default" w:ascii="Times New Roman" w:hAnsi="Times New Roman" w:cs="Times New Roman"/>
          <w:kern w:val="0"/>
          <w:szCs w:val="21"/>
          <w:lang w:val="en-US" w:eastAsia="zh-CN"/>
        </w:rPr>
      </w:pPr>
    </w:p>
    <w:p>
      <w:pPr>
        <w:spacing w:line="480" w:lineRule="auto"/>
        <w:rPr>
          <w:rFonts w:hint="default" w:ascii="Times New Roman" w:hAnsi="Times New Roman" w:cs="Times New Roman"/>
          <w:kern w:val="0"/>
          <w:szCs w:val="21"/>
          <w:lang w:val="en-US" w:eastAsia="zh-CN"/>
        </w:rPr>
      </w:pPr>
    </w:p>
    <w:p>
      <w:pPr>
        <w:spacing w:line="480" w:lineRule="auto"/>
        <w:rPr>
          <w:rFonts w:hint="default" w:ascii="Times New Roman" w:hAnsi="Times New Roman" w:cs="Times New Roman"/>
          <w:kern w:val="0"/>
          <w:szCs w:val="21"/>
          <w:lang w:val="en-US" w:eastAsia="zh-CN"/>
        </w:rPr>
      </w:pPr>
    </w:p>
    <w:p>
      <w:pPr>
        <w:spacing w:line="480" w:lineRule="auto"/>
        <w:rPr>
          <w:rFonts w:hint="default" w:ascii="Times New Roman" w:hAnsi="Times New Roman" w:cs="Times New Roman"/>
          <w:kern w:val="0"/>
          <w:szCs w:val="21"/>
          <w:lang w:val="en-US" w:eastAsia="zh-CN"/>
        </w:rPr>
      </w:pPr>
    </w:p>
    <w:p>
      <w:pPr>
        <w:spacing w:line="480" w:lineRule="auto"/>
        <w:rPr>
          <w:rFonts w:hint="default" w:ascii="Times New Roman" w:hAnsi="Times New Roman" w:cs="Times New Roman"/>
          <w:kern w:val="0"/>
          <w:szCs w:val="21"/>
          <w:lang w:val="en-US" w:eastAsia="zh-CN"/>
        </w:rPr>
      </w:pPr>
    </w:p>
    <w:p>
      <w:pPr>
        <w:spacing w:line="480" w:lineRule="auto"/>
        <w:rPr>
          <w:rFonts w:hint="default" w:ascii="Times New Roman" w:hAnsi="Times New Roman" w:cs="Times New Roman"/>
          <w:kern w:val="0"/>
          <w:szCs w:val="21"/>
          <w:lang w:val="en-US" w:eastAsia="zh-CN"/>
        </w:rPr>
      </w:pPr>
    </w:p>
    <w:p>
      <w:pPr>
        <w:spacing w:line="480" w:lineRule="auto"/>
        <w:rPr>
          <w:rFonts w:hint="default" w:ascii="Times New Roman" w:hAnsi="Times New Roman" w:cs="Times New Roman"/>
          <w:kern w:val="0"/>
          <w:szCs w:val="21"/>
          <w:lang w:val="en-US" w:eastAsia="zh-CN"/>
        </w:rPr>
      </w:pPr>
    </w:p>
    <w:p>
      <w:pPr>
        <w:spacing w:line="480" w:lineRule="auto"/>
        <w:rPr>
          <w:rFonts w:hint="default" w:ascii="Times New Roman" w:hAnsi="Times New Roman" w:cs="Times New Roman"/>
          <w:kern w:val="0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Table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Correlation between SIRI and ADL in subgroups.</w:t>
      </w:r>
    </w:p>
    <w:tbl>
      <w:tblPr>
        <w:tblStyle w:val="4"/>
        <w:tblW w:w="6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2172"/>
        <w:gridCol w:w="1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Subgroup</w:t>
            </w:r>
          </w:p>
        </w:tc>
        <w:tc>
          <w:tcPr>
            <w:tcW w:w="2172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Spearman r</w:t>
            </w:r>
          </w:p>
        </w:tc>
        <w:tc>
          <w:tcPr>
            <w:tcW w:w="1866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Age (&gt;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Yes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0.273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No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0.211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Sex (male)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Yes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0.319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No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0.182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History of MG medication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Yes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0.043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No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0.227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Smoking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Yes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0.230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No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0.235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Yes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0.241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No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0.224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Prehospital infection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Yes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0.384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No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0.134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Glucocorticoid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0.329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Immunosuppressor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0.071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0.282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Intravenous immunoglobulin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0.087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0.163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0.125</w:t>
            </w:r>
          </w:p>
        </w:tc>
      </w:tr>
    </w:tbl>
    <w:p>
      <w:r>
        <w:rPr>
          <w:rFonts w:hint="default" w:ascii="Times New Roman" w:hAnsi="Times New Roman" w:cs="Times New Roman"/>
          <w:lang w:val="en-US" w:eastAsia="zh-CN"/>
        </w:rPr>
        <w:t>Abbreviations: MG, Myasthenia gravis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>
      <w:pPr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able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3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Comparisons between SIRI and other inflammatory biomarkers as well as single blood cell counts</w:t>
      </w:r>
    </w:p>
    <w:tbl>
      <w:tblPr>
        <w:tblStyle w:val="4"/>
        <w:tblW w:w="112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872"/>
        <w:gridCol w:w="888"/>
        <w:gridCol w:w="1272"/>
        <w:gridCol w:w="1488"/>
        <w:gridCol w:w="1488"/>
        <w:gridCol w:w="764"/>
        <w:gridCol w:w="720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AUC (95%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CI)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value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Cutoff value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Sensitivity (%)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Specificity (%)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Delong Test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ROC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SIRI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0.802 (0.728-0.864)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2.753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NLR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0.807 (0.733-0.868)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2.599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85.7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65.1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97.67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PLR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0.748 (0.669-0.817)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173.451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80.6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LMR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0.766 (0.687-0.832)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3.419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SII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0.805 (0.730-0.866)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1105.412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Adjusted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ROC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SIRI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0.824 (0.751-0.882)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92.9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65.1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98.83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NLR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0.774 (0.696-0.839)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71.4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77.5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96.15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PLR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0.823 (0.751-0.882)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64.3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89.1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95.83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LMR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0.817 (0.744-0.877)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85.7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70.5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97.85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SII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0.771 (0.693-0.837)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0.008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64.3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93.0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49.92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96.00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Adjusted for age, sex, disease duration, history of MG medication and thymoma.</w:t>
      </w: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Abbreviations: SIRI, system inflammation response index</w:t>
      </w:r>
      <w:r>
        <w:rPr>
          <w:rFonts w:hint="eastAsia" w:ascii="Times New Roman" w:hAnsi="Times New Roman" w:cs="Times New Roman"/>
          <w:lang w:val="en-US" w:eastAsia="zh-CN"/>
        </w:rPr>
        <w:t>; NLR, neutrophil-to-lymphocyte ratio; PLR, platelet-to-lymphocyte ratio; LMR, lymphocyte-to-monocyte ratio; SII, systemic immune-inflammation index; PPV, positive predictive value ; NPV, negative predictive value.</w:t>
      </w: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4872990" cy="3451860"/>
            <wp:effectExtent l="0" t="0" r="3810" b="7620"/>
            <wp:docPr id="3" name="图片 3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ry Fig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299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Supplementary Figure 1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Scatter plot of the correlation between SIRI and ADL with crisis patients excluded.</w:t>
      </w:r>
      <w:r>
        <w:rPr>
          <w:rFonts w:hint="default" w:ascii="Times New Roman" w:hAnsi="Times New Roman" w:cs="Times New Roman"/>
          <w:lang w:val="en-US" w:eastAsia="zh-CN"/>
        </w:rPr>
        <w:t xml:space="preserve"> Consistent with previous results, SIRI remained positively associated with ADL after the exclusion of crisis patients. Spearman correlation analysis showed a strong correlation between SIRI and ADL (r = 0.1962, p = 0.028). The results of linear fitting (Y = 0.1731*X + 0.4508, p &lt; 0.001) also support the positive correlation between them.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Nzc0NjQzMWJmNGVjYjI0MjQ1OWMwNjVjYzNlZmUifQ=="/>
  </w:docVars>
  <w:rsids>
    <w:rsidRoot w:val="00000000"/>
    <w:rsid w:val="0EE76F09"/>
    <w:rsid w:val="3BEA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2024-02-07T05:24:00Z</dcterms:created>
  <dc:creator>acer</dc:creator>
  <cp:lastModifiedBy>wyc</cp:lastModifiedBy>
  <dcterms:modified xsi:type="dcterms:W3CDTF">2024-03-07T11:08:31Z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DAAEABB6F478485E8F55CD259D44CA67_13</vt:lpwstr>
  </property>
</Properties>
</file>