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page" w:tblpX="2153" w:tblpY="3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06"/>
        <w:gridCol w:w="1239"/>
        <w:gridCol w:w="1239"/>
        <w:gridCol w:w="1239"/>
        <w:gridCol w:w="1239"/>
        <w:gridCol w:w="1295"/>
      </w:tblGrid>
      <w:tr w:rsidR="00727682" w:rsidRPr="00CC4D2B" w:rsidTr="00EE2FFC">
        <w:trPr>
          <w:trHeight w:val="300"/>
        </w:trPr>
        <w:tc>
          <w:tcPr>
            <w:tcW w:w="0" w:type="auto"/>
            <w:gridSpan w:val="6"/>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SVM-radial</w:t>
            </w:r>
          </w:p>
        </w:tc>
      </w:tr>
      <w:tr w:rsidR="00727682" w:rsidRPr="00CC4D2B" w:rsidTr="00EE2FFC">
        <w:trPr>
          <w:trHeight w:val="300"/>
        </w:trPr>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Features</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Accuracy</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Sensitivity</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Specificity</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Precision</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AUROC</w:t>
            </w:r>
          </w:p>
        </w:tc>
      </w:tr>
      <w:tr w:rsidR="00727682" w:rsidRPr="00CC4D2B" w:rsidTr="00EE2FFC">
        <w:trPr>
          <w:trHeight w:val="300"/>
        </w:trPr>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top5</w:t>
            </w:r>
          </w:p>
        </w:tc>
        <w:tc>
          <w:tcPr>
            <w:tcW w:w="0" w:type="auto"/>
            <w:shd w:val="clear" w:color="auto" w:fill="auto"/>
            <w:noWrap/>
            <w:vAlign w:val="center"/>
            <w:hideMark/>
          </w:tcPr>
          <w:p w:rsidR="00727682" w:rsidRPr="00CC4D2B" w:rsidRDefault="00727682" w:rsidP="00EE2FFC">
            <w:pPr>
              <w:spacing w:after="0" w:line="480" w:lineRule="auto"/>
              <w:jc w:val="center"/>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58.35(0.06)</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68.41(0.06)</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48.96(0.10)</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59.54(0.10)</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63.25(0.06)</w:t>
            </w:r>
          </w:p>
        </w:tc>
      </w:tr>
      <w:tr w:rsidR="00727682" w:rsidRPr="00CC4D2B" w:rsidTr="00EE2FFC">
        <w:trPr>
          <w:trHeight w:val="300"/>
        </w:trPr>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top25</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61.79(0.07)</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67.83(0.06)</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56.70(0.11)</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63.15(0.13)</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69.46(0.05)</w:t>
            </w:r>
          </w:p>
        </w:tc>
      </w:tr>
      <w:tr w:rsidR="00727682" w:rsidRPr="00CC4D2B" w:rsidTr="00EE2FFC">
        <w:trPr>
          <w:trHeight w:val="300"/>
        </w:trPr>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top100</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66.83(0.06)</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67.42(0.07)</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67.68(0.10)</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69.18(0.13)</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74.70(0.07)</w:t>
            </w:r>
          </w:p>
        </w:tc>
      </w:tr>
      <w:tr w:rsidR="00727682" w:rsidRPr="00CC4D2B" w:rsidTr="00EE2FFC">
        <w:trPr>
          <w:trHeight w:val="300"/>
        </w:trPr>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top400</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68.39(0.10)</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69.10(0.15)</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69.85(0.11)</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69.39(0.13)</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76.28(0.08)</w:t>
            </w:r>
          </w:p>
        </w:tc>
      </w:tr>
      <w:tr w:rsidR="00727682" w:rsidRPr="00CC4D2B" w:rsidTr="00EE2FFC">
        <w:trPr>
          <w:trHeight w:val="300"/>
        </w:trPr>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top1600</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69.69(0.10)</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67.88(0.13)</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73.38(0.12)</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73.21(0.16)</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79.34(0.08)</w:t>
            </w:r>
          </w:p>
        </w:tc>
      </w:tr>
      <w:tr w:rsidR="00727682" w:rsidRPr="00CC4D2B" w:rsidTr="00EE2FFC">
        <w:trPr>
          <w:trHeight w:val="300"/>
        </w:trPr>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All genes</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70.51(0.09)</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70.68(0.11)</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72.28(0.11)</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73.06(0.14)</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79.01(0.07)</w:t>
            </w:r>
          </w:p>
        </w:tc>
      </w:tr>
      <w:tr w:rsidR="00727682" w:rsidRPr="00CC4D2B" w:rsidTr="00EE2FFC">
        <w:trPr>
          <w:trHeight w:val="300"/>
        </w:trPr>
        <w:tc>
          <w:tcPr>
            <w:tcW w:w="0" w:type="auto"/>
            <w:gridSpan w:val="6"/>
            <w:shd w:val="clear" w:color="auto" w:fill="auto"/>
            <w:noWrap/>
            <w:vAlign w:val="center"/>
            <w:hideMark/>
          </w:tcPr>
          <w:p w:rsidR="00727682" w:rsidRPr="00CC4D2B" w:rsidRDefault="00727682" w:rsidP="00EE2FFC">
            <w:pPr>
              <w:spacing w:after="0" w:line="480" w:lineRule="auto"/>
              <w:rPr>
                <w:rFonts w:ascii="Arial" w:eastAsia="Times New Roman" w:hAnsi="Arial" w:cs="Arial"/>
                <w:b/>
                <w:color w:val="000000"/>
                <w:sz w:val="20"/>
                <w:szCs w:val="20"/>
                <w:lang w:val="en-US" w:eastAsia="en-IN"/>
              </w:rPr>
            </w:pPr>
            <w:r w:rsidRPr="00CC4D2B">
              <w:rPr>
                <w:rFonts w:ascii="Arial" w:eastAsia="Times New Roman" w:hAnsi="Arial" w:cs="Arial"/>
                <w:b/>
                <w:color w:val="000000"/>
                <w:sz w:val="20"/>
                <w:szCs w:val="20"/>
                <w:lang w:val="en-US" w:eastAsia="en-IN"/>
              </w:rPr>
              <w:t>PAM</w:t>
            </w:r>
          </w:p>
        </w:tc>
      </w:tr>
      <w:tr w:rsidR="00727682" w:rsidRPr="00CC4D2B" w:rsidTr="00EE2FFC">
        <w:trPr>
          <w:trHeight w:val="300"/>
        </w:trPr>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top5</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60.45(0.10)</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68.26(0.09)</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51.58(0.13)</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60.96(0.13)</w:t>
            </w:r>
          </w:p>
        </w:tc>
        <w:tc>
          <w:tcPr>
            <w:tcW w:w="0" w:type="auto"/>
            <w:shd w:val="clear" w:color="auto" w:fill="auto"/>
            <w:noWrap/>
            <w:vAlign w:val="center"/>
            <w:hideMark/>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66.02 (0.10)</w:t>
            </w:r>
          </w:p>
        </w:tc>
      </w:tr>
      <w:tr w:rsidR="00727682" w:rsidRPr="00CC4D2B" w:rsidTr="00EE2FFC">
        <w:trPr>
          <w:trHeight w:val="300"/>
        </w:trPr>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top25</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62.85(0.09)</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63.44(0.09)</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63.35(0.12)</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65.42(0.15)</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69.65 (0.06)</w:t>
            </w:r>
          </w:p>
        </w:tc>
      </w:tr>
      <w:tr w:rsidR="00727682" w:rsidRPr="00CC4D2B" w:rsidTr="00EE2FFC">
        <w:trPr>
          <w:trHeight w:val="300"/>
        </w:trPr>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top100</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64.18(0.06)</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63.82(0.07)</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65.65(0.08)</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66.65(0.12)</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69.87 (0.07)</w:t>
            </w:r>
          </w:p>
        </w:tc>
      </w:tr>
      <w:tr w:rsidR="00727682" w:rsidRPr="00CC4D2B" w:rsidTr="00EE2FFC">
        <w:trPr>
          <w:trHeight w:val="300"/>
        </w:trPr>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top400</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66.05(0.08)</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66.19(0.08)</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66.98(0.09)</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68.09(0.13)</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70.61 (0.07)</w:t>
            </w:r>
          </w:p>
        </w:tc>
      </w:tr>
      <w:tr w:rsidR="00727682" w:rsidRPr="00CC4D2B" w:rsidTr="00EE2FFC">
        <w:trPr>
          <w:trHeight w:val="300"/>
        </w:trPr>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top1600</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66.59(0.08)</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66.3(0.11)</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67.26(0.08)</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68.08(0.13)</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68.79 (0.08)</w:t>
            </w:r>
          </w:p>
        </w:tc>
      </w:tr>
      <w:tr w:rsidR="00727682" w:rsidRPr="00CC4D2B" w:rsidTr="00EE2FFC">
        <w:trPr>
          <w:trHeight w:val="300"/>
        </w:trPr>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
                <w:bCs/>
                <w:color w:val="000000"/>
                <w:sz w:val="20"/>
                <w:szCs w:val="20"/>
                <w:lang w:val="en-US" w:eastAsia="en-IN"/>
              </w:rPr>
            </w:pPr>
            <w:r w:rsidRPr="00CC4D2B">
              <w:rPr>
                <w:rFonts w:ascii="Arial" w:eastAsia="Times New Roman" w:hAnsi="Arial" w:cs="Arial"/>
                <w:b/>
                <w:bCs/>
                <w:color w:val="000000"/>
                <w:sz w:val="20"/>
                <w:szCs w:val="20"/>
                <w:lang w:val="en-US" w:eastAsia="en-IN"/>
              </w:rPr>
              <w:t>All genes</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64.20(0.07)</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66.75(0.10)</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62.21(0.08)</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65.46(0.12)</w:t>
            </w:r>
          </w:p>
        </w:tc>
        <w:tc>
          <w:tcPr>
            <w:tcW w:w="0" w:type="auto"/>
            <w:shd w:val="clear" w:color="auto" w:fill="auto"/>
            <w:noWrap/>
            <w:vAlign w:val="center"/>
          </w:tcPr>
          <w:p w:rsidR="00727682" w:rsidRPr="00CC4D2B" w:rsidRDefault="00727682" w:rsidP="00EE2FFC">
            <w:pPr>
              <w:spacing w:after="0" w:line="480" w:lineRule="auto"/>
              <w:rPr>
                <w:rFonts w:ascii="Arial" w:eastAsia="Times New Roman" w:hAnsi="Arial" w:cs="Arial"/>
                <w:bCs/>
                <w:color w:val="000000"/>
                <w:sz w:val="20"/>
                <w:szCs w:val="20"/>
                <w:lang w:val="en-US" w:eastAsia="en-IN"/>
              </w:rPr>
            </w:pPr>
            <w:r w:rsidRPr="00CC4D2B">
              <w:rPr>
                <w:rFonts w:ascii="Arial" w:eastAsia="Times New Roman" w:hAnsi="Arial" w:cs="Arial"/>
                <w:bCs/>
                <w:color w:val="000000"/>
                <w:sz w:val="20"/>
                <w:szCs w:val="20"/>
                <w:lang w:val="en-US" w:eastAsia="en-IN"/>
              </w:rPr>
              <w:t>68.76 (0.08)</w:t>
            </w:r>
          </w:p>
        </w:tc>
      </w:tr>
    </w:tbl>
    <w:p w:rsidR="00432050" w:rsidRPr="00CC4D2B" w:rsidRDefault="00432050" w:rsidP="00432050">
      <w:pPr>
        <w:spacing w:line="480" w:lineRule="auto"/>
        <w:jc w:val="center"/>
        <w:rPr>
          <w:rFonts w:ascii="Arial" w:hAnsi="Arial" w:cs="Arial"/>
          <w:b/>
          <w:color w:val="000000"/>
          <w:sz w:val="20"/>
          <w:szCs w:val="20"/>
          <w:lang w:val="en-US"/>
        </w:rPr>
      </w:pPr>
      <w:proofErr w:type="spellStart"/>
      <w:r w:rsidRPr="00CC4D2B">
        <w:rPr>
          <w:rFonts w:ascii="Arial" w:hAnsi="Arial" w:cs="Arial"/>
          <w:b/>
          <w:color w:val="000000"/>
          <w:sz w:val="20"/>
          <w:szCs w:val="20"/>
          <w:lang w:val="en-US"/>
        </w:rPr>
        <w:t>Supplemetary</w:t>
      </w:r>
      <w:proofErr w:type="spellEnd"/>
      <w:r w:rsidRPr="00CC4D2B">
        <w:rPr>
          <w:rFonts w:ascii="Arial" w:hAnsi="Arial" w:cs="Arial"/>
          <w:b/>
          <w:color w:val="000000"/>
          <w:sz w:val="20"/>
          <w:szCs w:val="20"/>
          <w:lang w:val="en-US"/>
        </w:rPr>
        <w:t xml:space="preserve"> Tables</w:t>
      </w:r>
    </w:p>
    <w:p w:rsidR="00727682" w:rsidRPr="00CC4D2B" w:rsidRDefault="00727682" w:rsidP="00727682">
      <w:pPr>
        <w:spacing w:line="480" w:lineRule="auto"/>
        <w:rPr>
          <w:rFonts w:ascii="Arial" w:hAnsi="Arial" w:cs="Arial"/>
          <w:color w:val="000000"/>
          <w:sz w:val="20"/>
          <w:szCs w:val="20"/>
          <w:lang w:val="en-US"/>
        </w:rPr>
      </w:pPr>
      <w:r w:rsidRPr="00CC4D2B">
        <w:rPr>
          <w:rFonts w:ascii="Arial" w:hAnsi="Arial" w:cs="Arial"/>
          <w:b/>
          <w:color w:val="000000"/>
          <w:sz w:val="20"/>
          <w:szCs w:val="20"/>
          <w:lang w:val="en-US"/>
        </w:rPr>
        <w:t xml:space="preserve">Supplementary </w:t>
      </w:r>
      <w:r w:rsidR="00791719" w:rsidRPr="00CC4D2B">
        <w:rPr>
          <w:rFonts w:ascii="Arial" w:hAnsi="Arial" w:cs="Arial"/>
          <w:b/>
          <w:color w:val="000000"/>
          <w:sz w:val="20"/>
          <w:szCs w:val="20"/>
          <w:lang w:val="en-US"/>
        </w:rPr>
        <w:t>T</w:t>
      </w:r>
      <w:r w:rsidRPr="00CC4D2B">
        <w:rPr>
          <w:rFonts w:ascii="Arial" w:hAnsi="Arial" w:cs="Arial"/>
          <w:b/>
          <w:color w:val="000000"/>
          <w:sz w:val="20"/>
          <w:szCs w:val="20"/>
          <w:lang w:val="en-US"/>
        </w:rPr>
        <w:t>able 1</w:t>
      </w:r>
      <w:r w:rsidRPr="00CC4D2B">
        <w:rPr>
          <w:rFonts w:ascii="Arial" w:hAnsi="Arial" w:cs="Arial"/>
          <w:color w:val="000000"/>
          <w:sz w:val="20"/>
          <w:szCs w:val="20"/>
          <w:lang w:val="en-US"/>
        </w:rPr>
        <w:t xml:space="preserve">: </w:t>
      </w:r>
      <w:r w:rsidRPr="00CC4D2B">
        <w:rPr>
          <w:rFonts w:ascii="Arial" w:eastAsia="Times New Roman" w:hAnsi="Arial" w:cs="Arial"/>
          <w:iCs/>
          <w:color w:val="000000"/>
          <w:sz w:val="20"/>
          <w:szCs w:val="20"/>
          <w:lang w:val="en-US" w:eastAsia="en-IN"/>
        </w:rPr>
        <w:t>Performance of SVM-radial and PAM models in test data class prediction analysis</w:t>
      </w: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spacing w:line="480" w:lineRule="auto"/>
        <w:rPr>
          <w:rFonts w:ascii="Arial" w:hAnsi="Arial" w:cs="Arial"/>
          <w:color w:val="000000"/>
          <w:sz w:val="20"/>
          <w:szCs w:val="20"/>
          <w:lang w:val="en-US"/>
        </w:rPr>
      </w:pPr>
    </w:p>
    <w:p w:rsidR="00727682" w:rsidRPr="00CC4D2B" w:rsidRDefault="00727682" w:rsidP="00727682">
      <w:pPr>
        <w:pStyle w:val="Caption"/>
        <w:keepNext/>
        <w:spacing w:after="0" w:line="480" w:lineRule="auto"/>
        <w:jc w:val="both"/>
        <w:rPr>
          <w:rFonts w:ascii="Arial" w:eastAsia="Times New Roman" w:hAnsi="Arial" w:cs="Arial"/>
          <w:b/>
          <w:i w:val="0"/>
          <w:iCs w:val="0"/>
          <w:color w:val="000000"/>
          <w:sz w:val="20"/>
          <w:szCs w:val="20"/>
          <w:lang w:val="en-US" w:eastAsia="en-IN"/>
        </w:rPr>
      </w:pPr>
    </w:p>
    <w:p w:rsidR="00727682" w:rsidRPr="00CC4D2B" w:rsidRDefault="00727682" w:rsidP="00727682">
      <w:pPr>
        <w:pStyle w:val="Caption"/>
        <w:keepNext/>
        <w:spacing w:after="0" w:line="480" w:lineRule="auto"/>
        <w:jc w:val="both"/>
        <w:rPr>
          <w:rFonts w:ascii="Arial" w:eastAsia="Times New Roman" w:hAnsi="Arial" w:cs="Arial"/>
          <w:b/>
          <w:i w:val="0"/>
          <w:iCs w:val="0"/>
          <w:color w:val="000000"/>
          <w:sz w:val="20"/>
          <w:szCs w:val="20"/>
          <w:lang w:val="en-US" w:eastAsia="en-IN"/>
        </w:rPr>
      </w:pPr>
    </w:p>
    <w:p w:rsidR="00727682" w:rsidRPr="00CC4D2B" w:rsidRDefault="00727682" w:rsidP="00727682">
      <w:pPr>
        <w:pStyle w:val="Caption"/>
        <w:keepNext/>
        <w:spacing w:after="0" w:line="480" w:lineRule="auto"/>
        <w:jc w:val="both"/>
        <w:rPr>
          <w:rFonts w:ascii="Arial" w:eastAsia="Times New Roman" w:hAnsi="Arial" w:cs="Arial"/>
          <w:i w:val="0"/>
          <w:iCs w:val="0"/>
          <w:color w:val="000000"/>
          <w:sz w:val="20"/>
          <w:szCs w:val="20"/>
          <w:lang w:val="en-US" w:eastAsia="en-IN"/>
        </w:rPr>
      </w:pPr>
      <w:r w:rsidRPr="00CC4D2B">
        <w:rPr>
          <w:rFonts w:ascii="Arial" w:eastAsia="Times New Roman" w:hAnsi="Arial" w:cs="Arial"/>
          <w:b/>
          <w:i w:val="0"/>
          <w:iCs w:val="0"/>
          <w:color w:val="000000"/>
          <w:sz w:val="20"/>
          <w:szCs w:val="20"/>
          <w:lang w:val="en-US" w:eastAsia="en-IN"/>
        </w:rPr>
        <w:t>Note</w:t>
      </w:r>
      <w:r w:rsidRPr="00CC4D2B">
        <w:rPr>
          <w:rFonts w:ascii="Arial" w:eastAsia="Times New Roman" w:hAnsi="Arial" w:cs="Arial"/>
          <w:i w:val="0"/>
          <w:iCs w:val="0"/>
          <w:color w:val="000000"/>
          <w:sz w:val="20"/>
          <w:szCs w:val="20"/>
          <w:lang w:val="en-US" w:eastAsia="en-IN"/>
        </w:rPr>
        <w:t>: Support vector machine (SVM)-radial and prediction analysis of microarrays (PAM) models were developed using different number</w:t>
      </w:r>
      <w:r w:rsidR="00791719" w:rsidRPr="00CC4D2B">
        <w:rPr>
          <w:rFonts w:ascii="Arial" w:eastAsia="Times New Roman" w:hAnsi="Arial" w:cs="Arial"/>
          <w:i w:val="0"/>
          <w:iCs w:val="0"/>
          <w:color w:val="000000"/>
          <w:sz w:val="20"/>
          <w:szCs w:val="20"/>
          <w:lang w:val="en-US" w:eastAsia="en-IN"/>
        </w:rPr>
        <w:t>s</w:t>
      </w:r>
      <w:r w:rsidRPr="00CC4D2B">
        <w:rPr>
          <w:rFonts w:ascii="Arial" w:eastAsia="Times New Roman" w:hAnsi="Arial" w:cs="Arial"/>
          <w:i w:val="0"/>
          <w:iCs w:val="0"/>
          <w:color w:val="000000"/>
          <w:sz w:val="20"/>
          <w:szCs w:val="20"/>
          <w:lang w:val="en-US" w:eastAsia="en-IN"/>
        </w:rPr>
        <w:t xml:space="preserve"> of top differentially expressed genes (DEGs). These models were evaluated for their class prediction performance in test data and independent dataset. The above table depicts the performance of models in test data (generated from random sampling) class prediction analysis. The models were compared using RMA</w:t>
      </w:r>
      <w:r w:rsidR="00791719" w:rsidRPr="00CC4D2B">
        <w:rPr>
          <w:rFonts w:ascii="Arial" w:eastAsia="Times New Roman" w:hAnsi="Arial" w:cs="Arial"/>
          <w:i w:val="0"/>
          <w:iCs w:val="0"/>
          <w:color w:val="000000"/>
          <w:sz w:val="20"/>
          <w:szCs w:val="20"/>
          <w:lang w:val="en-US" w:eastAsia="en-IN"/>
        </w:rPr>
        <w:t>,</w:t>
      </w:r>
      <w:r w:rsidRPr="00CC4D2B">
        <w:rPr>
          <w:rFonts w:ascii="Arial" w:eastAsia="Times New Roman" w:hAnsi="Arial" w:cs="Arial"/>
          <w:i w:val="0"/>
          <w:iCs w:val="0"/>
          <w:color w:val="000000"/>
          <w:sz w:val="20"/>
          <w:szCs w:val="20"/>
          <w:lang w:val="en-US" w:eastAsia="en-IN"/>
        </w:rPr>
        <w:t xml:space="preserve"> followed by Tukey’s post hoc test with </w:t>
      </w:r>
      <w:r w:rsidR="0049429D" w:rsidRPr="00CC4D2B">
        <w:rPr>
          <w:rFonts w:ascii="Arial" w:eastAsia="Times New Roman" w:hAnsi="Arial" w:cs="Arial"/>
          <w:i w:val="0"/>
          <w:iCs w:val="0"/>
          <w:color w:val="000000"/>
          <w:sz w:val="20"/>
          <w:szCs w:val="20"/>
          <w:lang w:val="en-US" w:eastAsia="en-IN"/>
        </w:rPr>
        <w:t xml:space="preserve">Greenhouse-Geisser and </w:t>
      </w:r>
      <w:r w:rsidR="007700A3" w:rsidRPr="00CC4D2B">
        <w:rPr>
          <w:rFonts w:ascii="Arial" w:eastAsia="Times New Roman" w:hAnsi="Arial" w:cs="Arial"/>
          <w:i w:val="0"/>
          <w:iCs w:val="0"/>
          <w:color w:val="000000"/>
          <w:sz w:val="20"/>
          <w:szCs w:val="20"/>
          <w:lang w:val="en-US" w:eastAsia="en-IN"/>
        </w:rPr>
        <w:t>Huynh</w:t>
      </w:r>
      <w:r w:rsidR="0049429D" w:rsidRPr="00CC4D2B">
        <w:rPr>
          <w:rFonts w:ascii="Arial" w:eastAsia="Times New Roman" w:hAnsi="Arial" w:cs="Arial"/>
          <w:i w:val="0"/>
          <w:iCs w:val="0"/>
          <w:color w:val="000000"/>
          <w:sz w:val="20"/>
          <w:szCs w:val="20"/>
          <w:lang w:val="en-US" w:eastAsia="en-IN"/>
        </w:rPr>
        <w:t xml:space="preserve">-Feldt corrections </w:t>
      </w:r>
      <w:r w:rsidRPr="00CC4D2B">
        <w:rPr>
          <w:rFonts w:ascii="Arial" w:eastAsia="Times New Roman" w:hAnsi="Arial" w:cs="Arial"/>
          <w:i w:val="0"/>
          <w:iCs w:val="0"/>
          <w:color w:val="000000"/>
          <w:sz w:val="20"/>
          <w:szCs w:val="20"/>
          <w:lang w:val="en-US" w:eastAsia="en-IN"/>
        </w:rPr>
        <w:t xml:space="preserve">for each parameter separately. SVM-radial models performed better with </w:t>
      </w:r>
      <w:r w:rsidR="00791719" w:rsidRPr="00CC4D2B">
        <w:rPr>
          <w:rFonts w:ascii="Arial" w:eastAsia="Times New Roman" w:hAnsi="Arial" w:cs="Arial"/>
          <w:i w:val="0"/>
          <w:iCs w:val="0"/>
          <w:color w:val="000000"/>
          <w:sz w:val="20"/>
          <w:szCs w:val="20"/>
          <w:lang w:val="en-US" w:eastAsia="en-IN"/>
        </w:rPr>
        <w:t xml:space="preserve">the </w:t>
      </w:r>
      <w:r w:rsidRPr="00CC4D2B">
        <w:rPr>
          <w:rFonts w:ascii="Arial" w:eastAsia="Times New Roman" w:hAnsi="Arial" w:cs="Arial"/>
          <w:i w:val="0"/>
          <w:iCs w:val="0"/>
          <w:color w:val="000000"/>
          <w:sz w:val="20"/>
          <w:szCs w:val="20"/>
          <w:lang w:val="en-US" w:eastAsia="en-IN"/>
        </w:rPr>
        <w:t xml:space="preserve">higher number of </w:t>
      </w:r>
      <w:proofErr w:type="gramStart"/>
      <w:r w:rsidRPr="00CC4D2B">
        <w:rPr>
          <w:rFonts w:ascii="Arial" w:eastAsia="Times New Roman" w:hAnsi="Arial" w:cs="Arial"/>
          <w:i w:val="0"/>
          <w:iCs w:val="0"/>
          <w:color w:val="000000"/>
          <w:sz w:val="20"/>
          <w:szCs w:val="20"/>
          <w:lang w:val="en-US" w:eastAsia="en-IN"/>
        </w:rPr>
        <w:t>feature</w:t>
      </w:r>
      <w:proofErr w:type="gramEnd"/>
      <w:r w:rsidRPr="00CC4D2B">
        <w:rPr>
          <w:rFonts w:ascii="Arial" w:eastAsia="Times New Roman" w:hAnsi="Arial" w:cs="Arial"/>
          <w:i w:val="0"/>
          <w:iCs w:val="0"/>
          <w:color w:val="000000"/>
          <w:sz w:val="20"/>
          <w:szCs w:val="20"/>
          <w:lang w:val="en-US" w:eastAsia="en-IN"/>
        </w:rPr>
        <w:t xml:space="preserve"> DEGs. The values in the tables are in percentage</w:t>
      </w:r>
      <w:r w:rsidR="00791719" w:rsidRPr="00CC4D2B">
        <w:rPr>
          <w:rFonts w:ascii="Arial" w:eastAsia="Times New Roman" w:hAnsi="Arial" w:cs="Arial"/>
          <w:i w:val="0"/>
          <w:iCs w:val="0"/>
          <w:color w:val="000000"/>
          <w:sz w:val="20"/>
          <w:szCs w:val="20"/>
          <w:lang w:val="en-US" w:eastAsia="en-IN"/>
        </w:rPr>
        <w:t>,</w:t>
      </w:r>
      <w:r w:rsidRPr="00CC4D2B">
        <w:rPr>
          <w:rFonts w:ascii="Arial" w:eastAsia="Times New Roman" w:hAnsi="Arial" w:cs="Arial"/>
          <w:i w:val="0"/>
          <w:iCs w:val="0"/>
          <w:color w:val="000000"/>
          <w:sz w:val="20"/>
          <w:szCs w:val="20"/>
          <w:lang w:val="en-US" w:eastAsia="en-IN"/>
        </w:rPr>
        <w:t xml:space="preserve"> and the standard deviation for the ten iterations </w:t>
      </w:r>
      <w:r w:rsidR="00791719" w:rsidRPr="00CC4D2B">
        <w:rPr>
          <w:rFonts w:ascii="Arial" w:eastAsia="Times New Roman" w:hAnsi="Arial" w:cs="Arial"/>
          <w:i w:val="0"/>
          <w:iCs w:val="0"/>
          <w:color w:val="000000"/>
          <w:sz w:val="20"/>
          <w:szCs w:val="20"/>
          <w:lang w:val="en-US" w:eastAsia="en-IN"/>
        </w:rPr>
        <w:t xml:space="preserve">is </w:t>
      </w:r>
      <w:r w:rsidRPr="00CC4D2B">
        <w:rPr>
          <w:rFonts w:ascii="Arial" w:eastAsia="Times New Roman" w:hAnsi="Arial" w:cs="Arial"/>
          <w:i w:val="0"/>
          <w:iCs w:val="0"/>
          <w:color w:val="000000"/>
          <w:sz w:val="20"/>
          <w:szCs w:val="20"/>
          <w:lang w:val="en-US" w:eastAsia="en-IN"/>
        </w:rPr>
        <w:t>in bracket</w:t>
      </w:r>
      <w:r w:rsidR="00791719" w:rsidRPr="00CC4D2B">
        <w:rPr>
          <w:rFonts w:ascii="Arial" w:eastAsia="Times New Roman" w:hAnsi="Arial" w:cs="Arial"/>
          <w:i w:val="0"/>
          <w:iCs w:val="0"/>
          <w:color w:val="000000"/>
          <w:sz w:val="20"/>
          <w:szCs w:val="20"/>
          <w:lang w:val="en-US" w:eastAsia="en-IN"/>
        </w:rPr>
        <w:t>s</w:t>
      </w:r>
      <w:r w:rsidRPr="00CC4D2B">
        <w:rPr>
          <w:rFonts w:ascii="Arial" w:eastAsia="Times New Roman" w:hAnsi="Arial" w:cs="Arial"/>
          <w:i w:val="0"/>
          <w:iCs w:val="0"/>
          <w:color w:val="000000"/>
          <w:sz w:val="20"/>
          <w:szCs w:val="20"/>
          <w:lang w:val="en-US" w:eastAsia="en-IN"/>
        </w:rPr>
        <w:t>.</w:t>
      </w:r>
    </w:p>
    <w:p w:rsidR="00727682" w:rsidRPr="00CC4D2B" w:rsidRDefault="00727682" w:rsidP="00727682">
      <w:pPr>
        <w:tabs>
          <w:tab w:val="left" w:pos="6039"/>
        </w:tabs>
        <w:spacing w:line="480" w:lineRule="auto"/>
        <w:rPr>
          <w:rFonts w:ascii="Arial" w:hAnsi="Arial" w:cs="Arial"/>
          <w:color w:val="000000"/>
          <w:sz w:val="20"/>
          <w:szCs w:val="20"/>
          <w:lang w:val="en-US"/>
        </w:rPr>
      </w:pPr>
      <w:r w:rsidRPr="00CC4D2B">
        <w:rPr>
          <w:rFonts w:ascii="Arial" w:eastAsia="Times New Roman" w:hAnsi="Arial" w:cs="Arial"/>
          <w:color w:val="000000"/>
          <w:sz w:val="20"/>
          <w:szCs w:val="20"/>
          <w:lang w:val="en-US" w:eastAsia="en-IN"/>
        </w:rPr>
        <w:br w:type="page"/>
      </w:r>
      <w:r w:rsidRPr="00CC4D2B">
        <w:rPr>
          <w:rFonts w:ascii="Arial" w:hAnsi="Arial" w:cs="Arial"/>
          <w:b/>
          <w:color w:val="000000"/>
          <w:sz w:val="20"/>
          <w:szCs w:val="20"/>
          <w:lang w:val="en-US"/>
        </w:rPr>
        <w:lastRenderedPageBreak/>
        <w:t xml:space="preserve">Supplementary </w:t>
      </w:r>
      <w:r w:rsidR="00791719" w:rsidRPr="00CC4D2B">
        <w:rPr>
          <w:rFonts w:ascii="Arial" w:hAnsi="Arial" w:cs="Arial"/>
          <w:b/>
          <w:color w:val="000000"/>
          <w:sz w:val="20"/>
          <w:szCs w:val="20"/>
          <w:lang w:val="en-US"/>
        </w:rPr>
        <w:t>T</w:t>
      </w:r>
      <w:r w:rsidRPr="00CC4D2B">
        <w:rPr>
          <w:rFonts w:ascii="Arial" w:hAnsi="Arial" w:cs="Arial"/>
          <w:b/>
          <w:color w:val="000000"/>
          <w:sz w:val="20"/>
          <w:szCs w:val="20"/>
          <w:lang w:val="en-US"/>
        </w:rPr>
        <w:t>able 2</w:t>
      </w:r>
      <w:r w:rsidRPr="00CC4D2B">
        <w:rPr>
          <w:rFonts w:ascii="Arial" w:hAnsi="Arial" w:cs="Arial"/>
          <w:color w:val="000000"/>
          <w:sz w:val="20"/>
          <w:szCs w:val="20"/>
          <w:lang w:val="en-US"/>
        </w:rPr>
        <w:t>: Demographic and blood cell type data of participants from the Pune-SCZ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0"/>
        <w:gridCol w:w="1367"/>
        <w:gridCol w:w="1362"/>
        <w:gridCol w:w="989"/>
      </w:tblGrid>
      <w:tr w:rsidR="00727682" w:rsidRPr="00CC4D2B" w:rsidTr="00727682">
        <w:trPr>
          <w:trHeight w:val="284"/>
          <w:jc w:val="center"/>
        </w:trPr>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b/>
                <w:bCs/>
                <w:color w:val="000000"/>
                <w:sz w:val="20"/>
                <w:szCs w:val="20"/>
                <w:lang w:val="en-US"/>
              </w:rPr>
              <w:t>Characteristics</w:t>
            </w:r>
          </w:p>
        </w:tc>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b/>
                <w:bCs/>
                <w:color w:val="000000"/>
                <w:sz w:val="20"/>
                <w:szCs w:val="20"/>
                <w:lang w:val="en-US"/>
              </w:rPr>
              <w:t>SCZ</w:t>
            </w:r>
          </w:p>
        </w:tc>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b/>
                <w:bCs/>
                <w:color w:val="000000"/>
                <w:sz w:val="20"/>
                <w:szCs w:val="20"/>
                <w:lang w:val="en-US"/>
              </w:rPr>
              <w:t>Control</w:t>
            </w:r>
          </w:p>
        </w:tc>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b/>
                <w:bCs/>
                <w:iCs/>
                <w:color w:val="000000"/>
                <w:sz w:val="20"/>
                <w:szCs w:val="20"/>
                <w:lang w:val="en-US"/>
              </w:rPr>
              <w:t>P</w:t>
            </w:r>
            <w:r w:rsidRPr="00CC4D2B">
              <w:rPr>
                <w:rFonts w:ascii="Arial" w:hAnsi="Arial" w:cs="Arial"/>
                <w:b/>
                <w:bCs/>
                <w:i/>
                <w:iCs/>
                <w:color w:val="000000"/>
                <w:sz w:val="20"/>
                <w:szCs w:val="20"/>
                <w:lang w:val="en-US"/>
              </w:rPr>
              <w:t xml:space="preserve"> </w:t>
            </w:r>
            <w:r w:rsidRPr="00CC4D2B">
              <w:rPr>
                <w:rFonts w:ascii="Arial" w:hAnsi="Arial" w:cs="Arial"/>
                <w:b/>
                <w:bCs/>
                <w:iCs/>
                <w:color w:val="000000"/>
                <w:sz w:val="20"/>
                <w:szCs w:val="20"/>
                <w:lang w:val="en-US"/>
              </w:rPr>
              <w:t>value</w:t>
            </w:r>
          </w:p>
        </w:tc>
      </w:tr>
      <w:tr w:rsidR="00727682" w:rsidRPr="00CC4D2B" w:rsidTr="00727682">
        <w:trPr>
          <w:trHeight w:val="296"/>
          <w:jc w:val="center"/>
        </w:trPr>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Age (Year)*</w:t>
            </w:r>
            <w:r w:rsidR="00737D56">
              <w:rPr>
                <w:rFonts w:ascii="Arial" w:hAnsi="Arial" w:cs="Arial"/>
                <w:color w:val="000000"/>
                <w:sz w:val="20"/>
                <w:szCs w:val="20"/>
                <w:lang w:val="en-US"/>
              </w:rPr>
              <w:t xml:space="preserve"> (n=20)</w:t>
            </w:r>
          </w:p>
        </w:tc>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33.0 (9.754)</w:t>
            </w:r>
          </w:p>
        </w:tc>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36.6 (6.04)</w:t>
            </w:r>
          </w:p>
        </w:tc>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0.4988</w:t>
            </w:r>
          </w:p>
        </w:tc>
      </w:tr>
      <w:tr w:rsidR="00727682" w:rsidRPr="00CC4D2B" w:rsidTr="00727682">
        <w:trPr>
          <w:trHeight w:val="284"/>
          <w:jc w:val="center"/>
        </w:trPr>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Sex (M/F)</w:t>
            </w:r>
            <w:r w:rsidR="00626AD0" w:rsidRPr="00CC4D2B">
              <w:rPr>
                <w:rFonts w:ascii="Arial" w:hAnsi="Arial" w:cs="Arial"/>
                <w:color w:val="000000"/>
                <w:sz w:val="20"/>
                <w:szCs w:val="20"/>
                <w:vertAlign w:val="superscript"/>
                <w:lang w:val="en-US"/>
              </w:rPr>
              <w:t xml:space="preserve"> </w:t>
            </w:r>
            <w:r w:rsidR="00626AD0" w:rsidRPr="00CC4D2B">
              <w:rPr>
                <w:rFonts w:ascii="Arial" w:hAnsi="Arial" w:cs="Arial"/>
                <w:color w:val="000000"/>
                <w:sz w:val="20"/>
                <w:szCs w:val="20"/>
                <w:vertAlign w:val="superscript"/>
                <w:lang w:val="en-US"/>
              </w:rPr>
              <w:t>#</w:t>
            </w:r>
            <w:r w:rsidR="00737D56">
              <w:rPr>
                <w:rFonts w:ascii="Arial" w:hAnsi="Arial" w:cs="Arial"/>
                <w:color w:val="000000"/>
                <w:sz w:val="20"/>
                <w:szCs w:val="20"/>
                <w:lang w:val="en-US"/>
              </w:rPr>
              <w:t xml:space="preserve"> </w:t>
            </w:r>
            <w:r w:rsidR="00737D56">
              <w:rPr>
                <w:rFonts w:ascii="Arial" w:hAnsi="Arial" w:cs="Arial"/>
                <w:color w:val="000000"/>
                <w:sz w:val="20"/>
                <w:szCs w:val="20"/>
                <w:lang w:val="en-US"/>
              </w:rPr>
              <w:t>(n=20)</w:t>
            </w:r>
          </w:p>
        </w:tc>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4/6</w:t>
            </w:r>
          </w:p>
        </w:tc>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4/6</w:t>
            </w:r>
          </w:p>
        </w:tc>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1.00</w:t>
            </w:r>
          </w:p>
        </w:tc>
      </w:tr>
      <w:tr w:rsidR="00727682" w:rsidRPr="00CC4D2B" w:rsidTr="00727682">
        <w:trPr>
          <w:trHeight w:val="284"/>
          <w:jc w:val="center"/>
        </w:trPr>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Neutrophil (10</w:t>
            </w:r>
            <w:r w:rsidRPr="008B6545">
              <w:rPr>
                <w:rFonts w:ascii="Arial" w:hAnsi="Arial" w:cs="Arial"/>
                <w:color w:val="000000"/>
                <w:sz w:val="20"/>
                <w:szCs w:val="20"/>
                <w:vertAlign w:val="superscript"/>
                <w:lang w:val="en-US"/>
              </w:rPr>
              <w:t>3</w:t>
            </w:r>
            <w:r w:rsidRPr="00CC4D2B">
              <w:rPr>
                <w:rFonts w:ascii="Arial" w:hAnsi="Arial" w:cs="Arial"/>
                <w:color w:val="000000"/>
                <w:sz w:val="20"/>
                <w:szCs w:val="20"/>
                <w:lang w:val="en-US"/>
              </w:rPr>
              <w:t>/</w:t>
            </w:r>
            <w:proofErr w:type="spellStart"/>
            <w:r w:rsidRPr="00CC4D2B">
              <w:rPr>
                <w:rFonts w:ascii="Arial" w:hAnsi="Arial" w:cs="Arial"/>
                <w:color w:val="000000"/>
                <w:sz w:val="20"/>
                <w:szCs w:val="20"/>
                <w:lang w:val="en-US"/>
              </w:rPr>
              <w:t>μ</w:t>
            </w:r>
            <w:proofErr w:type="gramStart"/>
            <w:r w:rsidRPr="00CC4D2B">
              <w:rPr>
                <w:rFonts w:ascii="Arial" w:hAnsi="Arial" w:cs="Arial"/>
                <w:color w:val="000000"/>
                <w:sz w:val="20"/>
                <w:szCs w:val="20"/>
                <w:lang w:val="en-US"/>
              </w:rPr>
              <w:t>L</w:t>
            </w:r>
            <w:proofErr w:type="spellEnd"/>
            <w:r w:rsidRPr="00CC4D2B">
              <w:rPr>
                <w:rFonts w:ascii="Arial" w:hAnsi="Arial" w:cs="Arial"/>
                <w:color w:val="000000"/>
                <w:sz w:val="20"/>
                <w:szCs w:val="20"/>
                <w:lang w:val="en-US"/>
              </w:rPr>
              <w:t>)</w:t>
            </w:r>
            <w:r w:rsidR="002272A7">
              <w:rPr>
                <w:rFonts w:ascii="Arial" w:hAnsi="Arial" w:cs="Arial"/>
                <w:color w:val="000000"/>
                <w:sz w:val="20"/>
                <w:szCs w:val="20"/>
                <w:lang w:val="en-US"/>
              </w:rPr>
              <w:t>*</w:t>
            </w:r>
            <w:proofErr w:type="gramEnd"/>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4.8 (2.04)</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3.9 (1.26)</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0.2810</w:t>
            </w:r>
          </w:p>
        </w:tc>
      </w:tr>
      <w:tr w:rsidR="00727682" w:rsidRPr="00CC4D2B" w:rsidTr="00727682">
        <w:trPr>
          <w:trHeight w:val="284"/>
          <w:jc w:val="center"/>
        </w:trPr>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Lymphocyte (10</w:t>
            </w:r>
            <w:r w:rsidR="008B6545" w:rsidRPr="008B6545">
              <w:rPr>
                <w:rFonts w:ascii="Arial" w:hAnsi="Arial" w:cs="Arial"/>
                <w:color w:val="000000"/>
                <w:sz w:val="20"/>
                <w:szCs w:val="20"/>
                <w:vertAlign w:val="superscript"/>
                <w:lang w:val="en-US"/>
              </w:rPr>
              <w:t>3</w:t>
            </w:r>
            <w:r w:rsidRPr="00CC4D2B">
              <w:rPr>
                <w:rFonts w:ascii="Arial" w:hAnsi="Arial" w:cs="Arial"/>
                <w:color w:val="000000"/>
                <w:sz w:val="20"/>
                <w:szCs w:val="20"/>
                <w:lang w:val="en-US"/>
              </w:rPr>
              <w:t>/</w:t>
            </w:r>
            <w:proofErr w:type="spellStart"/>
            <w:r w:rsidRPr="00CC4D2B">
              <w:rPr>
                <w:rFonts w:ascii="Arial" w:hAnsi="Arial" w:cs="Arial"/>
                <w:color w:val="000000"/>
                <w:sz w:val="20"/>
                <w:szCs w:val="20"/>
                <w:lang w:val="en-US"/>
              </w:rPr>
              <w:t>μ</w:t>
            </w:r>
            <w:proofErr w:type="gramStart"/>
            <w:r w:rsidRPr="00CC4D2B">
              <w:rPr>
                <w:rFonts w:ascii="Arial" w:hAnsi="Arial" w:cs="Arial"/>
                <w:color w:val="000000"/>
                <w:sz w:val="20"/>
                <w:szCs w:val="20"/>
                <w:lang w:val="en-US"/>
              </w:rPr>
              <w:t>L</w:t>
            </w:r>
            <w:proofErr w:type="spellEnd"/>
            <w:r w:rsidRPr="00CC4D2B">
              <w:rPr>
                <w:rFonts w:ascii="Arial" w:hAnsi="Arial" w:cs="Arial"/>
                <w:color w:val="000000"/>
                <w:sz w:val="20"/>
                <w:szCs w:val="20"/>
                <w:lang w:val="en-US"/>
              </w:rPr>
              <w:t>)</w:t>
            </w:r>
            <w:r w:rsidR="002272A7">
              <w:rPr>
                <w:rFonts w:ascii="Arial" w:hAnsi="Arial" w:cs="Arial"/>
                <w:color w:val="000000"/>
                <w:sz w:val="20"/>
                <w:szCs w:val="20"/>
                <w:lang w:val="en-US"/>
              </w:rPr>
              <w:t>*</w:t>
            </w:r>
            <w:proofErr w:type="gramEnd"/>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2.3 (0.68)</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2.2 (0.43)</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0.8623</w:t>
            </w:r>
          </w:p>
        </w:tc>
      </w:tr>
      <w:tr w:rsidR="00727682" w:rsidRPr="00CC4D2B" w:rsidTr="00727682">
        <w:trPr>
          <w:trHeight w:val="284"/>
          <w:jc w:val="center"/>
        </w:trPr>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Monocyte (10</w:t>
            </w:r>
            <w:r w:rsidR="008B6545" w:rsidRPr="008B6545">
              <w:rPr>
                <w:rFonts w:ascii="Arial" w:hAnsi="Arial" w:cs="Arial"/>
                <w:color w:val="000000"/>
                <w:sz w:val="20"/>
                <w:szCs w:val="20"/>
                <w:vertAlign w:val="superscript"/>
                <w:lang w:val="en-US"/>
              </w:rPr>
              <w:t>3</w:t>
            </w:r>
            <w:r w:rsidRPr="00CC4D2B">
              <w:rPr>
                <w:rFonts w:ascii="Arial" w:hAnsi="Arial" w:cs="Arial"/>
                <w:color w:val="000000"/>
                <w:sz w:val="20"/>
                <w:szCs w:val="20"/>
                <w:lang w:val="en-US"/>
              </w:rPr>
              <w:t>/</w:t>
            </w:r>
            <w:proofErr w:type="spellStart"/>
            <w:r w:rsidRPr="00CC4D2B">
              <w:rPr>
                <w:rFonts w:ascii="Arial" w:hAnsi="Arial" w:cs="Arial"/>
                <w:color w:val="000000"/>
                <w:sz w:val="20"/>
                <w:szCs w:val="20"/>
                <w:lang w:val="en-US"/>
              </w:rPr>
              <w:t>μ</w:t>
            </w:r>
            <w:proofErr w:type="gramStart"/>
            <w:r w:rsidRPr="00CC4D2B">
              <w:rPr>
                <w:rFonts w:ascii="Arial" w:hAnsi="Arial" w:cs="Arial"/>
                <w:color w:val="000000"/>
                <w:sz w:val="20"/>
                <w:szCs w:val="20"/>
                <w:lang w:val="en-US"/>
              </w:rPr>
              <w:t>L</w:t>
            </w:r>
            <w:proofErr w:type="spellEnd"/>
            <w:r w:rsidRPr="00CC4D2B">
              <w:rPr>
                <w:rFonts w:ascii="Arial" w:hAnsi="Arial" w:cs="Arial"/>
                <w:color w:val="000000"/>
                <w:sz w:val="20"/>
                <w:szCs w:val="20"/>
                <w:lang w:val="en-US"/>
              </w:rPr>
              <w:t>)</w:t>
            </w:r>
            <w:r w:rsidR="002272A7">
              <w:rPr>
                <w:rFonts w:ascii="Arial" w:hAnsi="Arial" w:cs="Arial"/>
                <w:color w:val="000000"/>
                <w:sz w:val="20"/>
                <w:szCs w:val="20"/>
                <w:lang w:val="en-US"/>
              </w:rPr>
              <w:t>*</w:t>
            </w:r>
            <w:proofErr w:type="gramEnd"/>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0.5 (0.13)</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0.6 (0.11)</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0.3617</w:t>
            </w:r>
          </w:p>
        </w:tc>
      </w:tr>
      <w:tr w:rsidR="00727682" w:rsidRPr="00CC4D2B" w:rsidTr="00727682">
        <w:trPr>
          <w:trHeight w:val="284"/>
          <w:jc w:val="center"/>
        </w:trPr>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Eosinophil (10</w:t>
            </w:r>
            <w:r w:rsidR="008B6545" w:rsidRPr="008B6545">
              <w:rPr>
                <w:rFonts w:ascii="Arial" w:hAnsi="Arial" w:cs="Arial"/>
                <w:color w:val="000000"/>
                <w:sz w:val="20"/>
                <w:szCs w:val="20"/>
                <w:vertAlign w:val="superscript"/>
                <w:lang w:val="en-US"/>
              </w:rPr>
              <w:t>3</w:t>
            </w:r>
            <w:r w:rsidRPr="00CC4D2B">
              <w:rPr>
                <w:rFonts w:ascii="Arial" w:hAnsi="Arial" w:cs="Arial"/>
                <w:color w:val="000000"/>
                <w:sz w:val="20"/>
                <w:szCs w:val="20"/>
                <w:lang w:val="en-US"/>
              </w:rPr>
              <w:t>/</w:t>
            </w:r>
            <w:proofErr w:type="spellStart"/>
            <w:r w:rsidRPr="00CC4D2B">
              <w:rPr>
                <w:rFonts w:ascii="Arial" w:hAnsi="Arial" w:cs="Arial"/>
                <w:color w:val="000000"/>
                <w:sz w:val="20"/>
                <w:szCs w:val="20"/>
                <w:lang w:val="en-US"/>
              </w:rPr>
              <w:t>μ</w:t>
            </w:r>
            <w:proofErr w:type="gramStart"/>
            <w:r w:rsidRPr="00CC4D2B">
              <w:rPr>
                <w:rFonts w:ascii="Arial" w:hAnsi="Arial" w:cs="Arial"/>
                <w:color w:val="000000"/>
                <w:sz w:val="20"/>
                <w:szCs w:val="20"/>
                <w:lang w:val="en-US"/>
              </w:rPr>
              <w:t>L</w:t>
            </w:r>
            <w:proofErr w:type="spellEnd"/>
            <w:r w:rsidRPr="00CC4D2B">
              <w:rPr>
                <w:rFonts w:ascii="Arial" w:hAnsi="Arial" w:cs="Arial"/>
                <w:color w:val="000000"/>
                <w:sz w:val="20"/>
                <w:szCs w:val="20"/>
                <w:lang w:val="en-US"/>
              </w:rPr>
              <w:t>)</w:t>
            </w:r>
            <w:r w:rsidRPr="00626AD0">
              <w:rPr>
                <w:rFonts w:ascii="Arial" w:hAnsi="Arial" w:cs="Arial"/>
                <w:color w:val="000000"/>
                <w:sz w:val="20"/>
                <w:szCs w:val="20"/>
                <w:vertAlign w:val="superscript"/>
                <w:lang w:val="en-US"/>
              </w:rPr>
              <w:t>$</w:t>
            </w:r>
            <w:proofErr w:type="gramEnd"/>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0.2 (0-0.3)</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0.2 (0.1-0.7)</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0.2369</w:t>
            </w:r>
          </w:p>
        </w:tc>
      </w:tr>
      <w:tr w:rsidR="00727682" w:rsidRPr="00CC4D2B" w:rsidTr="00727682">
        <w:trPr>
          <w:trHeight w:val="284"/>
          <w:jc w:val="center"/>
        </w:trPr>
        <w:tc>
          <w:tcPr>
            <w:tcW w:w="0" w:type="auto"/>
            <w:shd w:val="clear" w:color="auto" w:fill="auto"/>
            <w:tcMar>
              <w:top w:w="72" w:type="dxa"/>
              <w:left w:w="144" w:type="dxa"/>
              <w:bottom w:w="72" w:type="dxa"/>
              <w:right w:w="144"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Basophil (10</w:t>
            </w:r>
            <w:r w:rsidR="008B6545" w:rsidRPr="008B6545">
              <w:rPr>
                <w:rFonts w:ascii="Arial" w:hAnsi="Arial" w:cs="Arial"/>
                <w:color w:val="000000"/>
                <w:sz w:val="20"/>
                <w:szCs w:val="20"/>
                <w:vertAlign w:val="superscript"/>
                <w:lang w:val="en-US"/>
              </w:rPr>
              <w:t>3</w:t>
            </w:r>
            <w:r w:rsidRPr="00CC4D2B">
              <w:rPr>
                <w:rFonts w:ascii="Arial" w:hAnsi="Arial" w:cs="Arial"/>
                <w:color w:val="000000"/>
                <w:sz w:val="20"/>
                <w:szCs w:val="20"/>
                <w:lang w:val="en-US"/>
              </w:rPr>
              <w:t>/</w:t>
            </w:r>
            <w:proofErr w:type="spellStart"/>
            <w:r w:rsidRPr="00CC4D2B">
              <w:rPr>
                <w:rFonts w:ascii="Arial" w:hAnsi="Arial" w:cs="Arial"/>
                <w:color w:val="000000"/>
                <w:sz w:val="20"/>
                <w:szCs w:val="20"/>
                <w:lang w:val="en-US"/>
              </w:rPr>
              <w:t>μ</w:t>
            </w:r>
            <w:proofErr w:type="gramStart"/>
            <w:r w:rsidRPr="00CC4D2B">
              <w:rPr>
                <w:rFonts w:ascii="Arial" w:hAnsi="Arial" w:cs="Arial"/>
                <w:color w:val="000000"/>
                <w:sz w:val="20"/>
                <w:szCs w:val="20"/>
                <w:lang w:val="en-US"/>
              </w:rPr>
              <w:t>L</w:t>
            </w:r>
            <w:proofErr w:type="spellEnd"/>
            <w:r w:rsidRPr="00CC4D2B">
              <w:rPr>
                <w:rFonts w:ascii="Arial" w:hAnsi="Arial" w:cs="Arial"/>
                <w:color w:val="000000"/>
                <w:sz w:val="20"/>
                <w:szCs w:val="20"/>
                <w:lang w:val="en-US"/>
              </w:rPr>
              <w:t>)</w:t>
            </w:r>
            <w:r w:rsidRPr="00626AD0">
              <w:rPr>
                <w:rFonts w:ascii="Arial" w:hAnsi="Arial" w:cs="Arial"/>
                <w:color w:val="000000"/>
                <w:sz w:val="20"/>
                <w:szCs w:val="20"/>
                <w:vertAlign w:val="superscript"/>
                <w:lang w:val="en-US"/>
              </w:rPr>
              <w:t>$</w:t>
            </w:r>
            <w:proofErr w:type="gramEnd"/>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0.025 (0-0.1)</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0.040 (0-0.1)</w:t>
            </w:r>
          </w:p>
        </w:tc>
        <w:tc>
          <w:tcPr>
            <w:tcW w:w="0" w:type="auto"/>
            <w:shd w:val="clear" w:color="auto" w:fill="auto"/>
            <w:tcMar>
              <w:top w:w="12" w:type="dxa"/>
              <w:left w:w="108" w:type="dxa"/>
              <w:bottom w:w="0" w:type="dxa"/>
              <w:right w:w="108" w:type="dxa"/>
            </w:tcMar>
            <w:vAlign w:val="center"/>
            <w:hideMark/>
          </w:tcPr>
          <w:p w:rsidR="00727682" w:rsidRPr="00CC4D2B" w:rsidRDefault="00727682" w:rsidP="00727682">
            <w:pPr>
              <w:spacing w:after="0" w:line="480" w:lineRule="auto"/>
              <w:jc w:val="both"/>
              <w:rPr>
                <w:rFonts w:ascii="Arial" w:hAnsi="Arial" w:cs="Arial"/>
                <w:color w:val="000000"/>
                <w:sz w:val="20"/>
                <w:szCs w:val="20"/>
                <w:lang w:val="en-US"/>
              </w:rPr>
            </w:pPr>
            <w:r w:rsidRPr="00CC4D2B">
              <w:rPr>
                <w:rFonts w:ascii="Arial" w:hAnsi="Arial" w:cs="Arial"/>
                <w:color w:val="000000"/>
                <w:sz w:val="20"/>
                <w:szCs w:val="20"/>
                <w:lang w:val="en-US"/>
              </w:rPr>
              <w:t>0.9650</w:t>
            </w:r>
          </w:p>
        </w:tc>
      </w:tr>
    </w:tbl>
    <w:p w:rsidR="00727682" w:rsidRPr="00CC4D2B" w:rsidRDefault="00727682" w:rsidP="00727682">
      <w:pPr>
        <w:spacing w:after="0" w:line="480" w:lineRule="auto"/>
        <w:ind w:left="-142"/>
        <w:jc w:val="both"/>
        <w:rPr>
          <w:rFonts w:ascii="Arial" w:hAnsi="Arial" w:cs="Arial"/>
          <w:b/>
          <w:bCs/>
          <w:color w:val="000000"/>
          <w:sz w:val="20"/>
          <w:szCs w:val="20"/>
          <w:lang w:val="en-US"/>
        </w:rPr>
      </w:pPr>
    </w:p>
    <w:p w:rsidR="00727682" w:rsidRPr="00CC4D2B" w:rsidRDefault="00727682" w:rsidP="00727682">
      <w:pPr>
        <w:spacing w:after="0" w:line="480" w:lineRule="auto"/>
        <w:ind w:left="-142"/>
        <w:jc w:val="both"/>
        <w:rPr>
          <w:rFonts w:ascii="Arial" w:hAnsi="Arial" w:cs="Arial"/>
          <w:color w:val="000000"/>
          <w:sz w:val="20"/>
          <w:szCs w:val="20"/>
          <w:lang w:val="en-US"/>
        </w:rPr>
      </w:pPr>
      <w:r w:rsidRPr="00CC4D2B">
        <w:rPr>
          <w:rFonts w:ascii="Arial" w:hAnsi="Arial" w:cs="Arial"/>
          <w:b/>
          <w:bCs/>
          <w:color w:val="000000"/>
          <w:sz w:val="20"/>
          <w:szCs w:val="20"/>
          <w:lang w:val="en-US"/>
        </w:rPr>
        <w:t>Note</w:t>
      </w:r>
      <w:r w:rsidRPr="00CC4D2B">
        <w:rPr>
          <w:rFonts w:ascii="Arial" w:hAnsi="Arial" w:cs="Arial"/>
          <w:color w:val="000000"/>
          <w:sz w:val="20"/>
          <w:szCs w:val="20"/>
          <w:lang w:val="en-US"/>
        </w:rPr>
        <w:t>: SCZ: Schizophrenia, CNT: Control,</w:t>
      </w:r>
      <w:r w:rsidRPr="00CC4D2B">
        <w:rPr>
          <w:rFonts w:ascii="Arial" w:hAnsi="Arial" w:cs="Arial"/>
          <w:color w:val="000000"/>
          <w:sz w:val="20"/>
          <w:szCs w:val="20"/>
          <w:vertAlign w:val="superscript"/>
          <w:lang w:val="en-US"/>
        </w:rPr>
        <w:t xml:space="preserve"> </w:t>
      </w:r>
      <w:r w:rsidRPr="000D4DF6">
        <w:rPr>
          <w:rFonts w:ascii="Arial" w:hAnsi="Arial" w:cs="Arial"/>
          <w:color w:val="000000"/>
          <w:sz w:val="20"/>
          <w:szCs w:val="20"/>
          <w:lang w:val="en-US"/>
        </w:rPr>
        <w:t>*</w:t>
      </w:r>
      <w:r w:rsidRPr="00CC4D2B">
        <w:rPr>
          <w:rFonts w:ascii="Arial" w:hAnsi="Arial" w:cs="Arial"/>
          <w:color w:val="000000"/>
          <w:sz w:val="20"/>
          <w:szCs w:val="20"/>
          <w:lang w:val="en-US"/>
        </w:rPr>
        <w:t xml:space="preserve"> </w:t>
      </w:r>
      <w:r w:rsidR="00B60549" w:rsidRPr="00CC4D2B">
        <w:rPr>
          <w:rFonts w:ascii="Arial" w:hAnsi="Arial" w:cs="Arial"/>
          <w:color w:val="000000"/>
          <w:sz w:val="20"/>
          <w:szCs w:val="20"/>
          <w:lang w:val="en-US"/>
        </w:rPr>
        <w:t>Unpaired t-test (</w:t>
      </w:r>
      <w:proofErr w:type="spellStart"/>
      <w:r w:rsidR="00B60549" w:rsidRPr="00CC4D2B">
        <w:rPr>
          <w:rFonts w:ascii="Arial" w:hAnsi="Arial" w:cs="Arial"/>
          <w:color w:val="000000"/>
          <w:sz w:val="20"/>
          <w:szCs w:val="20"/>
          <w:lang w:val="en-US"/>
        </w:rPr>
        <w:t>s.d.</w:t>
      </w:r>
      <w:proofErr w:type="spellEnd"/>
      <w:r w:rsidR="00B60549" w:rsidRPr="00CC4D2B">
        <w:rPr>
          <w:rFonts w:ascii="Arial" w:hAnsi="Arial" w:cs="Arial"/>
          <w:color w:val="000000"/>
          <w:sz w:val="20"/>
          <w:szCs w:val="20"/>
          <w:lang w:val="en-US"/>
        </w:rPr>
        <w:t>)</w:t>
      </w:r>
      <w:r w:rsidRPr="00CC4D2B">
        <w:rPr>
          <w:rFonts w:ascii="Arial" w:hAnsi="Arial" w:cs="Arial"/>
          <w:color w:val="000000"/>
          <w:sz w:val="20"/>
          <w:szCs w:val="20"/>
          <w:lang w:val="en-US"/>
        </w:rPr>
        <w:t xml:space="preserve">, </w:t>
      </w:r>
      <w:r w:rsidRPr="00CC4D2B">
        <w:rPr>
          <w:rFonts w:ascii="Arial" w:hAnsi="Arial" w:cs="Arial"/>
          <w:color w:val="000000"/>
          <w:sz w:val="20"/>
          <w:szCs w:val="20"/>
          <w:vertAlign w:val="superscript"/>
          <w:lang w:val="en-US"/>
        </w:rPr>
        <w:t>#</w:t>
      </w:r>
      <w:r w:rsidR="00B60549">
        <w:rPr>
          <w:rFonts w:ascii="Arial" w:hAnsi="Arial" w:cs="Arial"/>
          <w:color w:val="000000"/>
          <w:sz w:val="20"/>
          <w:szCs w:val="20"/>
          <w:vertAlign w:val="superscript"/>
          <w:lang w:val="en-US"/>
        </w:rPr>
        <w:t xml:space="preserve"> </w:t>
      </w:r>
      <w:r w:rsidR="00B60549" w:rsidRPr="00CC4D2B">
        <w:rPr>
          <w:rFonts w:ascii="Arial" w:hAnsi="Arial" w:cs="Arial"/>
          <w:color w:val="000000"/>
          <w:sz w:val="20"/>
          <w:szCs w:val="20"/>
          <w:lang w:val="en-US"/>
        </w:rPr>
        <w:t>Chi-squared test</w:t>
      </w:r>
      <w:r w:rsidRPr="00CC4D2B">
        <w:rPr>
          <w:rFonts w:ascii="Arial" w:hAnsi="Arial" w:cs="Arial"/>
          <w:color w:val="000000"/>
          <w:sz w:val="20"/>
          <w:szCs w:val="20"/>
          <w:lang w:val="en-US"/>
        </w:rPr>
        <w:t xml:space="preserve">, </w:t>
      </w:r>
      <w:r w:rsidRPr="00CC4D2B">
        <w:rPr>
          <w:rFonts w:ascii="Arial" w:hAnsi="Arial" w:cs="Arial"/>
          <w:color w:val="000000"/>
          <w:sz w:val="20"/>
          <w:szCs w:val="20"/>
          <w:vertAlign w:val="superscript"/>
          <w:lang w:val="en-US"/>
        </w:rPr>
        <w:t>$</w:t>
      </w:r>
      <w:r w:rsidRPr="00CC4D2B">
        <w:rPr>
          <w:rFonts w:ascii="Arial" w:hAnsi="Arial" w:cs="Arial"/>
          <w:color w:val="000000"/>
          <w:sz w:val="20"/>
          <w:szCs w:val="20"/>
          <w:lang w:val="en-US"/>
        </w:rPr>
        <w:t xml:space="preserve"> Mann-Whitney U test (min-max). </w:t>
      </w:r>
      <w:r w:rsidR="00854F56" w:rsidRPr="00CC4D2B">
        <w:rPr>
          <w:rFonts w:ascii="Arial" w:hAnsi="Arial" w:cs="Arial"/>
          <w:color w:val="000000"/>
          <w:sz w:val="20"/>
          <w:szCs w:val="20"/>
          <w:lang w:val="en-US"/>
        </w:rPr>
        <w:t>(</w:t>
      </w:r>
      <w:r w:rsidRPr="00CC4D2B">
        <w:rPr>
          <w:rFonts w:ascii="Arial" w:hAnsi="Arial" w:cs="Arial"/>
          <w:color w:val="000000"/>
          <w:sz w:val="20"/>
          <w:szCs w:val="20"/>
          <w:lang w:val="en-US"/>
        </w:rPr>
        <w:t>Note: Since cell counts for two samples were not available</w:t>
      </w:r>
      <w:r w:rsidR="00041FCA" w:rsidRPr="00CC4D2B">
        <w:rPr>
          <w:rFonts w:ascii="Arial" w:hAnsi="Arial" w:cs="Arial"/>
          <w:color w:val="000000"/>
          <w:sz w:val="20"/>
          <w:szCs w:val="20"/>
          <w:lang w:val="en-US"/>
        </w:rPr>
        <w:t>,</w:t>
      </w:r>
      <w:r w:rsidRPr="00CC4D2B">
        <w:rPr>
          <w:rFonts w:ascii="Arial" w:hAnsi="Arial" w:cs="Arial"/>
          <w:color w:val="000000"/>
          <w:sz w:val="20"/>
          <w:szCs w:val="20"/>
          <w:lang w:val="en-US"/>
        </w:rPr>
        <w:t xml:space="preserve"> the comparison of blood cell counts between SCZ and CNT was performe</w:t>
      </w:r>
      <w:r w:rsidR="00854F56" w:rsidRPr="00CC4D2B">
        <w:rPr>
          <w:rFonts w:ascii="Arial" w:hAnsi="Arial" w:cs="Arial"/>
          <w:color w:val="000000"/>
          <w:sz w:val="20"/>
          <w:szCs w:val="20"/>
          <w:lang w:val="en-US"/>
        </w:rPr>
        <w:t>d on 18 samples)</w:t>
      </w:r>
    </w:p>
    <w:p w:rsidR="00727682" w:rsidRPr="00CC4D2B" w:rsidRDefault="00727682" w:rsidP="00727682">
      <w:pPr>
        <w:tabs>
          <w:tab w:val="left" w:pos="6039"/>
        </w:tabs>
        <w:spacing w:line="480" w:lineRule="auto"/>
        <w:rPr>
          <w:rFonts w:ascii="Arial" w:hAnsi="Arial" w:cs="Arial"/>
          <w:color w:val="000000"/>
          <w:sz w:val="20"/>
          <w:szCs w:val="20"/>
          <w:lang w:val="en-US"/>
        </w:rPr>
      </w:pPr>
      <w:r w:rsidRPr="00CC4D2B">
        <w:rPr>
          <w:rFonts w:ascii="Arial" w:hAnsi="Arial" w:cs="Arial"/>
          <w:color w:val="000000"/>
          <w:sz w:val="20"/>
          <w:szCs w:val="20"/>
          <w:lang w:val="en-US"/>
        </w:rPr>
        <w:br w:type="page"/>
      </w:r>
      <w:r w:rsidRPr="00CC4D2B">
        <w:rPr>
          <w:rFonts w:ascii="Arial" w:hAnsi="Arial" w:cs="Arial"/>
          <w:b/>
          <w:color w:val="000000"/>
          <w:sz w:val="20"/>
          <w:szCs w:val="20"/>
          <w:lang w:val="en-US"/>
        </w:rPr>
        <w:lastRenderedPageBreak/>
        <w:t xml:space="preserve">Supplementary </w:t>
      </w:r>
      <w:r w:rsidR="0055006F" w:rsidRPr="00CC4D2B">
        <w:rPr>
          <w:rFonts w:ascii="Arial" w:hAnsi="Arial" w:cs="Arial"/>
          <w:b/>
          <w:color w:val="000000"/>
          <w:sz w:val="20"/>
          <w:szCs w:val="20"/>
          <w:lang w:val="en-US"/>
        </w:rPr>
        <w:t>T</w:t>
      </w:r>
      <w:r w:rsidRPr="00CC4D2B">
        <w:rPr>
          <w:rFonts w:ascii="Arial" w:hAnsi="Arial" w:cs="Arial"/>
          <w:b/>
          <w:color w:val="000000"/>
          <w:sz w:val="20"/>
          <w:szCs w:val="20"/>
          <w:lang w:val="en-US"/>
        </w:rPr>
        <w:t>able 3:</w:t>
      </w:r>
      <w:r w:rsidRPr="00CC4D2B">
        <w:rPr>
          <w:rFonts w:ascii="Arial" w:hAnsi="Arial" w:cs="Arial"/>
          <w:color w:val="000000"/>
          <w:sz w:val="20"/>
          <w:szCs w:val="20"/>
          <w:lang w:val="en-US"/>
        </w:rPr>
        <w:t xml:space="preserve"> Alignment percentage and diagnosis of RNA-Sequencing samples from the Pune-SCZ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3"/>
        <w:gridCol w:w="1401"/>
        <w:gridCol w:w="1012"/>
      </w:tblGrid>
      <w:tr w:rsidR="00727682" w:rsidRPr="00CC4D2B" w:rsidTr="00727682">
        <w:trPr>
          <w:trHeight w:val="655"/>
          <w:jc w:val="center"/>
        </w:trPr>
        <w:tc>
          <w:tcPr>
            <w:tcW w:w="0" w:type="auto"/>
            <w:vAlign w:val="center"/>
          </w:tcPr>
          <w:p w:rsidR="00727682" w:rsidRPr="00CC4D2B" w:rsidRDefault="00727682" w:rsidP="00727682">
            <w:pPr>
              <w:spacing w:after="0" w:line="480" w:lineRule="auto"/>
              <w:jc w:val="center"/>
              <w:rPr>
                <w:rFonts w:ascii="Arial" w:hAnsi="Arial" w:cs="Arial"/>
                <w:b/>
                <w:color w:val="000000"/>
                <w:sz w:val="20"/>
                <w:szCs w:val="20"/>
                <w:lang w:val="en-US"/>
              </w:rPr>
            </w:pPr>
            <w:r w:rsidRPr="00CC4D2B">
              <w:rPr>
                <w:rFonts w:ascii="Arial" w:hAnsi="Arial" w:cs="Arial"/>
                <w:b/>
                <w:color w:val="000000"/>
                <w:sz w:val="20"/>
                <w:szCs w:val="20"/>
                <w:lang w:val="en-US"/>
              </w:rPr>
              <w:t>Sample ID</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b/>
                <w:color w:val="000000"/>
                <w:sz w:val="20"/>
                <w:szCs w:val="20"/>
                <w:lang w:val="en-US"/>
              </w:rPr>
              <w:t>Alignment (%)</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b/>
                <w:color w:val="000000"/>
                <w:sz w:val="20"/>
                <w:szCs w:val="20"/>
                <w:lang w:val="en-US"/>
              </w:rPr>
              <w:t>Diagnosis</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1001</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84.75</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1002</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95.31</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1003</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85.85</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1005</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95.53</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1006</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83.61</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1007</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80.16</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1008</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94.10</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1009</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79.92</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1010</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88.43</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1011</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80.18</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1012</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81.65</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1013</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85.97</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1014</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82.79</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1016</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84.63</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1017</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93.83</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1018</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95.11</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1019</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93.75</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1020</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81.67</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SCZ</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1021</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94.80</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r w:rsidR="00727682" w:rsidRPr="00CC4D2B" w:rsidTr="00727682">
        <w:trPr>
          <w:trHeight w:val="256"/>
          <w:jc w:val="center"/>
        </w:trPr>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1022</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95.11</w:t>
            </w:r>
          </w:p>
        </w:tc>
        <w:tc>
          <w:tcPr>
            <w:tcW w:w="0" w:type="auto"/>
            <w:vAlign w:val="center"/>
          </w:tcPr>
          <w:p w:rsidR="00727682" w:rsidRPr="00CC4D2B" w:rsidRDefault="00727682" w:rsidP="00727682">
            <w:pPr>
              <w:spacing w:after="0" w:line="480" w:lineRule="auto"/>
              <w:jc w:val="center"/>
              <w:rPr>
                <w:rFonts w:ascii="Arial" w:hAnsi="Arial" w:cs="Arial"/>
                <w:color w:val="000000"/>
                <w:sz w:val="20"/>
                <w:szCs w:val="20"/>
                <w:lang w:val="en-US"/>
              </w:rPr>
            </w:pPr>
            <w:r w:rsidRPr="00CC4D2B">
              <w:rPr>
                <w:rFonts w:ascii="Arial" w:hAnsi="Arial" w:cs="Arial"/>
                <w:color w:val="000000"/>
                <w:sz w:val="20"/>
                <w:szCs w:val="20"/>
                <w:lang w:val="en-US"/>
              </w:rPr>
              <w:t>CNT</w:t>
            </w:r>
          </w:p>
        </w:tc>
      </w:tr>
    </w:tbl>
    <w:p w:rsidR="00727682" w:rsidRPr="00CC4D2B" w:rsidRDefault="00727682" w:rsidP="00727682">
      <w:pPr>
        <w:spacing w:after="0" w:line="480" w:lineRule="auto"/>
        <w:rPr>
          <w:rFonts w:ascii="Arial" w:hAnsi="Arial" w:cs="Arial"/>
          <w:color w:val="000000"/>
          <w:sz w:val="20"/>
          <w:szCs w:val="20"/>
          <w:lang w:val="en-US"/>
        </w:rPr>
      </w:pPr>
    </w:p>
    <w:p w:rsidR="00727682" w:rsidRPr="00CC4D2B" w:rsidRDefault="00727682" w:rsidP="00727682">
      <w:pPr>
        <w:spacing w:line="480" w:lineRule="auto"/>
        <w:jc w:val="center"/>
        <w:rPr>
          <w:rFonts w:ascii="Arial" w:hAnsi="Arial" w:cs="Arial"/>
          <w:color w:val="000000"/>
          <w:sz w:val="20"/>
          <w:szCs w:val="20"/>
          <w:lang w:val="en-US"/>
        </w:rPr>
      </w:pPr>
      <w:r w:rsidRPr="00CC4D2B">
        <w:rPr>
          <w:rFonts w:ascii="Arial" w:hAnsi="Arial" w:cs="Arial"/>
          <w:b/>
          <w:color w:val="000000"/>
          <w:sz w:val="20"/>
          <w:szCs w:val="20"/>
          <w:lang w:val="en-US"/>
        </w:rPr>
        <w:t>Note</w:t>
      </w:r>
      <w:r w:rsidRPr="00CC4D2B">
        <w:rPr>
          <w:rFonts w:ascii="Arial" w:hAnsi="Arial" w:cs="Arial"/>
          <w:color w:val="000000"/>
          <w:sz w:val="20"/>
          <w:szCs w:val="20"/>
          <w:lang w:val="en-US"/>
        </w:rPr>
        <w:t>: Sequences were aligned to the human genome (GENECODE hg38) using HISAT2.</w:t>
      </w:r>
    </w:p>
    <w:p w:rsidR="00727682" w:rsidRPr="00CC4D2B" w:rsidRDefault="00727682" w:rsidP="00727682">
      <w:pPr>
        <w:tabs>
          <w:tab w:val="left" w:pos="6039"/>
        </w:tabs>
        <w:spacing w:line="480" w:lineRule="auto"/>
        <w:rPr>
          <w:rFonts w:ascii="Arial" w:hAnsi="Arial" w:cs="Arial"/>
          <w:color w:val="000000"/>
          <w:sz w:val="20"/>
          <w:szCs w:val="20"/>
          <w:lang w:val="en-US"/>
        </w:rPr>
      </w:pPr>
    </w:p>
    <w:p w:rsidR="00727682" w:rsidRPr="00CC4D2B" w:rsidRDefault="00727682" w:rsidP="00432050">
      <w:pPr>
        <w:spacing w:line="480" w:lineRule="auto"/>
        <w:jc w:val="center"/>
        <w:rPr>
          <w:rFonts w:ascii="Arial" w:hAnsi="Arial" w:cs="Arial"/>
          <w:b/>
          <w:color w:val="000000"/>
          <w:sz w:val="20"/>
          <w:szCs w:val="20"/>
          <w:lang w:val="en-US"/>
        </w:rPr>
      </w:pPr>
      <w:r w:rsidRPr="00CC4D2B">
        <w:rPr>
          <w:color w:val="000000"/>
          <w:lang w:val="en-US"/>
        </w:rPr>
        <w:br w:type="page"/>
      </w:r>
      <w:proofErr w:type="spellStart"/>
      <w:r w:rsidR="00432050" w:rsidRPr="00CC4D2B">
        <w:rPr>
          <w:rFonts w:ascii="Arial" w:hAnsi="Arial" w:cs="Arial"/>
          <w:b/>
          <w:color w:val="000000"/>
          <w:sz w:val="20"/>
          <w:szCs w:val="20"/>
          <w:lang w:val="en-US"/>
        </w:rPr>
        <w:lastRenderedPageBreak/>
        <w:t>Supplemetary</w:t>
      </w:r>
      <w:proofErr w:type="spellEnd"/>
      <w:r w:rsidR="00432050" w:rsidRPr="00CC4D2B">
        <w:rPr>
          <w:rFonts w:ascii="Arial" w:hAnsi="Arial" w:cs="Arial"/>
          <w:b/>
          <w:color w:val="000000"/>
          <w:sz w:val="20"/>
          <w:szCs w:val="20"/>
          <w:lang w:val="en-US"/>
        </w:rPr>
        <w:t xml:space="preserve"> Figures</w:t>
      </w:r>
    </w:p>
    <w:p w:rsidR="009F222B" w:rsidRPr="00CC4D2B" w:rsidRDefault="007025CF" w:rsidP="00F209D1">
      <w:pPr>
        <w:spacing w:line="480" w:lineRule="auto"/>
        <w:jc w:val="both"/>
        <w:rPr>
          <w:rFonts w:ascii="Arial" w:hAnsi="Arial" w:cs="Arial"/>
          <w:b/>
          <w:color w:val="000000"/>
          <w:sz w:val="20"/>
          <w:szCs w:val="20"/>
          <w:lang w:val="en-US"/>
        </w:rPr>
      </w:pPr>
      <w:r>
        <w:rPr>
          <w:noProof/>
          <w:color w:val="000000"/>
          <w:lang w:eastAsia="en-IN"/>
        </w:rPr>
        <w:drawing>
          <wp:inline distT="0" distB="0" distL="0" distR="0">
            <wp:extent cx="5730875" cy="4104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0875" cy="4104005"/>
                    </a:xfrm>
                    <a:prstGeom prst="rect">
                      <a:avLst/>
                    </a:prstGeom>
                    <a:noFill/>
                    <a:ln w="9525">
                      <a:noFill/>
                      <a:miter lim="800000"/>
                      <a:headEnd/>
                      <a:tailEnd/>
                    </a:ln>
                  </pic:spPr>
                </pic:pic>
              </a:graphicData>
            </a:graphic>
          </wp:inline>
        </w:drawing>
      </w:r>
    </w:p>
    <w:p w:rsidR="00F209D1" w:rsidRPr="00CC4D2B" w:rsidRDefault="00F16278" w:rsidP="00A81EE8">
      <w:pPr>
        <w:spacing w:line="360" w:lineRule="auto"/>
        <w:jc w:val="both"/>
        <w:rPr>
          <w:rFonts w:ascii="Arial" w:hAnsi="Arial" w:cs="Arial"/>
          <w:color w:val="000000"/>
          <w:sz w:val="20"/>
          <w:szCs w:val="20"/>
          <w:lang w:val="en-US"/>
        </w:rPr>
      </w:pPr>
      <w:r w:rsidRPr="00CC4D2B">
        <w:rPr>
          <w:rFonts w:ascii="Arial" w:hAnsi="Arial" w:cs="Arial"/>
          <w:b/>
          <w:color w:val="000000"/>
          <w:sz w:val="20"/>
          <w:szCs w:val="20"/>
          <w:lang w:val="en-US"/>
        </w:rPr>
        <w:t xml:space="preserve">Supplementary </w:t>
      </w:r>
      <w:r w:rsidR="00791719" w:rsidRPr="00CC4D2B">
        <w:rPr>
          <w:rFonts w:ascii="Arial" w:hAnsi="Arial" w:cs="Arial"/>
          <w:b/>
          <w:color w:val="000000"/>
          <w:sz w:val="20"/>
          <w:szCs w:val="20"/>
          <w:lang w:val="en-US"/>
        </w:rPr>
        <w:t>F</w:t>
      </w:r>
      <w:r w:rsidRPr="00CC4D2B">
        <w:rPr>
          <w:rFonts w:ascii="Arial" w:hAnsi="Arial" w:cs="Arial"/>
          <w:b/>
          <w:color w:val="000000"/>
          <w:sz w:val="20"/>
          <w:szCs w:val="20"/>
          <w:lang w:val="en-US"/>
        </w:rPr>
        <w:t>igure 1:</w:t>
      </w:r>
      <w:r w:rsidRPr="00CC4D2B">
        <w:rPr>
          <w:rFonts w:ascii="Arial" w:hAnsi="Arial" w:cs="Arial"/>
          <w:color w:val="000000"/>
          <w:sz w:val="20"/>
          <w:szCs w:val="20"/>
          <w:lang w:val="en-US"/>
        </w:rPr>
        <w:t xml:space="preserve"> Boxplots for train and test data after quantile normalization. The pre-processing of raw meta-file for prediction analysis using ML models included quantile normalization of train and test datasets.</w:t>
      </w:r>
      <w:r w:rsidR="00A81EE8" w:rsidRPr="00CC4D2B">
        <w:rPr>
          <w:rFonts w:ascii="Arial" w:hAnsi="Arial" w:cs="Arial"/>
          <w:color w:val="000000"/>
          <w:sz w:val="20"/>
          <w:szCs w:val="20"/>
          <w:lang w:val="en-US"/>
        </w:rPr>
        <w:t xml:space="preserve"> </w:t>
      </w:r>
      <w:r w:rsidRPr="00CC4D2B">
        <w:rPr>
          <w:rFonts w:ascii="Arial" w:hAnsi="Arial" w:cs="Arial"/>
          <w:color w:val="000000"/>
          <w:sz w:val="20"/>
          <w:szCs w:val="20"/>
          <w:lang w:val="en-US"/>
        </w:rPr>
        <w:t>A) The samples from each study in the train data w</w:t>
      </w:r>
      <w:r w:rsidR="00791719" w:rsidRPr="00CC4D2B">
        <w:rPr>
          <w:rFonts w:ascii="Arial" w:hAnsi="Arial" w:cs="Arial"/>
          <w:color w:val="000000"/>
          <w:sz w:val="20"/>
          <w:szCs w:val="20"/>
          <w:lang w:val="en-US"/>
        </w:rPr>
        <w:t>ere</w:t>
      </w:r>
      <w:r w:rsidRPr="00CC4D2B">
        <w:rPr>
          <w:rFonts w:ascii="Arial" w:hAnsi="Arial" w:cs="Arial"/>
          <w:color w:val="000000"/>
          <w:sz w:val="20"/>
          <w:szCs w:val="20"/>
          <w:lang w:val="en-US"/>
        </w:rPr>
        <w:t xml:space="preserve"> quantile normalized independently. B) The quantile targets from these studies were used for normalization of test samples from respective studies. The normalization was performed for each iteration of train and test datasets. The boxplots for iteration one </w:t>
      </w:r>
      <w:proofErr w:type="gramStart"/>
      <w:r w:rsidRPr="00CC4D2B">
        <w:rPr>
          <w:rFonts w:ascii="Arial" w:hAnsi="Arial" w:cs="Arial"/>
          <w:color w:val="000000"/>
          <w:sz w:val="20"/>
          <w:szCs w:val="20"/>
          <w:lang w:val="en-US"/>
        </w:rPr>
        <w:t>w</w:t>
      </w:r>
      <w:r w:rsidR="00791719" w:rsidRPr="00CC4D2B">
        <w:rPr>
          <w:rFonts w:ascii="Arial" w:hAnsi="Arial" w:cs="Arial"/>
          <w:color w:val="000000"/>
          <w:sz w:val="20"/>
          <w:szCs w:val="20"/>
          <w:lang w:val="en-US"/>
        </w:rPr>
        <w:t>ere</w:t>
      </w:r>
      <w:proofErr w:type="gramEnd"/>
      <w:r w:rsidRPr="00CC4D2B">
        <w:rPr>
          <w:rFonts w:ascii="Arial" w:hAnsi="Arial" w:cs="Arial"/>
          <w:color w:val="000000"/>
          <w:sz w:val="20"/>
          <w:szCs w:val="20"/>
          <w:lang w:val="en-US"/>
        </w:rPr>
        <w:t xml:space="preserve"> used as a representative image</w:t>
      </w:r>
      <w:r w:rsidR="00791719" w:rsidRPr="00CC4D2B">
        <w:rPr>
          <w:rFonts w:ascii="Arial" w:hAnsi="Arial" w:cs="Arial"/>
          <w:color w:val="000000"/>
          <w:sz w:val="20"/>
          <w:szCs w:val="20"/>
          <w:lang w:val="en-US"/>
        </w:rPr>
        <w:t>s</w:t>
      </w:r>
      <w:r w:rsidRPr="00CC4D2B">
        <w:rPr>
          <w:rFonts w:ascii="Arial" w:hAnsi="Arial" w:cs="Arial"/>
          <w:color w:val="000000"/>
          <w:sz w:val="20"/>
          <w:szCs w:val="20"/>
          <w:lang w:val="en-US"/>
        </w:rPr>
        <w:t xml:space="preserve"> for visualization of quantile normalization</w:t>
      </w:r>
      <w:r w:rsidR="00A52B50" w:rsidRPr="00CC4D2B">
        <w:rPr>
          <w:color w:val="000000"/>
          <w:lang w:val="en-US"/>
        </w:rPr>
        <w:t xml:space="preserve">. </w:t>
      </w:r>
      <w:r w:rsidR="00A52B50" w:rsidRPr="00CC4D2B">
        <w:rPr>
          <w:rFonts w:ascii="Arial" w:hAnsi="Arial" w:cs="Arial"/>
          <w:color w:val="000000"/>
          <w:sz w:val="20"/>
          <w:szCs w:val="20"/>
          <w:lang w:val="en-US"/>
        </w:rPr>
        <w:t>(</w:t>
      </w:r>
      <w:r w:rsidR="00A52B50" w:rsidRPr="00CC4D2B">
        <w:rPr>
          <w:rFonts w:ascii="Arial" w:hAnsi="Arial" w:cs="Arial"/>
          <w:b/>
          <w:color w:val="000000"/>
          <w:sz w:val="20"/>
          <w:szCs w:val="20"/>
          <w:lang w:val="en-US"/>
        </w:rPr>
        <w:t>Note</w:t>
      </w:r>
      <w:r w:rsidR="00A52B50" w:rsidRPr="00CC4D2B">
        <w:rPr>
          <w:rFonts w:ascii="Arial" w:hAnsi="Arial" w:cs="Arial"/>
          <w:color w:val="000000"/>
          <w:sz w:val="20"/>
          <w:szCs w:val="20"/>
          <w:lang w:val="en-US"/>
        </w:rPr>
        <w:t>:</w:t>
      </w:r>
      <w:r w:rsidR="00A81EE8" w:rsidRPr="00CC4D2B">
        <w:rPr>
          <w:rFonts w:ascii="Arial" w:hAnsi="Arial" w:cs="Arial"/>
          <w:color w:val="000000"/>
          <w:sz w:val="20"/>
          <w:szCs w:val="20"/>
          <w:lang w:val="en-US"/>
        </w:rPr>
        <w:t xml:space="preserve"> The boxplot displays data from the studies: GSE18312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{"citationItems":[{"id":"ITEM-1","itemData":{"DOI":"10.1002/ajmg.b.31006","ISSN":"1552-485X","PMID":"19582768","abstract":"Schizophrenia (SCZ) and bipolar disorder (BPD) are polygenic disorders with many genes contributing to their etiologies. The aim of this investigation was to search for dysregulated molecular and cellular pathways for these disorders as well as psychosis. We conducted a blood-based microarray investigation in two independent samples with SCZ and BPD from San Diego (SCZ = 13, BPD = 9, control = 8) and Taiwan (SCZ = 11, BPD = 14, control = 16). Diagnostic groups were compared to controls, and subjects with a history of psychosis [PSYCH(+): San Diego (n = 6), Taiwan (n = 14)] were compared to subjects without such history [PSYCH(-): San Diego (n = 11), Taiwan (n = 14)]. Analyses of covariance comparing mean expression levels on a gene-by-gene basis were conducted to generate the top 100 significantly dysregulated gene lists for both samples by each diagnostic group. Gene lists were imported into Ingenuity Pathway Analysis (IPA) software. Results showed the ubiquitin proteasome pathway (UPS) was listed in the top ten canonical pathways for BPD and psychosis diagnostic groups across both samples with a considerably low likelihood of a chance occurrence (P = 0.001). No overlap in dysregulated genes populating these pathways was observed between the two independent samples. Findings provide preliminary evidence of UPS dysregulation in BPD and psychosis as well as support further investigation of the UPS and other molecular and cellular pathways for potential biomarkers for SCZ, BPD, and/or psychosis.","author":[{"dropping-particle":"","family":"Bousman","given":"Chad A","non-dropping-particle":"","parse-names":false,"suffix":""},{"dropping-particle":"","family":"Chana","given":"Gursharan","non-dropping-particle":"","parse-names":false,"suffix":""},{"dropping-particle":"","family":"Glatt","given":"Stephen J","non-dropping-particle":"","parse-names":false,"suffix":""},{"dropping-particle":"","family":"Chandler","given":"Sharon D","non-dropping-particle":"","parse-names":false,"suffix":""},{"dropping-particle":"","family":"Lucero","given":"Ginger R","non-dropping-particle":"","parse-names":false,"suffix":""},{"dropping-particle":"","family":"Tatro","given":"Erick","non-dropping-particle":"","parse-names":false,"suffix":""},{"dropping-particle":"","family":"May","given":"Todd","non-dropping-particle":"","parse-names":false,"suffix":""},{"dropping-particle":"","family":"Lohr","given":"James B","non-dropping-particle":"","parse-names":false,"suffix":""},{"dropping-particle":"","family":"Kremen","given":"William S","non-dropping-particle":"","parse-names":false,"suffix":""},{"dropping-particle":"","family":"Tsuang","given":"Ming T","non-dropping-particle":"","parse-names":false,"suffix":""},{"dropping-particle":"","family":"Everall","given":"Ian P","non-dropping-particle":"","parse-names":false,"suffix":""}],"container-title":"American journal of medical genetics. Part B, Neuropsychiatric genetics : the official publication of the International Society of Psychiatric Genetics","id":"ITEM-1","issue":"2","issued":{"date-parts":[["2010","3","5"]]},"page":"494-502","title":"Preliminary evidence of ubiquitin proteasome system dysregulation in schizophrenia and bipolar disorder: convergent pathway analysis findings from two independent samples.","type":"article-journal","volume":"153B"},"uris":["http://www.mendeley.com/documents/?uuid=bcd5202e-bdcb-3909-b446-42be7685a931"]}],"mendeley":{"formattedCitation":"&lt;sup&gt;1&lt;/sup&gt;","plainTextFormattedCitation":"1","previouslyFormattedCitation":"&lt;sup&gt;1&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1</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GSE38481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{"citationItems":[{"id":"ITEM-1","itemData":{"DOI":"10.1371/journal.pone.0039498","ISSN":"1932-6203","PMID":"22761806","abstract":"Despite large-scale genome-wide association studies (GWAS), the underlying genes for schizophrenia are largely unknown. Additional approaches are therefore required to identify the genetic background of this disorder. Here we report findings from a large gene expression study in peripheral blood of schizophrenia patients and controls. We applied a systems biology approach to genome-wide expression data from whole blood of 92 medicated and 29 antipsychotic-free schizophrenia patients and 118 healthy controls. We show that gene expression profiling in whole blood can identify twelve large gene co-expression modules associated with schizophrenia. Several of these disease related modules are likely to reflect expression changes due to antipsychotic medication. However, two of the disease modules could be replicated in an independent second data set involving antipsychotic-free patients and controls. One of these robustly defined disease modules is significantly enriched with brain-expressed genes and with genetic variants that were implicated in a GWAS study, which could imply a causal role in schizophrenia etiology. The most highly connected intramodular hub gene in this module (ABCF1), is located in, and regulated by the major histocompatibility (MHC) complex, which is intriguing in light of the fact that common allelic variants from the MHC region have been implicated in schizophrenia. This suggests that the MHC increases schizophrenia susceptibility via altered gene expression of regulatory genes in this network.","author":[{"dropping-particle":"","family":"Jong","given":"Simone","non-dropping-particle":"de","parse-names":false,"suffix":""},{"dropping-particle":"","family":"Boks","given":"Marco P. M.","non-dropping-particle":"","parse-names":false,"suffix":""},{"dropping-particle":"","family":"Fuller","given":"Tova F.","non-dropping-particle":"","parse-names":false,"suffix":""},{"dropping-particle":"","family":"Strengman","given":"Eric","non-dropping-particle":"","parse-names":false,"suffix":""},{"dropping-particle":"","family":"Janson","given":"Esther","non-dropping-particle":"","parse-names":false,"suffix":""},{"dropping-particle":"","family":"Kovel","given":"Carolien G. F.","non-dropping-particle":"de","parse-names":false,"suffix":""},{"dropping-particle":"","family":"Ori","given":"Anil P. S.","non-dropping-particle":"","parse-names":false,"suffix":""},{"dropping-particle":"","family":"Vi","given":"Nancy","non-dropping-particle":"","parse-names":false,"suffix":""},{"dropping-particle":"","family":"Mulder","given":"Flip","non-dropping-particle":"","parse-names":false,"suffix":""},{"dropping-particle":"","family":"Blom","given":"Jan Dirk","non-dropping-particle":"","parse-names":false,"suffix":""},{"dropping-particle":"","family":"Glenthøj","given":"Birte","non-dropping-particle":"","parse-names":false,"suffix":""},{"dropping-particle":"","family":"Schubart","given":"Chris D.","non-dropping-particle":"","parse-names":false,"suffix":""},{"dropping-particle":"","family":"Cahn","given":"Wiepke","non-dropping-particle":"","parse-names":false,"suffix":""},{"dropping-particle":"","family":"Kahn","given":"René S.","non-dropping-particle":"","parse-names":false,"suffix":""},{"dropping-particle":"","family":"Horvath","given":"Steve","non-dropping-particle":"","parse-names":false,"suffix":""},{"dropping-particle":"","family":"Ophoff","given":"Roel A.","non-dropping-particle":"","parse-names":false,"suffix":""}],"container-title":"PLoS ONE","editor":[{"dropping-particle":"","family":"Mazza","given":"Marianna","non-dropping-particle":"","parse-names":false,"suffix":""}],"id":"ITEM-1","issue":"6","issued":{"date-parts":[["2012","6","27"]]},"page":"e39498","title":"A Gene Co-Expression Network in Whole Blood of Schizophrenia Patients Is Independent of Antipsychotic-Use and Enriched for Brain-Expressed Genes","type":"article-journal","volume":"7"},"uris":["http://www.mendeley.com/documents/?uuid=a97c192d-4556-3ebd-93d5-e4851ba76fd4"]}],"mendeley":{"formattedCitation":"&lt;sup&gt;2&lt;/sup&gt;","plainTextFormattedCitation":"2","previouslyFormattedCitation":"&lt;sup&gt;2&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2</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GSE38484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{"citationItems":[{"id":"ITEM-1","itemData":{"DOI":"10.1371/journal.pone.0039498","ISSN":"1932-6203","PMID":"22761806","abstract":"Despite large-scale genome-wide association studies (GWAS), the underlying genes for schizophrenia are largely unknown. Additional approaches are therefore required to identify the genetic background of this disorder. Here we report findings from a large gene expression study in peripheral blood of schizophrenia patients and controls. We applied a systems biology approach to genome-wide expression data from whole blood of 92 medicated and 29 antipsychotic-free schizophrenia patients and 118 healthy controls. We show that gene expression profiling in whole blood can identify twelve large gene co-expression modules associated with schizophrenia. Several of these disease related modules are likely to reflect expression changes due to antipsychotic medication. However, two of the disease modules could be replicated in an independent second data set involving antipsychotic-free patients and controls. One of these robustly defined disease modules is significantly enriched with brain-expressed genes and with genetic variants that were implicated in a GWAS study, which could imply a causal role in schizophrenia etiology. The most highly connected intramodular hub gene in this module (ABCF1), is located in, and regulated by the major histocompatibility (MHC) complex, which is intriguing in light of the fact that common allelic variants from the MHC region have been implicated in schizophrenia. This suggests that the MHC increases schizophrenia susceptibility via altered gene expression of regulatory genes in this network.","author":[{"dropping-particle":"","family":"Jong","given":"Simone","non-dropping-particle":"de","parse-names":false,"suffix":""},{"dropping-particle":"","family":"Boks","given":"Marco P. M.","non-dropping-particle":"","parse-names":false,"suffix":""},{"dropping-particle":"","family":"Fuller","given":"Tova F.","non-dropping-particle":"","parse-names":false,"suffix":""},{"dropping-particle":"","family":"Strengman","given":"Eric","non-dropping-particle":"","parse-names":false,"suffix":""},{"dropping-particle":"","family":"Janson","given":"Esther","non-dropping-particle":"","parse-names":false,"suffix":""},{"dropping-particle":"","family":"Kovel","given":"Carolien G. F.","non-dropping-particle":"de","parse-names":false,"suffix":""},{"dropping-particle":"","family":"Ori","given":"Anil P. S.","non-dropping-particle":"","parse-names":false,"suffix":""},{"dropping-particle":"","family":"Vi","given":"Nancy","non-dropping-particle":"","parse-names":false,"suffix":""},{"dropping-particle":"","family":"Mulder","given":"Flip","non-dropping-particle":"","parse-names":false,"suffix":""},{"dropping-particle":"","family":"Blom","given":"Jan Dirk","non-dropping-particle":"","parse-names":false,"suffix":""},{"dropping-particle":"","family":"Glenthøj","given":"Birte","non-dropping-particle":"","parse-names":false,"suffix":""},{"dropping-particle":"","family":"Schubart","given":"Chris D.","non-dropping-particle":"","parse-names":false,"suffix":""},{"dropping-particle":"","family":"Cahn","given":"Wiepke","non-dropping-particle":"","parse-names":false,"suffix":""},{"dropping-particle":"","family":"Kahn","given":"René S.","non-dropping-particle":"","parse-names":false,"suffix":""},{"dropping-particle":"","family":"Horvath","given":"Steve","non-dropping-particle":"","parse-names":false,"suffix":""},{"dropping-particle":"","family":"Ophoff","given":"Roel A.","non-dropping-particle":"","parse-names":false,"suffix":""}],"container-title":"PLoS ONE","editor":[{"dropping-particle":"","family":"Mazza","given":"Marianna","non-dropping-particle":"","parse-names":false,"suffix":""}],"id":"ITEM-1","issue":"6","issued":{"date-parts":[["2012","6","27"]]},"page":"e39498","title":"A Gene Co-Expression Network in Whole Blood of Schizophrenia Patients Is Independent of Antipsychotic-Use and Enriched for Brain-Expressed Genes","type":"article-journal","volume":"7"},"uris":["http://www.mendeley.com/documents/?uuid=a97c192d-4556-3ebd-93d5-e4851ba76fd4"]}],"mendeley":{"formattedCitation":"&lt;sup&gt;2&lt;/sup&gt;","plainTextFormattedCitation":"2","previouslyFormattedCitation":"&lt;sup&gt;2&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2</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GSE48072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{"citationItems":[{"id":"ITEM-1","itemData":{"DOI":"10.1038/nn.3484","ISSN":"10976256","PMID":"23912948","abstract":"Implicating particular genes in the generation of complex brain and behavior phenotypes requires multiple lines of evidence. The rarity of most high-impact genetic variants typically precludes the possibility of accruing statistical evidence that they are associated with a given trait. We found that the enrichment of a rare chromosome 22q11.22 deletion in a recently expanded Northern Finnish sub-isolate enabled the detection of association between TOP3B and both schizophrenia and cognitive impairment. Biochemical analysis of TOP3β revealed that this topoisomerase was a component of cytosolic messenger ribonucleoproteins (mRNPs) and was catalytically active on RNA. The recruitment of TOP3β to mRNPs was independent of RNA cis-elements and was coupled to the co-recruitment of FMRP, the disease gene product in fragile X mental retardation syndrome. Our results indicate a previously unknown role for TOP3β in mRNA metabolism and suggest that it is involved in neurodevelopmental disorders. © 2013 Nature America, Inc. All rights reserved.","author":[{"dropping-particle":"","family":"Stoll","given":"Georg","non-dropping-particle":"","parse-names":false,"suffix":""},{"dropping-particle":"","family":"Pietiläinen","given":"Olli P.H.","non-dropping-particle":"","parse-names":false,"suffix":""},{"dropping-particle":"","family":"Linder","given":"Bastian","non-dropping-particle":"","parse-names":false,"suffix":""},{"dropping-particle":"","family":"Suvisaari","given":"Jaana","non-dropping-particle":"","parse-names":false,"suffix":""},{"dropping-particle":"","family":"Brosi","given":"Cornelia","non-dropping-particle":"","parse-names":false,"suffix":""},{"dropping-particle":"","family":"Hennah","given":"William","non-dropping-particle":"","parse-names":false,"suffix":""},{"dropping-particle":"","family":"Leppä","given":"Virpi","non-dropping-particle":"","parse-names":false,"suffix":""},{"dropping-particle":"","family":"Torniainen","given":"Minna","non-dropping-particle":"","parse-names":false,"suffix":""},{"dropping-particle":"","family":"Ripatti","given":"Samuli","non-dropping-particle":"","parse-names":false,"suffix":""},{"dropping-particle":"","family":"Ala-Mello","given":"Sirpa","non-dropping-particle":"","parse-names":false,"suffix":""},{"dropping-particle":"","family":"Plöttner","given":"Oliver","non-dropping-particle":"","parse-names":false,"suffix":""},{"dropping-particle":"","family":"Rehnström","given":"Karola","non-dropping-particle":"","parse-names":false,"suffix":""},{"dropping-particle":"","family":"Tuulio-Henriksson","given":"Annamari","non-dropping-particle":"","parse-names":false,"suffix":""},{"dropping-particle":"","family":"Varilo","given":"Teppo","non-dropping-particle":"","parse-names":false,"suffix":""},{"dropping-particle":"","family":"Tallila","given":"Jonna","non-dropping-particle":"","parse-names":false,"suffix":""},{"dropping-particle":"","family":"Kristiansson","given":"Kati","non-dropping-particle":"","parse-names":false,"suffix":""},{"dropping-particle":"","family":"Isohanni","given":"Matti","non-dropping-particle":"","parse-names":false,"suffix":""},{"dropping-particle":"","family":"Kaprio","given":"Jaakko","non-dropping-particle":"","parse-names":false,"suffix":""},{"dropping-particle":"","family":"Eriksson","given":"Johan G.","non-dropping-particle":"","parse-names":false,"suffix":""},{"dropping-particle":"","family":"Raitakari","given":"Olli T.","non-dropping-particle":"","parse-names":false,"suffix":""},{"dropping-particle":"","family":"Lehtimäki","given":"Terho","non-dropping-particle":"","parse-names":false,"suffix":""},{"dropping-particle":"","family":"Jarvelin","given":"Marjo Riitta","non-dropping-particle":"","parse-names":false,"suffix":""},{"dropping-particle":"","family":"Salomaa","given":"Veikko","non-dropping-particle":"","parse-names":false,"suffix":""},{"dropping-particle":"","family":"Hurles","given":"Matthew","non-dropping-particle":"","parse-names":false,"suffix":""},{"dropping-particle":"","family":"Stefansson","given":"Hreinn","non-dropping-particle":"","parse-names":false,"suffix":""},{"dropping-particle":"","family":"Peltonen","given":"Leena","non-dropping-particle":"","parse-names":false,"suffix":""},{"dropping-particle":"","family":"Sullivan","given":"Patrick F.","non-dropping-particle":"","parse-names":false,"suffix":""},{"dropping-particle":"","family":"Paunio","given":"Tiina","non-dropping-particle":"","parse-names":false,"suffix":""},{"dropping-particle":"","family":"Lönnqvist","given":"Jouko","non-dropping-particle":"","parse-names":false,"suffix":""},{"dropping-particle":"","family":"Daly","given":"Mark J.","non-dropping-particle":"","parse-names":false,"suffix":""},{"dropping-particle":"","family":"Fischer","given":"Utz","non-dropping-particle":"","parse-names":false,"suffix":""},{"dropping-particle":"","family":"Freimer","given":"Nelson B.","non-dropping-particle":"","parse-names":false,"suffix":""},{"dropping-particle":"","family":"Palotie","given":"Aarno","non-dropping-particle":"","parse-names":false,"suffix":""}],"container-title":"Nature Neuroscience","id":"ITEM-1","issue":"9","issued":{"date-parts":[["2013","9"]]},"page":"1228-1237","publisher":"Nat Neurosci","title":"Deletion of TOP3β, a component of FMRP-containing mRNPs, contributes to neurodevelopmental disorders","type":"article-journal","volume":"16"},"uris":["http://www.mendeley.com/documents/?uuid=ca0fad7b-944e-3c74-8b6f-ef43ff89a6fa"]}],"mendeley":{"formattedCitation":"&lt;sup&gt;3&lt;/sup&gt;","plainTextFormattedCitation":"3","previouslyFormattedCitation":"&lt;sup&gt;3&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3</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GSE54913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{"citationItems":[{"id":"ITEM-1","itemData":{"DOI":"10.1038/srep16767","ISSN":"2045-2322","PMID":"26733343","abstract":"To identify gene expression abnormalities in schizophrenia (SZ), we generated whole-genome gene expression profiles using microarrays on peripheral blood mononuclear cells (PBMCs) from 18 early-onset SZ cases and 12 controls. We detected 84 transcripts differentially expressed by diagnostic status, with 82 genes being upregulated and 2 downregulated. We identified two SZ associated gene coexpression modules (green and red), including 446 genes . The green module is positively correlated with SZ, encompassing predominantly up-regulated genes in SZ; while the red module was negatively correlated with disease status, involving mostly nominally down-regulated genes in SZ. The olfactory transduction pathway was the most enriched pathways for the genes within the two modules. The expression levels of several hub genes, including AKT1, BRCA1, CCDC134, UBD, and ZIC2 were validated using real-time quantitative PCR. Our findings indicate that mRNA coexpression abnormalities may serve as a promising mechanism underlying the development of SZ.","author":[{"dropping-particle":"","family":"Xu","given":"Yong","non-dropping-particle":"","parse-names":false,"suffix":""},{"dropping-particle":"","family":"Yao Shugart","given":"Yin","non-dropping-particle":"","parse-names":false,"suffix":""},{"dropping-particle":"","family":"Wang","given":"Guoqiang","non-dropping-particle":"","parse-names":false,"suffix":""},{"dropping-particle":"","family":"Cheng","given":"Zaohuo","non-dropping-particle":"","parse-names":false,"suffix":""},{"dropping-particle":"","family":"Jin","given":"Chunhui","non-dropping-particle":"","parse-names":false,"suffix":""},{"dropping-particle":"","family":"Zhang","given":"Kai","non-dropping-particle":"","parse-names":false,"suffix":""},{"dropping-particle":"","family":"Wang","given":"Jun","non-dropping-particle":"","parse-names":false,"suffix":""},{"dropping-particle":"","family":"Yu","given":"Hao","non-dropping-particle":"","parse-names":false,"suffix":""},{"dropping-particle":"","family":"Yue","given":"Weihua","non-dropping-particle":"","parse-names":false,"suffix":""},{"dropping-particle":"","family":"Zhang","given":"Fuquan","non-dropping-particle":"","parse-names":false,"suffix":""},{"dropping-particle":"","family":"Zhang","given":"Dai","non-dropping-particle":"","parse-names":false,"suffix":""}],"container-title":"Scientific Reports","id":"ITEM-1","issue":"1","issued":{"date-parts":[["2016","5","6"]]},"page":"16767","title":"Altered expression of mRNA profiles in blood of early-onset schizophrenia","type":"article-journal","volume":"6"},"uris":["http://www.mendeley.com/documents/?uuid=12bb3019-62ae-3940-9706-511f00f65865"]}],"mendeley":{"formattedCitation":"&lt;sup&gt;4&lt;/sup&gt;","plainTextFormattedCitation":"4","previouslyFormattedCitation":"&lt;sup&gt;4&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4</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and Kumarasinghe et al.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{"citationItems":[{"id":"ITEM-1","itemData":{"DOI":"10.1017/S1461145713000035","ISSN":"1461-1457","PMID":"23442539","abstract":"Distinct gene expression profiles can be detected in peripheral blood mononuclear cells (PBMCs) in patients with schizophrenia; however, little is known about the effects of antipsychotic medication. This study compared gene expression profiles in PMBCs from treatment-naive patients with schizophrenia before and after antipsychotic drug treatment. PBMCs were obtained from 10 treatment-naive schizophrenia patients before and 6 wk after initiating antipsychotic drug treatment and compared to PMBCs collected from 11 healthy community volunteers. Genome-wide expression profiling was conducted using Illumina HumanHT-12 expression bead arrays and analysed using significance analysis of microarrays. This analysis identified 624 genes with altered expression (208 up-regulated, 416 down-regulated) prior to antipsychotic treatment (p &lt; 0.05) including schizophrenia-associated genes AKT1, DISC1 and DGCR6. After 6-8 wk treatment of patients with risperidone or risperidone in combination with haloperidol, only 106 genes were altered, suggesting that the treatment corrected the expression of a large proportion of genes back to control levels. However, 67 genes continued to show the same directional change in expression after treatment. Ingenuity® pathway analysis and gene set enrichment analysis implicated dysregulation of biological functions and pathways related to inflammation and immunity in patients with schizophrenia. A number of the top canonical pathways dysregulated in treatment-naive patients signal through AKT1 that was up-regulated. After treatment, AKT1 returned to control levels and less dysregulation of these canonical pathways was observed. This study supports immune dysfunction and pathways involving AKT1 in the aetiopathophysiology of schizophrenia and their response to antipsychotic medication.","author":[{"dropping-particle":"","family":"Kumarasinghe","given":"Nishantha","non-dropping-particle":"","parse-names":false,"suffix":""},{"dropping-particle":"","family":"Beveridge","given":"Natalie J.","non-dropping-particle":"","parse-names":false,"suffix":""},{"dropping-particle":"","family":"Gardiner","given":"Erin","non-dropping-particle":"","parse-names":false,"suffix":""},{"dropping-particle":"","family":"Scott","given":"Rodney J.","non-dropping-particle":"","parse-names":false,"suffix":""},{"dropping-particle":"","family":"Yasawardene","given":"Surangi","non-dropping-particle":"","parse-names":false,"suffix":""},{"dropping-particle":"","family":"Perera","given":"Antoinette","non-dropping-particle":"","parse-names":false,"suffix":""},{"dropping-particle":"","family":"Mendis","given":"Jayan","non-dropping-particle":"","parse-names":false,"suffix":""},{"dropping-particle":"","family":"Suriyakumara","given":"Kanishka","non-dropping-particle":"","parse-names":false,"suffix":""},{"dropping-particle":"","family":"Schall","given":"Ulrich","non-dropping-particle":"","parse-names":false,"suffix":""},{"dropping-particle":"","family":"Tooney","given":"Paul A.","non-dropping-particle":"","parse-names":false,"suffix":""}],"container-title":"The International Journal of Neuropsychopharmacology","id":"ITEM-1","issue":"07","issued":{"date-parts":[["2013","8","27"]]},"page":"1483-1503","title":"Gene expression profiling in treatment-naive schizophrenia patients identifies abnormalities in biological pathways involving AKT1 that are corrected by antipsychotic medication","type":"article-journal","volume":"16"},"uris":["http://www.mendeley.com/documents/?uuid=8e79acbe-0dcd-3b4e-a450-678fe9866508"]}],"mendeley":{"formattedCitation":"&lt;sup&gt;5&lt;/sup&gt;","plainTextFormattedCitation":"5","previouslyFormattedCitation":"&lt;sup&gt;5&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5</w:t>
      </w:r>
      <w:r w:rsidR="00CF1FBE" w:rsidRPr="00CC4D2B">
        <w:rPr>
          <w:rFonts w:ascii="Arial" w:hAnsi="Arial" w:cs="Arial"/>
          <w:color w:val="000000"/>
          <w:sz w:val="20"/>
          <w:szCs w:val="20"/>
          <w:lang w:val="en-US"/>
        </w:rPr>
        <w:fldChar w:fldCharType="end"/>
      </w:r>
      <w:r w:rsidR="00A52B50" w:rsidRPr="00CC4D2B">
        <w:rPr>
          <w:rFonts w:ascii="Arial" w:hAnsi="Arial" w:cs="Arial"/>
          <w:color w:val="000000"/>
          <w:sz w:val="20"/>
          <w:szCs w:val="20"/>
          <w:lang w:val="en-US"/>
        </w:rPr>
        <w:t>)</w:t>
      </w:r>
    </w:p>
    <w:p w:rsidR="00F16278" w:rsidRPr="00CC4D2B" w:rsidRDefault="00F16278" w:rsidP="00A81EE8">
      <w:pPr>
        <w:spacing w:line="480" w:lineRule="auto"/>
        <w:jc w:val="center"/>
        <w:rPr>
          <w:color w:val="000000"/>
          <w:lang w:val="en-US"/>
        </w:rPr>
      </w:pPr>
      <w:r w:rsidRPr="00CC4D2B">
        <w:rPr>
          <w:color w:val="000000"/>
          <w:lang w:val="en-US"/>
        </w:rPr>
        <w:br w:type="page"/>
      </w:r>
      <w:r w:rsidR="007025CF">
        <w:rPr>
          <w:noProof/>
          <w:color w:val="000000"/>
          <w:lang w:eastAsia="en-IN"/>
        </w:rPr>
        <w:lastRenderedPageBreak/>
        <w:drawing>
          <wp:inline distT="0" distB="0" distL="0" distR="0">
            <wp:extent cx="5720080" cy="3774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20080" cy="3774440"/>
                    </a:xfrm>
                    <a:prstGeom prst="rect">
                      <a:avLst/>
                    </a:prstGeom>
                    <a:noFill/>
                    <a:ln w="9525">
                      <a:noFill/>
                      <a:miter lim="800000"/>
                      <a:headEnd/>
                      <a:tailEnd/>
                    </a:ln>
                  </pic:spPr>
                </pic:pic>
              </a:graphicData>
            </a:graphic>
          </wp:inline>
        </w:drawing>
      </w:r>
    </w:p>
    <w:p w:rsidR="00A81EE8" w:rsidRPr="00CC4D2B" w:rsidRDefault="00F16278" w:rsidP="00A81EE8">
      <w:pPr>
        <w:spacing w:line="360" w:lineRule="auto"/>
        <w:jc w:val="both"/>
        <w:rPr>
          <w:rFonts w:ascii="Arial" w:hAnsi="Arial" w:cs="Arial"/>
          <w:color w:val="000000"/>
          <w:sz w:val="20"/>
          <w:szCs w:val="20"/>
          <w:lang w:val="en-US"/>
        </w:rPr>
      </w:pPr>
      <w:r w:rsidRPr="00CC4D2B">
        <w:rPr>
          <w:rFonts w:ascii="Arial" w:hAnsi="Arial" w:cs="Arial"/>
          <w:b/>
          <w:color w:val="000000"/>
          <w:sz w:val="20"/>
          <w:szCs w:val="20"/>
          <w:lang w:val="en-US"/>
        </w:rPr>
        <w:t xml:space="preserve">Supplementary </w:t>
      </w:r>
      <w:r w:rsidR="00791719" w:rsidRPr="00CC4D2B">
        <w:rPr>
          <w:rFonts w:ascii="Arial" w:hAnsi="Arial" w:cs="Arial"/>
          <w:b/>
          <w:color w:val="000000"/>
          <w:sz w:val="20"/>
          <w:szCs w:val="20"/>
          <w:lang w:val="en-US"/>
        </w:rPr>
        <w:t>F</w:t>
      </w:r>
      <w:r w:rsidRPr="00CC4D2B">
        <w:rPr>
          <w:rFonts w:ascii="Arial" w:hAnsi="Arial" w:cs="Arial"/>
          <w:b/>
          <w:color w:val="000000"/>
          <w:sz w:val="20"/>
          <w:szCs w:val="20"/>
          <w:lang w:val="en-US"/>
        </w:rPr>
        <w:t>igure 2:</w:t>
      </w:r>
      <w:r w:rsidRPr="00CC4D2B">
        <w:rPr>
          <w:rFonts w:ascii="Arial" w:hAnsi="Arial" w:cs="Arial"/>
          <w:color w:val="000000"/>
          <w:sz w:val="20"/>
          <w:szCs w:val="20"/>
          <w:lang w:val="en-US"/>
        </w:rPr>
        <w:t xml:space="preserve"> Boxplots for train data and the independent dataset (GSE27383) after quantile normalization. The quantile targets from each iteration of training data were used to normalize sam</w:t>
      </w:r>
      <w:r w:rsidR="00791719" w:rsidRPr="00CC4D2B">
        <w:rPr>
          <w:rFonts w:ascii="Arial" w:hAnsi="Arial" w:cs="Arial"/>
          <w:color w:val="000000"/>
          <w:sz w:val="20"/>
          <w:szCs w:val="20"/>
          <w:lang w:val="en-US"/>
        </w:rPr>
        <w:t>ples from GSE27383. The boxplot</w:t>
      </w:r>
      <w:r w:rsidRPr="00CC4D2B">
        <w:rPr>
          <w:rFonts w:ascii="Arial" w:hAnsi="Arial" w:cs="Arial"/>
          <w:color w:val="000000"/>
          <w:sz w:val="20"/>
          <w:szCs w:val="20"/>
          <w:lang w:val="en-US"/>
        </w:rPr>
        <w:t xml:space="preserve"> for iteration one w</w:t>
      </w:r>
      <w:r w:rsidR="00791719" w:rsidRPr="00CC4D2B">
        <w:rPr>
          <w:rFonts w:ascii="Arial" w:hAnsi="Arial" w:cs="Arial"/>
          <w:color w:val="000000"/>
          <w:sz w:val="20"/>
          <w:szCs w:val="20"/>
          <w:lang w:val="en-US"/>
        </w:rPr>
        <w:t>as</w:t>
      </w:r>
      <w:r w:rsidRPr="00CC4D2B">
        <w:rPr>
          <w:rFonts w:ascii="Arial" w:hAnsi="Arial" w:cs="Arial"/>
          <w:color w:val="000000"/>
          <w:sz w:val="20"/>
          <w:szCs w:val="20"/>
          <w:lang w:val="en-US"/>
        </w:rPr>
        <w:t xml:space="preserve"> used as a representative image for visualization of quantile normalization. </w:t>
      </w:r>
      <w:r w:rsidR="00A81EE8" w:rsidRPr="00CC4D2B">
        <w:rPr>
          <w:rFonts w:ascii="Arial" w:hAnsi="Arial" w:cs="Arial"/>
          <w:color w:val="000000"/>
          <w:sz w:val="20"/>
          <w:szCs w:val="20"/>
          <w:lang w:val="en-US"/>
        </w:rPr>
        <w:t>(</w:t>
      </w:r>
      <w:r w:rsidR="00A81EE8" w:rsidRPr="00CC4D2B">
        <w:rPr>
          <w:rFonts w:ascii="Arial" w:hAnsi="Arial" w:cs="Arial"/>
          <w:b/>
          <w:color w:val="000000"/>
          <w:sz w:val="20"/>
          <w:szCs w:val="20"/>
          <w:lang w:val="en-US"/>
        </w:rPr>
        <w:t>Note</w:t>
      </w:r>
      <w:r w:rsidR="00A81EE8" w:rsidRPr="00CC4D2B">
        <w:rPr>
          <w:rFonts w:ascii="Arial" w:hAnsi="Arial" w:cs="Arial"/>
          <w:color w:val="000000"/>
          <w:sz w:val="20"/>
          <w:szCs w:val="20"/>
          <w:lang w:val="en-US"/>
        </w:rPr>
        <w:t xml:space="preserve">: The boxplot displays data from the studies: GSE18312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{"citationItems":[{"id":"ITEM-1","itemData":{"DOI":"10.1002/ajmg.b.31006","ISSN":"1552-485X","PMID":"19582768","abstract":"Schizophrenia (SCZ) and bipolar disorder (BPD) are polygenic disorders with many genes contributing to their etiologies. The aim of this investigation was to search for dysregulated molecular and cellular pathways for these disorders as well as psychosis. We conducted a blood-based microarray investigation in two independent samples with SCZ and BPD from San Diego (SCZ = 13, BPD = 9, control = 8) and Taiwan (SCZ = 11, BPD = 14, control = 16). Diagnostic groups were compared to controls, and subjects with a history of psychosis [PSYCH(+): San Diego (n = 6), Taiwan (n = 14)] were compared to subjects without such history [PSYCH(-): San Diego (n = 11), Taiwan (n = 14)]. Analyses of covariance comparing mean expression levels on a gene-by-gene basis were conducted to generate the top 100 significantly dysregulated gene lists for both samples by each diagnostic group. Gene lists were imported into Ingenuity Pathway Analysis (IPA) software. Results showed the ubiquitin proteasome pathway (UPS) was listed in the top ten canonical pathways for BPD and psychosis diagnostic groups across both samples with a considerably low likelihood of a chance occurrence (P = 0.001). No overlap in dysregulated genes populating these pathways was observed between the two independent samples. Findings provide preliminary evidence of UPS dysregulation in BPD and psychosis as well as support further investigation of the UPS and other molecular and cellular pathways for potential biomarkers for SCZ, BPD, and/or psychosis.","author":[{"dropping-particle":"","family":"Bousman","given":"Chad A","non-dropping-particle":"","parse-names":false,"suffix":""},{"dropping-particle":"","family":"Chana","given":"Gursharan","non-dropping-particle":"","parse-names":false,"suffix":""},{"dropping-particle":"","family":"Glatt","given":"Stephen J","non-dropping-particle":"","parse-names":false,"suffix":""},{"dropping-particle":"","family":"Chandler","given":"Sharon D","non-dropping-particle":"","parse-names":false,"suffix":""},{"dropping-particle":"","family":"Lucero","given":"Ginger R","non-dropping-particle":"","parse-names":false,"suffix":""},{"dropping-particle":"","family":"Tatro","given":"Erick","non-dropping-particle":"","parse-names":false,"suffix":""},{"dropping-particle":"","family":"May","given":"Todd","non-dropping-particle":"","parse-names":false,"suffix":""},{"dropping-particle":"","family":"Lohr","given":"James B","non-dropping-particle":"","parse-names":false,"suffix":""},{"dropping-particle":"","family":"Kremen","given":"William S","non-dropping-particle":"","parse-names":false,"suffix":""},{"dropping-particle":"","family":"Tsuang","given":"Ming T","non-dropping-particle":"","parse-names":false,"suffix":""},{"dropping-particle":"","family":"Everall","given":"Ian P","non-dropping-particle":"","parse-names":false,"suffix":""}],"container-title":"American journal of medical genetics. Part B, Neuropsychiatric genetics : the official publication of the International Society of Psychiatric Genetics","id":"ITEM-1","issue":"2","issued":{"date-parts":[["2010","3","5"]]},"page":"494-502","title":"Preliminary evidence of ubiquitin proteasome system dysregulation in schizophrenia and bipolar disorder: convergent pathway analysis findings from two independent samples.","type":"article-journal","volume":"153B"},"uris":["http://www.mendeley.com/documents/?uuid=bcd5202e-bdcb-3909-b446-42be7685a931"]}],"mendeley":{"formattedCitation":"&lt;sup&gt;1&lt;/sup&gt;","plainTextFormattedCitation":"1","previouslyFormattedCitation":"&lt;sup&gt;1&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1</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GSE38481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{"citationItems":[{"id":"ITEM-1","itemData":{"DOI":"10.1371/journal.pone.0039498","ISSN":"1932-6203","PMID":"22761806","abstract":"Despite large-scale genome-wide association studies (GWAS), the underlying genes for schizophrenia are largely unknown. Additional approaches are therefore required to identify the genetic background of this disorder. Here we report findings from a large gene expression study in peripheral blood of schizophrenia patients and controls. We applied a systems biology approach to genome-wide expression data from whole blood of 92 medicated and 29 antipsychotic-free schizophrenia patients and 118 healthy controls. We show that gene expression profiling in whole blood can identify twelve large gene co-expression modules associated with schizophrenia. Several of these disease related modules are likely to reflect expression changes due to antipsychotic medication. However, two of the disease modules could be replicated in an independent second data set involving antipsychotic-free patients and controls. One of these robustly defined disease modules is significantly enriched with brain-expressed genes and with genetic variants that were implicated in a GWAS study, which could imply a causal role in schizophrenia etiology. The most highly connected intramodular hub gene in this module (ABCF1), is located in, and regulated by the major histocompatibility (MHC) complex, which is intriguing in light of the fact that common allelic variants from the MHC region have been implicated in schizophrenia. This suggests that the MHC increases schizophrenia susceptibility via altered gene expression of regulatory genes in this network.","author":[{"dropping-particle":"","family":"Jong","given":"Simone","non-dropping-particle":"de","parse-names":false,"suffix":""},{"dropping-particle":"","family":"Boks","given":"Marco P. M.","non-dropping-particle":"","parse-names":false,"suffix":""},{"dropping-particle":"","family":"Fuller","given":"Tova F.","non-dropping-particle":"","parse-names":false,"suffix":""},{"dropping-particle":"","family":"Strengman","given":"Eric","non-dropping-particle":"","parse-names":false,"suffix":""},{"dropping-particle":"","family":"Janson","given":"Esther","non-dropping-particle":"","parse-names":false,"suffix":""},{"dropping-particle":"","family":"Kovel","given":"Carolien G. F.","non-dropping-particle":"de","parse-names":false,"suffix":""},{"dropping-particle":"","family":"Ori","given":"Anil P. S.","non-dropping-particle":"","parse-names":false,"suffix":""},{"dropping-particle":"","family":"Vi","given":"Nancy","non-dropping-particle":"","parse-names":false,"suffix":""},{"dropping-particle":"","family":"Mulder","given":"Flip","non-dropping-particle":"","parse-names":false,"suffix":""},{"dropping-particle":"","family":"Blom","given":"Jan Dirk","non-dropping-particle":"","parse-names":false,"suffix":""},{"dropping-particle":"","family":"Glenthøj","given":"Birte","non-dropping-particle":"","parse-names":false,"suffix":""},{"dropping-particle":"","family":"Schubart","given":"Chris D.","non-dropping-particle":"","parse-names":false,"suffix":""},{"dropping-particle":"","family":"Cahn","given":"Wiepke","non-dropping-particle":"","parse-names":false,"suffix":""},{"dropping-particle":"","family":"Kahn","given":"René S.","non-dropping-particle":"","parse-names":false,"suffix":""},{"dropping-particle":"","family":"Horvath","given":"Steve","non-dropping-particle":"","parse-names":false,"suffix":""},{"dropping-particle":"","family":"Ophoff","given":"Roel A.","non-dropping-particle":"","parse-names":false,"suffix":""}],"container-title":"PLoS ONE","editor":[{"dropping-particle":"","family":"Mazza","given":"Marianna","non-dropping-particle":"","parse-names":false,"suffix":""}],"id":"ITEM-1","issue":"6","issued":{"date-parts":[["2012","6","27"]]},"page":"e39498","title":"A Gene Co-Expression Network in Whole Blood of Schizophrenia Patients Is Independent of Antipsychotic-Use and Enriched for Brain-Expressed Genes","type":"article-journal","volume":"7"},"uris":["http://www.mendeley.com/documents/?uuid=a97c192d-4556-3ebd-93d5-e4851ba76fd4"]}],"mendeley":{"formattedCitation":"&lt;sup&gt;2&lt;/sup&gt;","plainTextFormattedCitation":"2","previouslyFormattedCitation":"&lt;sup&gt;2&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2</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GSE38484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{"citationItems":[{"id":"ITEM-1","itemData":{"DOI":"10.1371/journal.pone.0039498","ISSN":"1932-6203","PMID":"22761806","abstract":"Despite large-scale genome-wide association studies (GWAS), the underlying genes for schizophrenia are largely unknown. Additional approaches are therefore required to identify the genetic background of this disorder. Here we report findings from a large gene expression study in peripheral blood of schizophrenia patients and controls. We applied a systems biology approach to genome-wide expression data from whole blood of 92 medicated and 29 antipsychotic-free schizophrenia patients and 118 healthy controls. We show that gene expression profiling in whole blood can identify twelve large gene co-expression modules associated with schizophrenia. Several of these disease related modules are likely to reflect expression changes due to antipsychotic medication. However, two of the disease modules could be replicated in an independent second data set involving antipsychotic-free patients and controls. One of these robustly defined disease modules is significantly enriched with brain-expressed genes and with genetic variants that were implicated in a GWAS study, which could imply a causal role in schizophrenia etiology. The most highly connected intramodular hub gene in this module (ABCF1), is located in, and regulated by the major histocompatibility (MHC) complex, which is intriguing in light of the fact that common allelic variants from the MHC region have been implicated in schizophrenia. This suggests that the MHC increases schizophrenia susceptibility via altered gene expression of regulatory genes in this network.","author":[{"dropping-particle":"","family":"Jong","given":"Simone","non-dropping-particle":"de","parse-names":false,"suffix":""},{"dropping-particle":"","family":"Boks","given":"Marco P. M.","non-dropping-particle":"","parse-names":false,"suffix":""},{"dropping-particle":"","family":"Fuller","given":"Tova F.","non-dropping-particle":"","parse-names":false,"suffix":""},{"dropping-particle":"","family":"Strengman","given":"Eric","non-dropping-particle":"","parse-names":false,"suffix":""},{"dropping-particle":"","family":"Janson","given":"Esther","non-dropping-particle":"","parse-names":false,"suffix":""},{"dropping-particle":"","family":"Kovel","given":"Carolien G. F.","non-dropping-particle":"de","parse-names":false,"suffix":""},{"dropping-particle":"","family":"Ori","given":"Anil P. S.","non-dropping-particle":"","parse-names":false,"suffix":""},{"dropping-particle":"","family":"Vi","given":"Nancy","non-dropping-particle":"","parse-names":false,"suffix":""},{"dropping-particle":"","family":"Mulder","given":"Flip","non-dropping-particle":"","parse-names":false,"suffix":""},{"dropping-particle":"","family":"Blom","given":"Jan Dirk","non-dropping-particle":"","parse-names":false,"suffix":""},{"dropping-particle":"","family":"Glenthøj","given":"Birte","non-dropping-particle":"","parse-names":false,"suffix":""},{"dropping-particle":"","family":"Schubart","given":"Chris D.","non-dropping-particle":"","parse-names":false,"suffix":""},{"dropping-particle":"","family":"Cahn","given":"Wiepke","non-dropping-particle":"","parse-names":false,"suffix":""},{"dropping-particle":"","family":"Kahn","given":"René S.","non-dropping-particle":"","parse-names":false,"suffix":""},{"dropping-particle":"","family":"Horvath","given":"Steve","non-dropping-particle":"","parse-names":false,"suffix":""},{"dropping-particle":"","family":"Ophoff","given":"Roel A.","non-dropping-particle":"","parse-names":false,"suffix":""}],"container-title":"PLoS ONE","editor":[{"dropping-particle":"","family":"Mazza","given":"Marianna","non-dropping-particle":"","parse-names":false,"suffix":""}],"id":"ITEM-1","issue":"6","issued":{"date-parts":[["2012","6","27"]]},"page":"e39498","title":"A Gene Co-Expression Network in Whole Blood of Schizophrenia Patients Is Independent of Antipsychotic-Use and Enriched for Brain-Expressed Genes","type":"article-journal","volume":"7"},"uris":["http://www.mendeley.com/documents/?uuid=a97c192d-4556-3ebd-93d5-e4851ba76fd4"]}],"mendeley":{"formattedCitation":"&lt;sup&gt;2&lt;/sup&gt;","plainTextFormattedCitation":"2","previouslyFormattedCitation":"&lt;sup&gt;2&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2</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GSE48072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{"citationItems":[{"id":"ITEM-1","itemData":{"DOI":"10.1038/nn.3484","ISSN":"10976256","PMID":"23912948","abstract":"Implicating particular genes in the generation of complex brain and behavior phenotypes requires multiple lines of evidence. The rarity of most high-impact genetic variants typically precludes the possibility of accruing statistical evidence that they are associated with a given trait. We found that the enrichment of a rare chromosome 22q11.22 deletion in a recently expanded Northern Finnish sub-isolate enabled the detection of association between TOP3B and both schizophrenia and cognitive impairment. Biochemical analysis of TOP3β revealed that this topoisomerase was a component of cytosolic messenger ribonucleoproteins (mRNPs) and was catalytically active on RNA. The recruitment of TOP3β to mRNPs was independent of RNA cis-elements and was coupled to the co-recruitment of FMRP, the disease gene product in fragile X mental retardation syndrome. Our results indicate a previously unknown role for TOP3β in mRNA metabolism and suggest that it is involved in neurodevelopmental disorders. © 2013 Nature America, Inc. All rights reserved.","author":[{"dropping-particle":"","family":"Stoll","given":"Georg","non-dropping-particle":"","parse-names":false,"suffix":""},{"dropping-particle":"","family":"Pietiläinen","given":"Olli P.H.","non-dropping-particle":"","parse-names":false,"suffix":""},{"dropping-particle":"","family":"Linder","given":"Bastian","non-dropping-particle":"","parse-names":false,"suffix":""},{"dropping-particle":"","family":"Suvisaari","given":"Jaana","non-dropping-particle":"","parse-names":false,"suffix":""},{"dropping-particle":"","family":"Brosi","given":"Cornelia","non-dropping-particle":"","parse-names":false,"suffix":""},{"dropping-particle":"","family":"Hennah","given":"William","non-dropping-particle":"","parse-names":false,"suffix":""},{"dropping-particle":"","family":"Leppä","given":"Virpi","non-dropping-particle":"","parse-names":false,"suffix":""},{"dropping-particle":"","family":"Torniainen","given":"Minna","non-dropping-particle":"","parse-names":false,"suffix":""},{"dropping-particle":"","family":"Ripatti","given":"Samuli","non-dropping-particle":"","parse-names":false,"suffix":""},{"dropping-particle":"","family":"Ala-Mello","given":"Sirpa","non-dropping-particle":"","parse-names":false,"suffix":""},{"dropping-particle":"","family":"Plöttner","given":"Oliver","non-dropping-particle":"","parse-names":false,"suffix":""},{"dropping-particle":"","family":"Rehnström","given":"Karola","non-dropping-particle":"","parse-names":false,"suffix":""},{"dropping-particle":"","family":"Tuulio-Henriksson","given":"Annamari","non-dropping-particle":"","parse-names":false,"suffix":""},{"dropping-particle":"","family":"Varilo","given":"Teppo","non-dropping-particle":"","parse-names":false,"suffix":""},{"dropping-particle":"","family":"Tallila","given":"Jonna","non-dropping-particle":"","parse-names":false,"suffix":""},{"dropping-particle":"","family":"Kristiansson","given":"Kati","non-dropping-particle":"","parse-names":false,"suffix":""},{"dropping-particle":"","family":"Isohanni","given":"Matti","non-dropping-particle":"","parse-names":false,"suffix":""},{"dropping-particle":"","family":"Kaprio","given":"Jaakko","non-dropping-particle":"","parse-names":false,"suffix":""},{"dropping-particle":"","family":"Eriksson","given":"Johan G.","non-dropping-particle":"","parse-names":false,"suffix":""},{"dropping-particle":"","family":"Raitakari","given":"Olli T.","non-dropping-particle":"","parse-names":false,"suffix":""},{"dropping-particle":"","family":"Lehtimäki","given":"Terho","non-dropping-particle":"","parse-names":false,"suffix":""},{"dropping-particle":"","family":"Jarvelin","given":"Marjo Riitta","non-dropping-particle":"","parse-names":false,"suffix":""},{"dropping-particle":"","family":"Salomaa","given":"Veikko","non-dropping-particle":"","parse-names":false,"suffix":""},{"dropping-particle":"","family":"Hurles","given":"Matthew","non-dropping-particle":"","parse-names":false,"suffix":""},{"dropping-particle":"","family":"Stefansson","given":"Hreinn","non-dropping-particle":"","parse-names":false,"suffix":""},{"dropping-particle":"","family":"Peltonen","given":"Leena","non-dropping-particle":"","parse-names":false,"suffix":""},{"dropping-particle":"","family":"Sullivan","given":"Patrick F.","non-dropping-particle":"","parse-names":false,"suffix":""},{"dropping-particle":"","family":"Paunio","given":"Tiina","non-dropping-particle":"","parse-names":false,"suffix":""},{"dropping-particle":"","family":"Lönnqvist","given":"Jouko","non-dropping-particle":"","parse-names":false,"suffix":""},{"dropping-particle":"","family":"Daly","given":"Mark J.","non-dropping-particle":"","parse-names":false,"suffix":""},{"dropping-particle":"","family":"Fischer","given":"Utz","non-dropping-particle":"","parse-names":false,"suffix":""},{"dropping-particle":"","family":"Freimer","given":"Nelson B.","non-dropping-particle":"","parse-names":false,"suffix":""},{"dropping-particle":"","family":"Palotie","given":"Aarno","non-dropping-particle":"","parse-names":false,"suffix":""}],"container-title":"Nature Neuroscience","id":"ITEM-1","issue":"9","issued":{"date-parts":[["2013","9"]]},"page":"1228-1237","publisher":"Nat Neurosci","title":"Deletion of TOP3β, a component of FMRP-containing mRNPs, contributes to neurodevelopmental disorders","type":"article-journal","volume":"16"},"uris":["http://www.mendeley.com/documents/?uuid=ca0fad7b-944e-3c74-8b6f-ef43ff89a6fa"]}],"mendeley":{"formattedCitation":"&lt;sup&gt;3&lt;/sup&gt;","plainTextFormattedCitation":"3","previouslyFormattedCitation":"&lt;sup&gt;3&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3</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GSE54913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{"citationItems":[{"id":"ITEM-1","itemData":{"DOI":"10.1038/srep16767","ISSN":"2045-2322","PMID":"26733343","abstract":"To identify gene expression abnormalities in schizophrenia (SZ), we generated whole-genome gene expression profiles using microarrays on peripheral blood mononuclear cells (PBMCs) from 18 early-onset SZ cases and 12 controls. We detected 84 transcripts differentially expressed by diagnostic status, with 82 genes being upregulated and 2 downregulated. We identified two SZ associated gene coexpression modules (green and red), including 446 genes . The green module is positively correlated with SZ, encompassing predominantly up-regulated genes in SZ; while the red module was negatively correlated with disease status, involving mostly nominally down-regulated genes in SZ. The olfactory transduction pathway was the most enriched pathways for the genes within the two modules. The expression levels of several hub genes, including AKT1, BRCA1, CCDC134, UBD, and ZIC2 were validated using real-time quantitative PCR. Our findings indicate that mRNA coexpression abnormalities may serve as a promising mechanism underlying the development of SZ.","author":[{"dropping-particle":"","family":"Xu","given":"Yong","non-dropping-particle":"","parse-names":false,"suffix":""},{"dropping-particle":"","family":"Yao Shugart","given":"Yin","non-dropping-particle":"","parse-names":false,"suffix":""},{"dropping-particle":"","family":"Wang","given":"Guoqiang","non-dropping-particle":"","parse-names":false,"suffix":""},{"dropping-particle":"","family":"Cheng","given":"Zaohuo","non-dropping-particle":"","parse-names":false,"suffix":""},{"dropping-particle":"","family":"Jin","given":"Chunhui","non-dropping-particle":"","parse-names":false,"suffix":""},{"dropping-particle":"","family":"Zhang","given":"Kai","non-dropping-particle":"","parse-names":false,"suffix":""},{"dropping-particle":"","family":"Wang","given":"Jun","non-dropping-particle":"","parse-names":false,"suffix":""},{"dropping-particle":"","family":"Yu","given":"Hao","non-dropping-particle":"","parse-names":false,"suffix":""},{"dropping-particle":"","family":"Yue","given":"Weihua","non-dropping-particle":"","parse-names":false,"suffix":""},{"dropping-particle":"","family":"Zhang","given":"Fuquan","non-dropping-particle":"","parse-names":false,"suffix":""},{"dropping-particle":"","family":"Zhang","given":"Dai","non-dropping-particle":"","parse-names":false,"suffix":""}],"container-title":"Scientific Reports","id":"ITEM-1","issue":"1","issued":{"date-parts":[["2016","5","6"]]},"page":"16767","title":"Altered expression of mRNA profiles in blood of early-onset schizophrenia","type":"article-journal","volume":"6"},"uris":["http://www.mendeley.com/documents/?uuid=12bb3019-62ae-3940-9706-511f00f65865"]}],"mendeley":{"formattedCitation":"&lt;sup&gt;4&lt;/sup&gt;","plainTextFormattedCitation":"4","previouslyFormattedCitation":"&lt;sup&gt;4&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4</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Kumarasinghe et al.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{"citationItems":[{"id":"ITEM-1","itemData":{"DOI":"10.1017/S1461145713000035","ISSN":"1461-1457","PMID":"23442539","abstract":"Distinct gene expression profiles can be detected in peripheral blood mononuclear cells (PBMCs) in patients with schizophrenia; however, little is known about the effects of antipsychotic medication. This study compared gene expression profiles in PMBCs from treatment-naive patients with schizophrenia before and after antipsychotic drug treatment. PBMCs were obtained from 10 treatment-naive schizophrenia patients before and 6 wk after initiating antipsychotic drug treatment and compared to PMBCs collected from 11 healthy community volunteers. Genome-wide expression profiling was conducted using Illumina HumanHT-12 expression bead arrays and analysed using significance analysis of microarrays. This analysis identified 624 genes with altered expression (208 up-regulated, 416 down-regulated) prior to antipsychotic treatment (p &lt; 0.05) including schizophrenia-associated genes AKT1, DISC1 and DGCR6. After 6-8 wk treatment of patients with risperidone or risperidone in combination with haloperidol, only 106 genes were altered, suggesting that the treatment corrected the expression of a large proportion of genes back to control levels. However, 67 genes continued to show the same directional change in expression after treatment. Ingenuity® pathway analysis and gene set enrichment analysis implicated dysregulation of biological functions and pathways related to inflammation and immunity in patients with schizophrenia. A number of the top canonical pathways dysregulated in treatment-naive patients signal through AKT1 that was up-regulated. After treatment, AKT1 returned to control levels and less dysregulation of these canonical pathways was observed. This study supports immune dysfunction and pathways involving AKT1 in the aetiopathophysiology of schizophrenia and their response to antipsychotic medication.","author":[{"dropping-particle":"","family":"Kumarasinghe","given":"Nishantha","non-dropping-particle":"","parse-names":false,"suffix":""},{"dropping-particle":"","family":"Beveridge","given":"Natalie J.","non-dropping-particle":"","parse-names":false,"suffix":""},{"dropping-particle":"","family":"Gardiner","given":"Erin","non-dropping-particle":"","parse-names":false,"suffix":""},{"dropping-particle":"","family":"Scott","given":"Rodney J.","non-dropping-particle":"","parse-names":false,"suffix":""},{"dropping-particle":"","family":"Yasawardene","given":"Surangi","non-dropping-particle":"","parse-names":false,"suffix":""},{"dropping-particle":"","family":"Perera","given":"Antoinette","non-dropping-particle":"","parse-names":false,"suffix":""},{"dropping-particle":"","family":"Mendis","given":"Jayan","non-dropping-particle":"","parse-names":false,"suffix":""},{"dropping-particle":"","family":"Suriyakumara","given":"Kanishka","non-dropping-particle":"","parse-names":false,"suffix":""},{"dropping-particle":"","family":"Schall","given":"Ulrich","non-dropping-particle":"","parse-names":false,"suffix":""},{"dropping-particle":"","family":"Tooney","given":"Paul A.","non-dropping-particle":"","parse-names":false,"suffix":""}],"container-title":"The International Journal of Neuropsychopharmacology","id":"ITEM-1","issue":"07","issued":{"date-parts":[["2013","8","27"]]},"page":"1483-1503","title":"Gene expression profiling in treatment-naive schizophrenia patients identifies abnormalities in biological pathways involving AKT1 that are corrected by antipsychotic medication","type":"article-journal","volume":"16"},"uris":["http://www.mendeley.com/documents/?uuid=8e79acbe-0dcd-3b4e-a450-678fe9866508"]}],"mendeley":{"formattedCitation":"&lt;sup&gt;5&lt;/sup&gt;","plainTextFormattedCitation":"5","previouslyFormattedCitation":"&lt;sup&gt;5&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5</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and GSE27383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{"citationItems":[{"id":"ITEM-1","itemData":{"DOI":"10.1371/journal.pone.0032618","ISSN":"19326203","PMID":"22393424","abstract":"Background: Recent studies have suggested that deregulated AKT1 signaling is associated with schizophrenia. We hypothesized that if this is indeed the case, we should observe both decreased AKT1 expression as well as deregulation of AKT1 regulated pathways in Peripheral Blood Mononuclear Cells (PBMCs) of schizophrenia patients. Objectives: To examine PBMC expression levels of AKT1 in schizophrenia patients versus controls, and to examine whether functional biological processes in which AKT1 plays an important role are deregulated in schizophrenia patients. Methods/Results: A case-control study, investigating whole-genome PBMC gene expression in male, recent onset (&lt;5 years) schizophrenia patients (N = 41) as compared to controls (N = 29). Genes, differentially expressed between patients and controls were identified using ANOVA with Benjamini-Hochberg correction (false discovery rate (FDR) = 0.05). Functional aspects of the deregulated set of genes were investigated with the Ingenuity Pathway Analysis (IPA) Software Tool. We found significantly decreased PBMC expression of AKT1 (p&lt;0.001, t = -4.25) in the patients. AKT1 expression was decreased in antipsychotic-free or -naive patients (N = 11), in florid psychotic (N = 20) and in remitted (N = 21) patients. A total of 1224 genes were differentially expressed between patients and controls (FDR = 0.05). Functional analysis of the entire deregulated gene set indicated deregulated canonical pathways involved in a large number of cellular processes: immune system, cell adhesion and neuronal guidance, neurotrophins and (neural) growth factors, oxidative stress and glucose metabolism, and apoptosis and cell-cycle regulation. Many of these processes are associated with AKT1. Conclusions: We show significantly decreased PBMC gene expression of AKT1 in male, recent-onset schizophrenia patients. Our observations suggest that decreased PBMC AKT1 expression is a stable trait in recent onset, male schizophrenia patients. We identified several AKT related cellular processes which are potentially affected in these patients, a majority of which play a prominent role in current schizophrenia hypotheses. © 2012 van Beveren et al.","author":[{"dropping-particle":"","family":"Beveren","given":"Nico J.M.","non-dropping-particle":"van","parse-names":false,"suffix":""},{"dropping-particle":"","family":"Buitendijk","given":"Gabrielle H.S.","non-dropping-particle":"","parse-names":false,"suffix":""},{"dropping-particle":"","family":"Swagemakers","given":"Sigrid","non-dropping-particle":"","parse-names":false,"suffix":""},{"dropping-particle":"","family":"Krab","given":"Lianne C.","non-dropping-particle":"","parse-names":false,"suffix":""},{"dropping-particle":"","family":"Röder","given":"Christian","non-dropping-particle":"","parse-names":false,"suffix":""},{"dropping-particle":"","family":"Haan","given":"Lieuwe","non-dropping-particle":"de","parse-names":false,"suffix":""},{"dropping-particle":"","family":"Spek","given":"Peter","non-dropping-particle":"van der","parse-names":false,"suffix":""},{"dropping-particle":"","family":"Elgersma","given":"Ype","non-dropping-particle":"","parse-names":false,"suffix":""}],"container-title":"PLoS ONE","id":"ITEM-1","issue":"2","issued":{"date-parts":[["2012","2","29"]]},"publisher":"PLoS One","title":"Marked reduction of AKT1 expression and deregulation of AKT1-associated pathways in peripheral blood mononuclear cells of schizophrenia patients","type":"article-journal","volume":"7"},"uris":["http://www.mendeley.com/documents/?uuid=6f901851-c3ed-3fac-87e2-02fa2526713f"]}],"mendeley":{"formattedCitation":"&lt;sup&gt;6&lt;/sup&gt;","plainTextFormattedCitation":"6","previouslyFormattedCitation":"&lt;sup&gt;6&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6</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w:t>
      </w:r>
    </w:p>
    <w:p w:rsidR="00F16278" w:rsidRPr="00CC4D2B" w:rsidRDefault="00F16278" w:rsidP="00A81EE8">
      <w:pPr>
        <w:spacing w:line="480" w:lineRule="auto"/>
        <w:jc w:val="both"/>
        <w:rPr>
          <w:color w:val="000000"/>
          <w:lang w:val="en-US"/>
        </w:rPr>
      </w:pPr>
      <w:r w:rsidRPr="00CC4D2B">
        <w:rPr>
          <w:color w:val="000000"/>
          <w:lang w:val="en-US"/>
        </w:rPr>
        <w:br w:type="page"/>
      </w:r>
      <w:r w:rsidR="007025CF">
        <w:rPr>
          <w:noProof/>
          <w:color w:val="000000"/>
          <w:lang w:eastAsia="en-IN"/>
        </w:rPr>
        <w:lastRenderedPageBreak/>
        <w:drawing>
          <wp:inline distT="0" distB="0" distL="0" distR="0">
            <wp:extent cx="5730875" cy="532701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30875" cy="5327015"/>
                    </a:xfrm>
                    <a:prstGeom prst="rect">
                      <a:avLst/>
                    </a:prstGeom>
                    <a:noFill/>
                    <a:ln w="9525">
                      <a:noFill/>
                      <a:miter lim="800000"/>
                      <a:headEnd/>
                      <a:tailEnd/>
                    </a:ln>
                  </pic:spPr>
                </pic:pic>
              </a:graphicData>
            </a:graphic>
          </wp:inline>
        </w:drawing>
      </w:r>
    </w:p>
    <w:p w:rsidR="00A81EE8" w:rsidRPr="00CC4D2B" w:rsidRDefault="00F16278" w:rsidP="00A81EE8">
      <w:pPr>
        <w:spacing w:line="360" w:lineRule="auto"/>
        <w:jc w:val="both"/>
        <w:rPr>
          <w:rFonts w:ascii="Arial" w:hAnsi="Arial" w:cs="Arial"/>
          <w:color w:val="000000"/>
          <w:sz w:val="20"/>
          <w:szCs w:val="20"/>
          <w:lang w:val="en-US"/>
        </w:rPr>
      </w:pPr>
      <w:r w:rsidRPr="00CC4D2B">
        <w:rPr>
          <w:rFonts w:ascii="Arial" w:hAnsi="Arial" w:cs="Arial"/>
          <w:b/>
          <w:color w:val="000000"/>
          <w:sz w:val="20"/>
          <w:szCs w:val="20"/>
          <w:lang w:val="en-US"/>
        </w:rPr>
        <w:t xml:space="preserve">Supplementary </w:t>
      </w:r>
      <w:r w:rsidR="00791719" w:rsidRPr="00CC4D2B">
        <w:rPr>
          <w:rFonts w:ascii="Arial" w:hAnsi="Arial" w:cs="Arial"/>
          <w:b/>
          <w:color w:val="000000"/>
          <w:sz w:val="20"/>
          <w:szCs w:val="20"/>
          <w:lang w:val="en-US"/>
        </w:rPr>
        <w:t>F</w:t>
      </w:r>
      <w:r w:rsidRPr="00CC4D2B">
        <w:rPr>
          <w:rFonts w:ascii="Arial" w:hAnsi="Arial" w:cs="Arial"/>
          <w:b/>
          <w:color w:val="000000"/>
          <w:sz w:val="20"/>
          <w:szCs w:val="20"/>
          <w:lang w:val="en-US"/>
        </w:rPr>
        <w:t>igure 3:</w:t>
      </w:r>
      <w:r w:rsidRPr="00CC4D2B">
        <w:rPr>
          <w:rFonts w:ascii="Arial" w:hAnsi="Arial" w:cs="Arial"/>
          <w:color w:val="000000"/>
          <w:sz w:val="20"/>
          <w:szCs w:val="20"/>
          <w:lang w:val="en-US"/>
        </w:rPr>
        <w:t xml:space="preserve"> Principal components analysis (PCA) plots before and after batch correction. A and C) Test samples from the test and independent dataset were visualized on PCA plots with respect to the train data. B and D) Test samples were batch-corrected using train data as reference and were visualized using PCA plots. The plots from iteration one </w:t>
      </w:r>
      <w:proofErr w:type="gramStart"/>
      <w:r w:rsidRPr="00CC4D2B">
        <w:rPr>
          <w:rFonts w:ascii="Arial" w:hAnsi="Arial" w:cs="Arial"/>
          <w:color w:val="000000"/>
          <w:sz w:val="20"/>
          <w:szCs w:val="20"/>
          <w:lang w:val="en-US"/>
        </w:rPr>
        <w:t>w</w:t>
      </w:r>
      <w:r w:rsidR="00791719" w:rsidRPr="00CC4D2B">
        <w:rPr>
          <w:rFonts w:ascii="Arial" w:hAnsi="Arial" w:cs="Arial"/>
          <w:color w:val="000000"/>
          <w:sz w:val="20"/>
          <w:szCs w:val="20"/>
          <w:lang w:val="en-US"/>
        </w:rPr>
        <w:t>ere</w:t>
      </w:r>
      <w:proofErr w:type="gramEnd"/>
      <w:r w:rsidRPr="00CC4D2B">
        <w:rPr>
          <w:rFonts w:ascii="Arial" w:hAnsi="Arial" w:cs="Arial"/>
          <w:color w:val="000000"/>
          <w:sz w:val="20"/>
          <w:szCs w:val="20"/>
          <w:lang w:val="en-US"/>
        </w:rPr>
        <w:t xml:space="preserve"> used as representative image</w:t>
      </w:r>
      <w:r w:rsidR="00791719" w:rsidRPr="00CC4D2B">
        <w:rPr>
          <w:rFonts w:ascii="Arial" w:hAnsi="Arial" w:cs="Arial"/>
          <w:color w:val="000000"/>
          <w:sz w:val="20"/>
          <w:szCs w:val="20"/>
          <w:lang w:val="en-US"/>
        </w:rPr>
        <w:t>s</w:t>
      </w:r>
      <w:r w:rsidRPr="00CC4D2B">
        <w:rPr>
          <w:rFonts w:ascii="Arial" w:hAnsi="Arial" w:cs="Arial"/>
          <w:color w:val="000000"/>
          <w:sz w:val="20"/>
          <w:szCs w:val="20"/>
          <w:lang w:val="en-US"/>
        </w:rPr>
        <w:t>.</w:t>
      </w:r>
      <w:r w:rsidR="00F209D1" w:rsidRPr="00CC4D2B">
        <w:rPr>
          <w:rFonts w:ascii="Arial" w:hAnsi="Arial" w:cs="Arial"/>
          <w:color w:val="000000"/>
          <w:sz w:val="20"/>
          <w:szCs w:val="20"/>
          <w:lang w:val="en-US"/>
        </w:rPr>
        <w:t xml:space="preserve"> </w:t>
      </w:r>
      <w:r w:rsidR="00A81EE8" w:rsidRPr="00CC4D2B">
        <w:rPr>
          <w:rFonts w:ascii="Arial" w:hAnsi="Arial" w:cs="Arial"/>
          <w:color w:val="000000"/>
          <w:sz w:val="20"/>
          <w:szCs w:val="20"/>
          <w:lang w:val="en-US"/>
        </w:rPr>
        <w:t>(</w:t>
      </w:r>
      <w:r w:rsidR="00A81EE8" w:rsidRPr="00CC4D2B">
        <w:rPr>
          <w:rFonts w:ascii="Arial" w:hAnsi="Arial" w:cs="Arial"/>
          <w:b/>
          <w:color w:val="000000"/>
          <w:sz w:val="20"/>
          <w:szCs w:val="20"/>
          <w:lang w:val="en-US"/>
        </w:rPr>
        <w:t>Note</w:t>
      </w:r>
      <w:r w:rsidR="00A81EE8" w:rsidRPr="00CC4D2B">
        <w:rPr>
          <w:rFonts w:ascii="Arial" w:hAnsi="Arial" w:cs="Arial"/>
          <w:color w:val="000000"/>
          <w:sz w:val="20"/>
          <w:szCs w:val="20"/>
          <w:lang w:val="en-US"/>
        </w:rPr>
        <w:t xml:space="preserve">: The PCA plots display data from the studies: GSE18312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{"citationItems":[{"id":"ITEM-1","itemData":{"DOI":"10.1002/ajmg.b.31006","ISSN":"1552-485X","PMID":"19582768","abstract":"Schizophrenia (SCZ) and bipolar disorder (BPD) are polygenic disorders with many genes contributing to their etiologies. The aim of this investigation was to search for dysregulated molecular and cellular pathways for these disorders as well as psychosis. We conducted a blood-based microarray investigation in two independent samples with SCZ and BPD from San Diego (SCZ = 13, BPD = 9, control = 8) and Taiwan (SCZ = 11, BPD = 14, control = 16). Diagnostic groups were compared to controls, and subjects with a history of psychosis [PSYCH(+): San Diego (n = 6), Taiwan (n = 14)] were compared to subjects without such history [PSYCH(-): San Diego (n = 11), Taiwan (n = 14)]. Analyses of covariance comparing mean expression levels on a gene-by-gene basis were conducted to generate the top 100 significantly dysregulated gene lists for both samples by each diagnostic group. Gene lists were imported into Ingenuity Pathway Analysis (IPA) software. Results showed the ubiquitin proteasome pathway (UPS) was listed in the top ten canonical pathways for BPD and psychosis diagnostic groups across both samples with a considerably low likelihood of a chance occurrence (P = 0.001). No overlap in dysregulated genes populating these pathways was observed between the two independent samples. Findings provide preliminary evidence of UPS dysregulation in BPD and psychosis as well as support further investigation of the UPS and other molecular and cellular pathways for potential biomarkers for SCZ, BPD, and/or psychosis.","author":[{"dropping-particle":"","family":"Bousman","given":"Chad A","non-dropping-particle":"","parse-names":false,"suffix":""},{"dropping-particle":"","family":"Chana","given":"Gursharan","non-dropping-particle":"","parse-names":false,"suffix":""},{"dropping-particle":"","family":"Glatt","given":"Stephen J","non-dropping-particle":"","parse-names":false,"suffix":""},{"dropping-particle":"","family":"Chandler","given":"Sharon D","non-dropping-particle":"","parse-names":false,"suffix":""},{"dropping-particle":"","family":"Lucero","given":"Ginger R","non-dropping-particle":"","parse-names":false,"suffix":""},{"dropping-particle":"","family":"Tatro","given":"Erick","non-dropping-particle":"","parse-names":false,"suffix":""},{"dropping-particle":"","family":"May","given":"Todd","non-dropping-particle":"","parse-names":false,"suffix":""},{"dropping-particle":"","family":"Lohr","given":"James B","non-dropping-particle":"","parse-names":false,"suffix":""},{"dropping-particle":"","family":"Kremen","given":"William S","non-dropping-particle":"","parse-names":false,"suffix":""},{"dropping-particle":"","family":"Tsuang","given":"Ming T","non-dropping-particle":"","parse-names":false,"suffix":""},{"dropping-particle":"","family":"Everall","given":"Ian P","non-dropping-particle":"","parse-names":false,"suffix":""}],"container-title":"American journal of medical genetics. Part B, Neuropsychiatric genetics : the official publication of the International Society of Psychiatric Genetics","id":"ITEM-1","issue":"2","issued":{"date-parts":[["2010","3","5"]]},"page":"494-502","title":"Preliminary evidence of ubiquitin proteasome system dysregulation in schizophrenia and bipolar disorder: convergent pathway analysis findings from two independent samples.","type":"article-journal","volume":"153B"},"uris":["http://www.mendeley.com/documents/?uuid=bcd5202e-bdcb-3909-b446-42be7685a931"]}],"mendeley":{"formattedCitation":"&lt;sup&gt;1&lt;/sup&gt;","plainTextFormattedCitation":"1","previouslyFormattedCitation":"&lt;sup&gt;1&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1</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GSE38481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{"citationItems":[{"id":"ITEM-1","itemData":{"DOI":"10.1371/journal.pone.0039498","ISSN":"1932-6203","PMID":"22761806","abstract":"Despite large-scale genome-wide association studies (GWAS), the underlying genes for schizophrenia are largely unknown. Additional approaches are therefore required to identify the genetic background of this disorder. Here we report findings from a large gene expression study in peripheral blood of schizophrenia patients and controls. We applied a systems biology approach to genome-wide expression data from whole blood of 92 medicated and 29 antipsychotic-free schizophrenia patients and 118 healthy controls. We show that gene expression profiling in whole blood can identify twelve large gene co-expression modules associated with schizophrenia. Several of these disease related modules are likely to reflect expression changes due to antipsychotic medication. However, two of the disease modules could be replicated in an independent second data set involving antipsychotic-free patients and controls. One of these robustly defined disease modules is significantly enriched with brain-expressed genes and with genetic variants that were implicated in a GWAS study, which could imply a causal role in schizophrenia etiology. The most highly connected intramodular hub gene in this module (ABCF1), is located in, and regulated by the major histocompatibility (MHC) complex, which is intriguing in light of the fact that common allelic variants from the MHC region have been implicated in schizophrenia. This suggests that the MHC increases schizophrenia susceptibility via altered gene expression of regulatory genes in this network.","author":[{"dropping-particle":"","family":"Jong","given":"Simone","non-dropping-particle":"de","parse-names":false,"suffix":""},{"dropping-particle":"","family":"Boks","given":"Marco P. M.","non-dropping-particle":"","parse-names":false,"suffix":""},{"dropping-particle":"","family":"Fuller","given":"Tova F.","non-dropping-particle":"","parse-names":false,"suffix":""},{"dropping-particle":"","family":"Strengman","given":"Eric","non-dropping-particle":"","parse-names":false,"suffix":""},{"dropping-particle":"","family":"Janson","given":"Esther","non-dropping-particle":"","parse-names":false,"suffix":""},{"dropping-particle":"","family":"Kovel","given":"Carolien G. F.","non-dropping-particle":"de","parse-names":false,"suffix":""},{"dropping-particle":"","family":"Ori","given":"Anil P. S.","non-dropping-particle":"","parse-names":false,"suffix":""},{"dropping-particle":"","family":"Vi","given":"Nancy","non-dropping-particle":"","parse-names":false,"suffix":""},{"dropping-particle":"","family":"Mulder","given":"Flip","non-dropping-particle":"","parse-names":false,"suffix":""},{"dropping-particle":"","family":"Blom","given":"Jan Dirk","non-dropping-particle":"","parse-names":false,"suffix":""},{"dropping-particle":"","family":"Glenthøj","given":"Birte","non-dropping-particle":"","parse-names":false,"suffix":""},{"dropping-particle":"","family":"Schubart","given":"Chris D.","non-dropping-particle":"","parse-names":false,"suffix":""},{"dropping-particle":"","family":"Cahn","given":"Wiepke","non-dropping-particle":"","parse-names":false,"suffix":""},{"dropping-particle":"","family":"Kahn","given":"René S.","non-dropping-particle":"","parse-names":false,"suffix":""},{"dropping-particle":"","family":"Horvath","given":"Steve","non-dropping-particle":"","parse-names":false,"suffix":""},{"dropping-particle":"","family":"Ophoff","given":"Roel A.","non-dropping-particle":"","parse-names":false,"suffix":""}],"container-title":"PLoS ONE","editor":[{"dropping-particle":"","family":"Mazza","given":"Marianna","non-dropping-particle":"","parse-names":false,"suffix":""}],"id":"ITEM-1","issue":"6","issued":{"date-parts":[["2012","6","27"]]},"page":"e39498","title":"A Gene Co-Expression Network in Whole Blood of Schizophrenia Patients Is Independent of Antipsychotic-Use and Enriched for Brain-Expressed Genes","type":"article-journal","volume":"7"},"uris":["http://www.mendeley.com/documents/?uuid=a97c192d-4556-3ebd-93d5-e4851ba76fd4"]}],"mendeley":{"formattedCitation":"&lt;sup&gt;2&lt;/sup&gt;","plainTextFormattedCitation":"2","previouslyFormattedCitation":"&lt;sup&gt;2&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2</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GSE38484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{"citationItems":[{"id":"ITEM-1","itemData":{"DOI":"10.1371/journal.pone.0039498","ISSN":"1932-6203","PMID":"22761806","abstract":"Despite large-scale genome-wide association studies (GWAS), the underlying genes for schizophrenia are largely unknown. Additional approaches are therefore required to identify the genetic background of this disorder. Here we report findings from a large gene expression study in peripheral blood of schizophrenia patients and controls. We applied a systems biology approach to genome-wide expression data from whole blood of 92 medicated and 29 antipsychotic-free schizophrenia patients and 118 healthy controls. We show that gene expression profiling in whole blood can identify twelve large gene co-expression modules associated with schizophrenia. Several of these disease related modules are likely to reflect expression changes due to antipsychotic medication. However, two of the disease modules could be replicated in an independent second data set involving antipsychotic-free patients and controls. One of these robustly defined disease modules is significantly enriched with brain-expressed genes and with genetic variants that were implicated in a GWAS study, which could imply a causal role in schizophrenia etiology. The most highly connected intramodular hub gene in this module (ABCF1), is located in, and regulated by the major histocompatibility (MHC) complex, which is intriguing in light of the fact that common allelic variants from the MHC region have been implicated in schizophrenia. This suggests that the MHC increases schizophrenia susceptibility via altered gene expression of regulatory genes in this network.","author":[{"dropping-particle":"","family":"Jong","given":"Simone","non-dropping-particle":"de","parse-names":false,"suffix":""},{"dropping-particle":"","family":"Boks","given":"Marco P. M.","non-dropping-particle":"","parse-names":false,"suffix":""},{"dropping-particle":"","family":"Fuller","given":"Tova F.","non-dropping-particle":"","parse-names":false,"suffix":""},{"dropping-particle":"","family":"Strengman","given":"Eric","non-dropping-particle":"","parse-names":false,"suffix":""},{"dropping-particle":"","family":"Janson","given":"Esther","non-dropping-particle":"","parse-names":false,"suffix":""},{"dropping-particle":"","family":"Kovel","given":"Carolien G. F.","non-dropping-particle":"de","parse-names":false,"suffix":""},{"dropping-particle":"","family":"Ori","given":"Anil P. S.","non-dropping-particle":"","parse-names":false,"suffix":""},{"dropping-particle":"","family":"Vi","given":"Nancy","non-dropping-particle":"","parse-names":false,"suffix":""},{"dropping-particle":"","family":"Mulder","given":"Flip","non-dropping-particle":"","parse-names":false,"suffix":""},{"dropping-particle":"","family":"Blom","given":"Jan Dirk","non-dropping-particle":"","parse-names":false,"suffix":""},{"dropping-particle":"","family":"Glenthøj","given":"Birte","non-dropping-particle":"","parse-names":false,"suffix":""},{"dropping-particle":"","family":"Schubart","given":"Chris D.","non-dropping-particle":"","parse-names":false,"suffix":""},{"dropping-particle":"","family":"Cahn","given":"Wiepke","non-dropping-particle":"","parse-names":false,"suffix":""},{"dropping-particle":"","family":"Kahn","given":"René S.","non-dropping-particle":"","parse-names":false,"suffix":""},{"dropping-particle":"","family":"Horvath","given":"Steve","non-dropping-particle":"","parse-names":false,"suffix":""},{"dropping-particle":"","family":"Ophoff","given":"Roel A.","non-dropping-particle":"","parse-names":false,"suffix":""}],"container-title":"PLoS ONE","editor":[{"dropping-particle":"","family":"Mazza","given":"Marianna","non-dropping-particle":"","parse-names":false,"suffix":""}],"id":"ITEM-1","issue":"6","issued":{"date-parts":[["2012","6","27"]]},"page":"e39498","title":"A Gene Co-Expression Network in Whole Blood of Schizophrenia Patients Is Independent of Antipsychotic-Use and Enriched for Brain-Expressed Genes","type":"article-journal","volume":"7"},"uris":["http://www.mendeley.com/documents/?uuid=a97c192d-4556-3ebd-93d5-e4851ba76fd4"]}],"mendeley":{"formattedCitation":"&lt;sup&gt;2&lt;/sup&gt;","plainTextFormattedCitation":"2","previouslyFormattedCitation":"&lt;sup&gt;2&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2</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GSE48072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{"citationItems":[{"id":"ITEM-1","itemData":{"DOI":"10.1038/nn.3484","ISSN":"10976256","PMID":"23912948","abstract":"Implicating particular genes in the generation of complex brain and behavior phenotypes requires multiple lines of evidence. The rarity of most high-impact genetic variants typically precludes the possibility of accruing statistical evidence that they are associated with a given trait. We found that the enrichment of a rare chromosome 22q11.22 deletion in a recently expanded Northern Finnish sub-isolate enabled the detection of association between TOP3B and both schizophrenia and cognitive impairment. Biochemical analysis of TOP3β revealed that this topoisomerase was a component of cytosolic messenger ribonucleoproteins (mRNPs) and was catalytically active on RNA. The recruitment of TOP3β to mRNPs was independent of RNA cis-elements and was coupled to the co-recruitment of FMRP, the disease gene product in fragile X mental retardation syndrome. Our results indicate a previously unknown role for TOP3β in mRNA metabolism and suggest that it is involved in neurodevelopmental disorders. © 2013 Nature America, Inc. All rights reserved.","author":[{"dropping-particle":"","family":"Stoll","given":"Georg","non-dropping-particle":"","parse-names":false,"suffix":""},{"dropping-particle":"","family":"Pietiläinen","given":"Olli P.H.","non-dropping-particle":"","parse-names":false,"suffix":""},{"dropping-particle":"","family":"Linder","given":"Bastian","non-dropping-particle":"","parse-names":false,"suffix":""},{"dropping-particle":"","family":"Suvisaari","given":"Jaana","non-dropping-particle":"","parse-names":false,"suffix":""},{"dropping-particle":"","family":"Brosi","given":"Cornelia","non-dropping-particle":"","parse-names":false,"suffix":""},{"dropping-particle":"","family":"Hennah","given":"William","non-dropping-particle":"","parse-names":false,"suffix":""},{"dropping-particle":"","family":"Leppä","given":"Virpi","non-dropping-particle":"","parse-names":false,"suffix":""},{"dropping-particle":"","family":"Torniainen","given":"Minna","non-dropping-particle":"","parse-names":false,"suffix":""},{"dropping-particle":"","family":"Ripatti","given":"Samuli","non-dropping-particle":"","parse-names":false,"suffix":""},{"dropping-particle":"","family":"Ala-Mello","given":"Sirpa","non-dropping-particle":"","parse-names":false,"suffix":""},{"dropping-particle":"","family":"Plöttner","given":"Oliver","non-dropping-particle":"","parse-names":false,"suffix":""},{"dropping-particle":"","family":"Rehnström","given":"Karola","non-dropping-particle":"","parse-names":false,"suffix":""},{"dropping-particle":"","family":"Tuulio-Henriksson","given":"Annamari","non-dropping-particle":"","parse-names":false,"suffix":""},{"dropping-particle":"","family":"Varilo","given":"Teppo","non-dropping-particle":"","parse-names":false,"suffix":""},{"dropping-particle":"","family":"Tallila","given":"Jonna","non-dropping-particle":"","parse-names":false,"suffix":""},{"dropping-particle":"","family":"Kristiansson","given":"Kati","non-dropping-particle":"","parse-names":false,"suffix":""},{"dropping-particle":"","family":"Isohanni","given":"Matti","non-dropping-particle":"","parse-names":false,"suffix":""},{"dropping-particle":"","family":"Kaprio","given":"Jaakko","non-dropping-particle":"","parse-names":false,"suffix":""},{"dropping-particle":"","family":"Eriksson","given":"Johan G.","non-dropping-particle":"","parse-names":false,"suffix":""},{"dropping-particle":"","family":"Raitakari","given":"Olli T.","non-dropping-particle":"","parse-names":false,"suffix":""},{"dropping-particle":"","family":"Lehtimäki","given":"Terho","non-dropping-particle":"","parse-names":false,"suffix":""},{"dropping-particle":"","family":"Jarvelin","given":"Marjo Riitta","non-dropping-particle":"","parse-names":false,"suffix":""},{"dropping-particle":"","family":"Salomaa","given":"Veikko","non-dropping-particle":"","parse-names":false,"suffix":""},{"dropping-particle":"","family":"Hurles","given":"Matthew","non-dropping-particle":"","parse-names":false,"suffix":""},{"dropping-particle":"","family":"Stefansson","given":"Hreinn","non-dropping-particle":"","parse-names":false,"suffix":""},{"dropping-particle":"","family":"Peltonen","given":"Leena","non-dropping-particle":"","parse-names":false,"suffix":""},{"dropping-particle":"","family":"Sullivan","given":"Patrick F.","non-dropping-particle":"","parse-names":false,"suffix":""},{"dropping-particle":"","family":"Paunio","given":"Tiina","non-dropping-particle":"","parse-names":false,"suffix":""},{"dropping-particle":"","family":"Lönnqvist","given":"Jouko","non-dropping-particle":"","parse-names":false,"suffix":""},{"dropping-particle":"","family":"Daly","given":"Mark J.","non-dropping-particle":"","parse-names":false,"suffix":""},{"dropping-particle":"","family":"Fischer","given":"Utz","non-dropping-particle":"","parse-names":false,"suffix":""},{"dropping-particle":"","family":"Freimer","given":"Nelson B.","non-dropping-particle":"","parse-names":false,"suffix":""},{"dropping-particle":"","family":"Palotie","given":"Aarno","non-dropping-particle":"","parse-names":false,"suffix":""}],"container-title":"Nature Neuroscience","id":"ITEM-1","issue":"9","issued":{"date-parts":[["2013","9"]]},"page":"1228-1237","publisher":"Nat Neurosci","title":"Deletion of TOP3β, a component of FMRP-containing mRNPs, contributes to neurodevelopmental disorders","type":"article-journal","volume":"16"},"uris":["http://www.mendeley.com/documents/?uuid=ca0fad7b-944e-3c74-8b6f-ef43ff89a6fa"]}],"mendeley":{"formattedCitation":"&lt;sup&gt;3&lt;/sup&gt;","plainTextFormattedCitation":"3","previouslyFormattedCitation":"&lt;sup&gt;3&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3</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GSE54913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{"citationItems":[{"id":"ITEM-1","itemData":{"DOI":"10.1038/srep16767","ISSN":"2045-2322","PMID":"26733343","abstract":"To identify gene expression abnormalities in schizophrenia (SZ), we generated whole-genome gene expression profiles using microarrays on peripheral blood mononuclear cells (PBMCs) from 18 early-onset SZ cases and 12 controls. We detected 84 transcripts differentially expressed by diagnostic status, with 82 genes being upregulated and 2 downregulated. We identified two SZ associated gene coexpression modules (green and red), including 446 genes . The green module is positively correlated with SZ, encompassing predominantly up-regulated genes in SZ; while the red module was negatively correlated with disease status, involving mostly nominally down-regulated genes in SZ. The olfactory transduction pathway was the most enriched pathways for the genes within the two modules. The expression levels of several hub genes, including AKT1, BRCA1, CCDC134, UBD, and ZIC2 were validated using real-time quantitative PCR. Our findings indicate that mRNA coexpression abnormalities may serve as a promising mechanism underlying the development of SZ.","author":[{"dropping-particle":"","family":"Xu","given":"Yong","non-dropping-particle":"","parse-names":false,"suffix":""},{"dropping-particle":"","family":"Yao Shugart","given":"Yin","non-dropping-particle":"","parse-names":false,"suffix":""},{"dropping-particle":"","family":"Wang","given":"Guoqiang","non-dropping-particle":"","parse-names":false,"suffix":""},{"dropping-particle":"","family":"Cheng","given":"Zaohuo","non-dropping-particle":"","parse-names":false,"suffix":""},{"dropping-particle":"","family":"Jin","given":"Chunhui","non-dropping-particle":"","parse-names":false,"suffix":""},{"dropping-particle":"","family":"Zhang","given":"Kai","non-dropping-particle":"","parse-names":false,"suffix":""},{"dropping-particle":"","family":"Wang","given":"Jun","non-dropping-particle":"","parse-names":false,"suffix":""},{"dropping-particle":"","family":"Yu","given":"Hao","non-dropping-particle":"","parse-names":false,"suffix":""},{"dropping-particle":"","family":"Yue","given":"Weihua","non-dropping-particle":"","parse-names":false,"suffix":""},{"dropping-particle":"","family":"Zhang","given":"Fuquan","non-dropping-particle":"","parse-names":false,"suffix":""},{"dropping-particle":"","family":"Zhang","given":"Dai","non-dropping-particle":"","parse-names":false,"suffix":""}],"container-title":"Scientific Reports","id":"ITEM-1","issue":"1","issued":{"date-parts":[["2016","5","6"]]},"page":"16767","title":"Altered expression of mRNA profiles in blood of early-onset schizophrenia","type":"article-journal","volume":"6"},"uris":["http://www.mendeley.com/documents/?uuid=12bb3019-62ae-3940-9706-511f00f65865"]}],"mendeley":{"formattedCitation":"&lt;sup&gt;4&lt;/sup&gt;","plainTextFormattedCitation":"4","previouslyFormattedCitation":"&lt;sup&gt;4&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4</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Kumarasinghe et al.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{"citationItems":[{"id":"ITEM-1","itemData":{"DOI":"10.1017/S1461145713000035","ISSN":"1461-1457","PMID":"23442539","abstract":"Distinct gene expression profiles can be detected in peripheral blood mononuclear cells (PBMCs) in patients with schizophrenia; however, little is known about the effects of antipsychotic medication. This study compared gene expression profiles in PMBCs from treatment-naive patients with schizophrenia before and after antipsychotic drug treatment. PBMCs were obtained from 10 treatment-naive schizophrenia patients before and 6 wk after initiating antipsychotic drug treatment and compared to PMBCs collected from 11 healthy community volunteers. Genome-wide expression profiling was conducted using Illumina HumanHT-12 expression bead arrays and analysed using significance analysis of microarrays. This analysis identified 624 genes with altered expression (208 up-regulated, 416 down-regulated) prior to antipsychotic treatment (p &lt; 0.05) including schizophrenia-associated genes AKT1, DISC1 and DGCR6. After 6-8 wk treatment of patients with risperidone or risperidone in combination with haloperidol, only 106 genes were altered, suggesting that the treatment corrected the expression of a large proportion of genes back to control levels. However, 67 genes continued to show the same directional change in expression after treatment. Ingenuity® pathway analysis and gene set enrichment analysis implicated dysregulation of biological functions and pathways related to inflammation and immunity in patients with schizophrenia. A number of the top canonical pathways dysregulated in treatment-naive patients signal through AKT1 that was up-regulated. After treatment, AKT1 returned to control levels and less dysregulation of these canonical pathways was observed. This study supports immune dysfunction and pathways involving AKT1 in the aetiopathophysiology of schizophrenia and their response to antipsychotic medication.","author":[{"dropping-particle":"","family":"Kumarasinghe","given":"Nishantha","non-dropping-particle":"","parse-names":false,"suffix":""},{"dropping-particle":"","family":"Beveridge","given":"Natalie J.","non-dropping-particle":"","parse-names":false,"suffix":""},{"dropping-particle":"","family":"Gardiner","given":"Erin","non-dropping-particle":"","parse-names":false,"suffix":""},{"dropping-particle":"","family":"Scott","given":"Rodney J.","non-dropping-particle":"","parse-names":false,"suffix":""},{"dropping-particle":"","family":"Yasawardene","given":"Surangi","non-dropping-particle":"","parse-names":false,"suffix":""},{"dropping-particle":"","family":"Perera","given":"Antoinette","non-dropping-particle":"","parse-names":false,"suffix":""},{"dropping-particle":"","family":"Mendis","given":"Jayan","non-dropping-particle":"","parse-names":false,"suffix":""},{"dropping-particle":"","family":"Suriyakumara","given":"Kanishka","non-dropping-particle":"","parse-names":false,"suffix":""},{"dropping-particle":"","family":"Schall","given":"Ulrich","non-dropping-particle":"","parse-names":false,"suffix":""},{"dropping-particle":"","family":"Tooney","given":"Paul A.","non-dropping-particle":"","parse-names":false,"suffix":""}],"container-title":"The International Journal of Neuropsychopharmacology","id":"ITEM-1","issue":"07","issued":{"date-parts":[["2013","8","27"]]},"page":"1483-1503","title":"Gene expression profiling in treatment-naive schizophrenia patients identifies abnormalities in biological pathways involving AKT1 that are corrected by antipsychotic medication","type":"article-journal","volume":"16"},"uris":["http://www.mendeley.com/documents/?uuid=8e79acbe-0dcd-3b4e-a450-678fe9866508"]}],"mendeley":{"formattedCitation":"&lt;sup&gt;5&lt;/sup&gt;","plainTextFormattedCitation":"5","previouslyFormattedCitation":"&lt;sup&gt;5&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5</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 xml:space="preserve">, and GSE27383 </w:t>
      </w:r>
      <w:r w:rsidR="00CF1FBE" w:rsidRPr="00CC4D2B">
        <w:rPr>
          <w:rFonts w:ascii="Arial" w:hAnsi="Arial" w:cs="Arial"/>
          <w:color w:val="000000"/>
          <w:sz w:val="20"/>
          <w:szCs w:val="20"/>
          <w:lang w:val="en-US"/>
        </w:rPr>
        <w:fldChar w:fldCharType="begin" w:fldLock="1"/>
      </w:r>
      <w:r w:rsidR="00A81EE8" w:rsidRPr="00CC4D2B">
        <w:rPr>
          <w:rFonts w:ascii="Arial" w:hAnsi="Arial" w:cs="Arial"/>
          <w:color w:val="000000"/>
          <w:sz w:val="20"/>
          <w:szCs w:val="20"/>
          <w:lang w:val="en-US"/>
        </w:rPr>
        <w:instrText>ADDIN CSL_CITATION {"citationItems":[{"id":"ITEM-1","itemData":{"DOI":"10.1371/journal.pone.0032618","ISSN":"19326203","PMID":"22393424","abstract":"Background: Recent studies have suggested that deregulated AKT1 signaling is associated with schizophrenia. We hypothesized that if this is indeed the case, we should observe both decreased AKT1 expression as well as deregulation of AKT1 regulated pathways in Peripheral Blood Mononuclear Cells (PBMCs) of schizophrenia patients. Objectives: To examine PBMC expression levels of AKT1 in schizophrenia patients versus controls, and to examine whether functional biological processes in which AKT1 plays an important role are deregulated in schizophrenia patients. Methods/Results: A case-control study, investigating whole-genome PBMC gene expression in male, recent onset (&lt;5 years) schizophrenia patients (N = 41) as compared to controls (N = 29). Genes, differentially expressed between patients and controls were identified using ANOVA with Benjamini-Hochberg correction (false discovery rate (FDR) = 0.05). Functional aspects of the deregulated set of genes were investigated with the Ingenuity Pathway Analysis (IPA) Software Tool. We found significantly decreased PBMC expression of AKT1 (p&lt;0.001, t = -4.25) in the patients. AKT1 expression was decreased in antipsychotic-free or -naive patients (N = 11), in florid psychotic (N = 20) and in remitted (N = 21) patients. A total of 1224 genes were differentially expressed between patients and controls (FDR = 0.05). Functional analysis of the entire deregulated gene set indicated deregulated canonical pathways involved in a large number of cellular processes: immune system, cell adhesion and neuronal guidance, neurotrophins and (neural) growth factors, oxidative stress and glucose metabolism, and apoptosis and cell-cycle regulation. Many of these processes are associated with AKT1. Conclusions: We show significantly decreased PBMC gene expression of AKT1 in male, recent-onset schizophrenia patients. Our observations suggest that decreased PBMC AKT1 expression is a stable trait in recent onset, male schizophrenia patients. We identified several AKT related cellular processes which are potentially affected in these patients, a majority of which play a prominent role in current schizophrenia hypotheses. © 2012 van Beveren et al.","author":[{"dropping-particle":"","family":"Beveren","given":"Nico J.M.","non-dropping-particle":"van","parse-names":false,"suffix":""},{"dropping-particle":"","family":"Buitendijk","given":"Gabrielle H.S.","non-dropping-particle":"","parse-names":false,"suffix":""},{"dropping-particle":"","family":"Swagemakers","given":"Sigrid","non-dropping-particle":"","parse-names":false,"suffix":""},{"dropping-particle":"","family":"Krab","given":"Lianne C.","non-dropping-particle":"","parse-names":false,"suffix":""},{"dropping-particle":"","family":"Röder","given":"Christian","non-dropping-particle":"","parse-names":false,"suffix":""},{"dropping-particle":"","family":"Haan","given":"Lieuwe","non-dropping-particle":"de","parse-names":false,"suffix":""},{"dropping-particle":"","family":"Spek","given":"Peter","non-dropping-particle":"van der","parse-names":false,"suffix":""},{"dropping-particle":"","family":"Elgersma","given":"Ype","non-dropping-particle":"","parse-names":false,"suffix":""}],"container-title":"PLoS ONE","id":"ITEM-1","issue":"2","issued":{"date-parts":[["2012","2","29"]]},"publisher":"PLoS One","title":"Marked reduction of AKT1 expression and deregulation of AKT1-associated pathways in peripheral blood mononuclear cells of schizophrenia patients","type":"article-journal","volume":"7"},"uris":["http://www.mendeley.com/documents/?uuid=6f901851-c3ed-3fac-87e2-02fa2526713f"]}],"mendeley":{"formattedCitation":"&lt;sup&gt;6&lt;/sup&gt;","plainTextFormattedCitation":"6","previouslyFormattedCitation":"&lt;sup&gt;6&lt;/sup&gt;"},"properties":{"noteIndex":0},"schema":"https://github.com/citation-style-language/schema/raw/master/csl-citation.json"}</w:instrText>
      </w:r>
      <w:r w:rsidR="00CF1FBE" w:rsidRPr="00CC4D2B">
        <w:rPr>
          <w:rFonts w:ascii="Arial" w:hAnsi="Arial" w:cs="Arial"/>
          <w:color w:val="000000"/>
          <w:sz w:val="20"/>
          <w:szCs w:val="20"/>
          <w:lang w:val="en-US"/>
        </w:rPr>
        <w:fldChar w:fldCharType="separate"/>
      </w:r>
      <w:r w:rsidR="00A81EE8" w:rsidRPr="00CC4D2B">
        <w:rPr>
          <w:rFonts w:ascii="Arial" w:hAnsi="Arial" w:cs="Arial"/>
          <w:color w:val="000000"/>
          <w:sz w:val="20"/>
          <w:szCs w:val="20"/>
          <w:vertAlign w:val="superscript"/>
          <w:lang w:val="en-US"/>
        </w:rPr>
        <w:t>6</w:t>
      </w:r>
      <w:r w:rsidR="00CF1FBE" w:rsidRPr="00CC4D2B">
        <w:rPr>
          <w:rFonts w:ascii="Arial" w:hAnsi="Arial" w:cs="Arial"/>
          <w:color w:val="000000"/>
          <w:sz w:val="20"/>
          <w:szCs w:val="20"/>
          <w:lang w:val="en-US"/>
        </w:rPr>
        <w:fldChar w:fldCharType="end"/>
      </w:r>
      <w:r w:rsidR="00A81EE8" w:rsidRPr="00CC4D2B">
        <w:rPr>
          <w:rFonts w:ascii="Arial" w:hAnsi="Arial" w:cs="Arial"/>
          <w:color w:val="000000"/>
          <w:sz w:val="20"/>
          <w:szCs w:val="20"/>
          <w:lang w:val="en-US"/>
        </w:rPr>
        <w:t>)</w:t>
      </w: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r w:rsidRPr="00CC4D2B">
        <w:rPr>
          <w:color w:val="000000"/>
          <w:lang w:val="en-US"/>
        </w:rPr>
        <w:br w:type="page"/>
      </w:r>
      <w:r w:rsidR="007025CF">
        <w:rPr>
          <w:noProof/>
          <w:color w:val="000000"/>
          <w:lang w:eastAsia="en-IN"/>
        </w:rPr>
        <w:lastRenderedPageBreak/>
        <w:drawing>
          <wp:inline distT="0" distB="0" distL="0" distR="0">
            <wp:extent cx="3835400" cy="18643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46363" cy="1869695"/>
                    </a:xfrm>
                    <a:prstGeom prst="rect">
                      <a:avLst/>
                    </a:prstGeom>
                    <a:noFill/>
                    <a:ln w="9525">
                      <a:noFill/>
                      <a:miter lim="800000"/>
                      <a:headEnd/>
                      <a:tailEnd/>
                    </a:ln>
                  </pic:spPr>
                </pic:pic>
              </a:graphicData>
            </a:graphic>
          </wp:inline>
        </w:drawing>
      </w:r>
    </w:p>
    <w:p w:rsidR="00F16278" w:rsidRPr="00CC4D2B" w:rsidRDefault="00F16278" w:rsidP="00F16278">
      <w:pPr>
        <w:spacing w:line="480" w:lineRule="auto"/>
        <w:jc w:val="both"/>
        <w:rPr>
          <w:rFonts w:ascii="Arial" w:hAnsi="Arial" w:cs="Arial"/>
          <w:color w:val="000000"/>
          <w:sz w:val="20"/>
          <w:szCs w:val="20"/>
          <w:lang w:val="en-US"/>
        </w:rPr>
      </w:pPr>
      <w:r w:rsidRPr="00CC4D2B">
        <w:rPr>
          <w:rFonts w:ascii="Arial" w:hAnsi="Arial" w:cs="Arial"/>
          <w:b/>
          <w:color w:val="000000"/>
          <w:sz w:val="20"/>
          <w:szCs w:val="20"/>
          <w:lang w:val="en-US"/>
        </w:rPr>
        <w:t xml:space="preserve">Supplementary </w:t>
      </w:r>
      <w:r w:rsidR="0055006F" w:rsidRPr="00CC4D2B">
        <w:rPr>
          <w:rFonts w:ascii="Arial" w:hAnsi="Arial" w:cs="Arial"/>
          <w:b/>
          <w:color w:val="000000"/>
          <w:sz w:val="20"/>
          <w:szCs w:val="20"/>
          <w:lang w:val="en-US"/>
        </w:rPr>
        <w:t>F</w:t>
      </w:r>
      <w:r w:rsidRPr="00CC4D2B">
        <w:rPr>
          <w:rFonts w:ascii="Arial" w:hAnsi="Arial" w:cs="Arial"/>
          <w:b/>
          <w:color w:val="000000"/>
          <w:sz w:val="20"/>
          <w:szCs w:val="20"/>
          <w:lang w:val="en-US"/>
        </w:rPr>
        <w:t>igure 4:</w:t>
      </w:r>
      <w:r w:rsidRPr="00CC4D2B">
        <w:rPr>
          <w:rFonts w:ascii="Arial" w:hAnsi="Arial" w:cs="Arial"/>
          <w:color w:val="000000"/>
          <w:sz w:val="20"/>
          <w:szCs w:val="20"/>
          <w:lang w:val="en-US"/>
        </w:rPr>
        <w:t xml:space="preserve"> Volcano plot for normalized and batch-corrected train data. The feature selection from pre-processed train data was performed using DGEA. The differentially expressed genes (</w:t>
      </w:r>
      <w:proofErr w:type="spellStart"/>
      <w:r w:rsidRPr="00CC4D2B">
        <w:rPr>
          <w:rFonts w:ascii="Arial" w:hAnsi="Arial" w:cs="Arial"/>
          <w:color w:val="000000"/>
          <w:sz w:val="20"/>
          <w:szCs w:val="20"/>
          <w:lang w:val="en-US"/>
        </w:rPr>
        <w:t>adj.P.val</w:t>
      </w:r>
      <w:proofErr w:type="spellEnd"/>
      <w:r w:rsidRPr="00CC4D2B">
        <w:rPr>
          <w:rFonts w:ascii="Arial" w:hAnsi="Arial" w:cs="Arial"/>
          <w:color w:val="000000"/>
          <w:sz w:val="20"/>
          <w:szCs w:val="20"/>
          <w:lang w:val="en-US"/>
        </w:rPr>
        <w:t xml:space="preserve"> &lt; 0.05) were used as feature genes for development of ML models. The volcano plot for iteration one was used as a representative image for visualization of DGEA. </w:t>
      </w: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color w:val="000000"/>
          <w:lang w:val="en-US"/>
        </w:rPr>
      </w:pPr>
      <w:r w:rsidRPr="00CC4D2B">
        <w:rPr>
          <w:rFonts w:ascii="Arial" w:hAnsi="Arial" w:cs="Arial"/>
          <w:color w:val="000000"/>
          <w:sz w:val="20"/>
          <w:szCs w:val="20"/>
          <w:lang w:val="en-US"/>
        </w:rPr>
        <w:br w:type="page"/>
      </w:r>
    </w:p>
    <w:p w:rsidR="00F16278" w:rsidRPr="00CC4D2B" w:rsidRDefault="007025CF" w:rsidP="00F16278">
      <w:pPr>
        <w:spacing w:line="480" w:lineRule="auto"/>
        <w:jc w:val="both"/>
        <w:rPr>
          <w:rFonts w:ascii="Arial" w:hAnsi="Arial" w:cs="Arial"/>
          <w:b/>
          <w:color w:val="000000"/>
          <w:sz w:val="20"/>
          <w:szCs w:val="20"/>
          <w:lang w:val="en-US"/>
        </w:rPr>
      </w:pPr>
      <w:r>
        <w:rPr>
          <w:noProof/>
          <w:color w:val="000000"/>
          <w:lang w:eastAsia="en-IN"/>
        </w:rPr>
        <w:lastRenderedPageBreak/>
        <w:drawing>
          <wp:inline distT="0" distB="0" distL="0" distR="0">
            <wp:extent cx="5730875" cy="4412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30875" cy="4412615"/>
                    </a:xfrm>
                    <a:prstGeom prst="rect">
                      <a:avLst/>
                    </a:prstGeom>
                    <a:noFill/>
                    <a:ln w="9525">
                      <a:noFill/>
                      <a:miter lim="800000"/>
                      <a:headEnd/>
                      <a:tailEnd/>
                    </a:ln>
                  </pic:spPr>
                </pic:pic>
              </a:graphicData>
            </a:graphic>
          </wp:inline>
        </w:drawing>
      </w:r>
    </w:p>
    <w:p w:rsidR="00F16278" w:rsidRPr="00CC4D2B" w:rsidRDefault="00F16278" w:rsidP="00F16278">
      <w:pPr>
        <w:spacing w:line="480" w:lineRule="auto"/>
        <w:jc w:val="both"/>
        <w:rPr>
          <w:rFonts w:ascii="Arial" w:hAnsi="Arial" w:cs="Arial"/>
          <w:iCs/>
          <w:color w:val="000000"/>
          <w:sz w:val="20"/>
          <w:szCs w:val="20"/>
          <w:lang w:val="en-US"/>
        </w:rPr>
      </w:pPr>
      <w:r w:rsidRPr="00CC4D2B">
        <w:rPr>
          <w:rFonts w:ascii="Arial" w:hAnsi="Arial" w:cs="Arial"/>
          <w:b/>
          <w:color w:val="000000"/>
          <w:sz w:val="20"/>
          <w:szCs w:val="20"/>
          <w:lang w:val="en-US"/>
        </w:rPr>
        <w:t xml:space="preserve">Supplementary </w:t>
      </w:r>
      <w:r w:rsidR="00791719" w:rsidRPr="00CC4D2B">
        <w:rPr>
          <w:rFonts w:ascii="Arial" w:hAnsi="Arial" w:cs="Arial"/>
          <w:b/>
          <w:color w:val="000000"/>
          <w:sz w:val="20"/>
          <w:szCs w:val="20"/>
          <w:lang w:val="en-US"/>
        </w:rPr>
        <w:t>F</w:t>
      </w:r>
      <w:r w:rsidRPr="00CC4D2B">
        <w:rPr>
          <w:rFonts w:ascii="Arial" w:hAnsi="Arial" w:cs="Arial"/>
          <w:b/>
          <w:color w:val="000000"/>
          <w:sz w:val="20"/>
          <w:szCs w:val="20"/>
          <w:lang w:val="en-US"/>
        </w:rPr>
        <w:t xml:space="preserve">igure 5: </w:t>
      </w:r>
      <w:r w:rsidRPr="00CC4D2B">
        <w:rPr>
          <w:rFonts w:ascii="Arial" w:hAnsi="Arial" w:cs="Arial"/>
          <w:color w:val="000000"/>
          <w:sz w:val="20"/>
          <w:szCs w:val="20"/>
          <w:lang w:val="en-US"/>
        </w:rPr>
        <w:t xml:space="preserve">Comparison of performance of ML models in </w:t>
      </w:r>
      <w:r w:rsidR="00791719" w:rsidRPr="00CC4D2B">
        <w:rPr>
          <w:rFonts w:ascii="Arial" w:hAnsi="Arial" w:cs="Arial"/>
          <w:color w:val="000000"/>
          <w:sz w:val="20"/>
          <w:szCs w:val="20"/>
          <w:lang w:val="en-US"/>
        </w:rPr>
        <w:t xml:space="preserve">the </w:t>
      </w:r>
      <w:r w:rsidRPr="00CC4D2B">
        <w:rPr>
          <w:rFonts w:ascii="Arial" w:hAnsi="Arial" w:cs="Arial"/>
          <w:color w:val="000000"/>
          <w:sz w:val="20"/>
          <w:szCs w:val="20"/>
          <w:lang w:val="en-US"/>
        </w:rPr>
        <w:t xml:space="preserve">classification of test and the independent dataset samples. </w:t>
      </w:r>
      <w:r w:rsidRPr="00CC4D2B">
        <w:rPr>
          <w:rFonts w:ascii="Arial" w:hAnsi="Arial" w:cs="Arial"/>
          <w:iCs/>
          <w:color w:val="000000"/>
          <w:sz w:val="20"/>
          <w:szCs w:val="20"/>
          <w:lang w:val="en-US"/>
        </w:rPr>
        <w:t xml:space="preserve">ML models with different numbers of features were compared using two-way ANOVA followed by Tukey’s post hoc test. A) No significant difference was observed in the performance of the SVM-radial models in the classification of the test data and the independent dataset samples. B) Similarly, no significant difference was </w:t>
      </w:r>
      <w:r w:rsidR="00791719" w:rsidRPr="00CC4D2B">
        <w:rPr>
          <w:rFonts w:ascii="Arial" w:hAnsi="Arial" w:cs="Arial"/>
          <w:iCs/>
          <w:color w:val="000000"/>
          <w:sz w:val="20"/>
          <w:szCs w:val="20"/>
          <w:lang w:val="en-US"/>
        </w:rPr>
        <w:t xml:space="preserve">observed in the performance of </w:t>
      </w:r>
      <w:r w:rsidRPr="00CC4D2B">
        <w:rPr>
          <w:rFonts w:ascii="Arial" w:hAnsi="Arial" w:cs="Arial"/>
          <w:iCs/>
          <w:color w:val="000000"/>
          <w:sz w:val="20"/>
          <w:szCs w:val="20"/>
          <w:lang w:val="en-US"/>
        </w:rPr>
        <w:t>PAM models in the classification of the test data and the independent dataset samples. Suggesting the robust nature of the models. (</w:t>
      </w:r>
      <w:r w:rsidRPr="00CC4D2B">
        <w:rPr>
          <w:rFonts w:ascii="Arial" w:hAnsi="Arial" w:cs="Arial"/>
          <w:b/>
          <w:iCs/>
          <w:color w:val="000000"/>
          <w:sz w:val="20"/>
          <w:szCs w:val="20"/>
          <w:lang w:val="en-US"/>
        </w:rPr>
        <w:t>Note</w:t>
      </w:r>
      <w:r w:rsidRPr="00CC4D2B">
        <w:rPr>
          <w:rFonts w:ascii="Arial" w:hAnsi="Arial" w:cs="Arial"/>
          <w:iCs/>
          <w:color w:val="000000"/>
          <w:sz w:val="20"/>
          <w:szCs w:val="20"/>
          <w:lang w:val="en-US"/>
        </w:rPr>
        <w:t xml:space="preserve">: </w:t>
      </w:r>
      <w:r w:rsidR="0049429D" w:rsidRPr="00CC4D2B">
        <w:rPr>
          <w:rFonts w:ascii="Arial" w:hAnsi="Arial" w:cs="Arial"/>
          <w:iCs/>
          <w:color w:val="000000"/>
          <w:sz w:val="20"/>
          <w:szCs w:val="20"/>
          <w:lang w:val="en-US"/>
        </w:rPr>
        <w:t xml:space="preserve">Error bars represent standard deviation for </w:t>
      </w:r>
      <w:r w:rsidR="00F965F3" w:rsidRPr="00CC4D2B">
        <w:rPr>
          <w:rFonts w:ascii="Arial" w:hAnsi="Arial" w:cs="Arial"/>
          <w:iCs/>
          <w:color w:val="000000"/>
          <w:sz w:val="20"/>
          <w:szCs w:val="20"/>
          <w:lang w:val="en-US"/>
        </w:rPr>
        <w:t xml:space="preserve">ten </w:t>
      </w:r>
      <w:proofErr w:type="spellStart"/>
      <w:r w:rsidR="00F965F3" w:rsidRPr="00CC4D2B">
        <w:rPr>
          <w:rFonts w:ascii="Arial" w:hAnsi="Arial" w:cs="Arial"/>
          <w:iCs/>
          <w:color w:val="000000"/>
          <w:sz w:val="20"/>
          <w:szCs w:val="20"/>
          <w:lang w:val="en-US"/>
        </w:rPr>
        <w:t>iterations</w:t>
      </w:r>
      <w:r w:rsidR="0049429D" w:rsidRPr="00CC4D2B">
        <w:rPr>
          <w:rFonts w:ascii="Arial" w:hAnsi="Arial" w:cs="Arial"/>
          <w:iCs/>
          <w:color w:val="000000"/>
          <w:sz w:val="20"/>
          <w:szCs w:val="20"/>
          <w:lang w:val="en-US"/>
        </w:rPr>
        <w:t>s</w:t>
      </w:r>
      <w:proofErr w:type="spellEnd"/>
      <w:r w:rsidR="0049429D" w:rsidRPr="00CC4D2B">
        <w:rPr>
          <w:rFonts w:ascii="Arial" w:hAnsi="Arial" w:cs="Arial"/>
          <w:iCs/>
          <w:color w:val="000000"/>
          <w:sz w:val="20"/>
          <w:szCs w:val="20"/>
          <w:lang w:val="en-US"/>
        </w:rPr>
        <w:t xml:space="preserve">, </w:t>
      </w:r>
      <w:proofErr w:type="gramStart"/>
      <w:r w:rsidR="00C23F0D" w:rsidRPr="00CC4D2B">
        <w:rPr>
          <w:rFonts w:ascii="Arial" w:hAnsi="Arial" w:cs="Arial"/>
          <w:iCs/>
          <w:color w:val="000000"/>
          <w:sz w:val="20"/>
          <w:szCs w:val="20"/>
          <w:lang w:val="en-US"/>
        </w:rPr>
        <w:t xml:space="preserve">“ </w:t>
      </w:r>
      <w:r w:rsidRPr="00CC4D2B">
        <w:rPr>
          <w:rFonts w:ascii="Arial" w:hAnsi="Arial" w:cs="Arial"/>
          <w:iCs/>
          <w:color w:val="000000"/>
          <w:sz w:val="20"/>
          <w:szCs w:val="20"/>
          <w:lang w:val="en-US"/>
        </w:rPr>
        <w:t>ns</w:t>
      </w:r>
      <w:proofErr w:type="gramEnd"/>
      <w:r w:rsidR="00C23F0D" w:rsidRPr="00CC4D2B">
        <w:rPr>
          <w:rFonts w:ascii="Arial" w:hAnsi="Arial" w:cs="Arial"/>
          <w:iCs/>
          <w:color w:val="000000"/>
          <w:sz w:val="20"/>
          <w:szCs w:val="20"/>
          <w:lang w:val="en-US"/>
        </w:rPr>
        <w:t xml:space="preserve"> ”</w:t>
      </w:r>
      <w:r w:rsidRPr="00CC4D2B">
        <w:rPr>
          <w:rFonts w:ascii="Arial" w:hAnsi="Arial" w:cs="Arial"/>
          <w:iCs/>
          <w:color w:val="000000"/>
          <w:sz w:val="20"/>
          <w:szCs w:val="20"/>
          <w:lang w:val="en-US"/>
        </w:rPr>
        <w:t xml:space="preserve"> </w:t>
      </w:r>
      <w:r w:rsidR="00E94FD2" w:rsidRPr="00CC4D2B">
        <w:rPr>
          <w:rFonts w:ascii="Arial" w:hAnsi="Arial" w:cs="Arial"/>
          <w:iCs/>
          <w:color w:val="000000"/>
          <w:sz w:val="20"/>
          <w:szCs w:val="20"/>
          <w:lang w:val="en-US"/>
        </w:rPr>
        <w:t xml:space="preserve">adjusted P value </w:t>
      </w:r>
      <w:r w:rsidRPr="00CC4D2B">
        <w:rPr>
          <w:rFonts w:ascii="Arial" w:hAnsi="Arial" w:cs="Arial"/>
          <w:iCs/>
          <w:color w:val="000000"/>
          <w:sz w:val="20"/>
          <w:szCs w:val="20"/>
          <w:lang w:val="en-US"/>
        </w:rPr>
        <w:t>&gt; 0.05 )</w:t>
      </w: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after="0" w:line="240" w:lineRule="auto"/>
        <w:rPr>
          <w:rFonts w:ascii="Arial" w:hAnsi="Arial" w:cs="Arial"/>
          <w:iCs/>
          <w:color w:val="000000"/>
          <w:sz w:val="20"/>
          <w:szCs w:val="20"/>
          <w:lang w:val="en-US"/>
        </w:rPr>
      </w:pPr>
      <w:r w:rsidRPr="00CC4D2B">
        <w:rPr>
          <w:rFonts w:ascii="Arial" w:hAnsi="Arial" w:cs="Arial"/>
          <w:iCs/>
          <w:color w:val="000000"/>
          <w:sz w:val="20"/>
          <w:szCs w:val="20"/>
          <w:lang w:val="en-US"/>
        </w:rPr>
        <w:br w:type="page"/>
      </w: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7025CF" w:rsidP="00C16953">
      <w:pPr>
        <w:spacing w:line="480" w:lineRule="auto"/>
        <w:jc w:val="center"/>
        <w:rPr>
          <w:rFonts w:ascii="Arial" w:hAnsi="Arial" w:cs="Arial"/>
          <w:b/>
          <w:color w:val="000000"/>
          <w:sz w:val="20"/>
          <w:szCs w:val="20"/>
          <w:lang w:val="en-US"/>
        </w:rPr>
      </w:pPr>
      <w:r>
        <w:rPr>
          <w:noProof/>
          <w:color w:val="000000"/>
          <w:lang w:eastAsia="en-IN"/>
        </w:rPr>
        <w:drawing>
          <wp:inline distT="0" distB="0" distL="0" distR="0">
            <wp:extent cx="5730875" cy="413575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30875" cy="4135755"/>
                    </a:xfrm>
                    <a:prstGeom prst="rect">
                      <a:avLst/>
                    </a:prstGeom>
                    <a:noFill/>
                    <a:ln w="9525">
                      <a:noFill/>
                      <a:miter lim="800000"/>
                      <a:headEnd/>
                      <a:tailEnd/>
                    </a:ln>
                  </pic:spPr>
                </pic:pic>
              </a:graphicData>
            </a:graphic>
          </wp:inline>
        </w:drawing>
      </w:r>
    </w:p>
    <w:p w:rsidR="00F16278" w:rsidRPr="00CC4D2B" w:rsidRDefault="00F16278" w:rsidP="00F16278">
      <w:pPr>
        <w:spacing w:line="480" w:lineRule="auto"/>
        <w:jc w:val="both"/>
        <w:rPr>
          <w:rFonts w:ascii="Arial" w:hAnsi="Arial" w:cs="Arial"/>
          <w:color w:val="000000"/>
          <w:sz w:val="20"/>
          <w:szCs w:val="20"/>
          <w:lang w:val="en-US"/>
        </w:rPr>
      </w:pPr>
      <w:r w:rsidRPr="00CC4D2B">
        <w:rPr>
          <w:rFonts w:ascii="Arial" w:hAnsi="Arial" w:cs="Arial"/>
          <w:b/>
          <w:bCs/>
          <w:color w:val="000000"/>
          <w:sz w:val="20"/>
          <w:szCs w:val="20"/>
          <w:lang w:val="en-US"/>
        </w:rPr>
        <w:t xml:space="preserve">Supplementary </w:t>
      </w:r>
      <w:r w:rsidR="0055006F" w:rsidRPr="00CC4D2B">
        <w:rPr>
          <w:rFonts w:ascii="Arial" w:hAnsi="Arial" w:cs="Arial"/>
          <w:b/>
          <w:bCs/>
          <w:color w:val="000000"/>
          <w:sz w:val="20"/>
          <w:szCs w:val="20"/>
          <w:lang w:val="en-US"/>
        </w:rPr>
        <w:t>F</w:t>
      </w:r>
      <w:r w:rsidRPr="00CC4D2B">
        <w:rPr>
          <w:rFonts w:ascii="Arial" w:hAnsi="Arial" w:cs="Arial"/>
          <w:b/>
          <w:bCs/>
          <w:color w:val="000000"/>
          <w:sz w:val="20"/>
          <w:szCs w:val="20"/>
          <w:lang w:val="en-US"/>
        </w:rPr>
        <w:t>igure 6</w:t>
      </w:r>
      <w:r w:rsidRPr="00CC4D2B">
        <w:rPr>
          <w:rFonts w:ascii="Arial" w:hAnsi="Arial" w:cs="Arial"/>
          <w:bCs/>
          <w:color w:val="000000"/>
          <w:sz w:val="20"/>
          <w:szCs w:val="20"/>
          <w:lang w:val="en-US"/>
        </w:rPr>
        <w:t xml:space="preserve">: </w:t>
      </w:r>
      <w:r w:rsidRPr="00CC4D2B">
        <w:rPr>
          <w:rFonts w:ascii="Arial" w:hAnsi="Arial" w:cs="Arial"/>
          <w:color w:val="000000"/>
          <w:sz w:val="20"/>
          <w:szCs w:val="20"/>
          <w:lang w:val="en-US"/>
        </w:rPr>
        <w:t xml:space="preserve">A representative </w:t>
      </w:r>
      <w:proofErr w:type="spellStart"/>
      <w:r w:rsidRPr="00CC4D2B">
        <w:rPr>
          <w:rFonts w:ascii="Arial" w:hAnsi="Arial" w:cs="Arial"/>
          <w:color w:val="000000"/>
          <w:sz w:val="20"/>
          <w:szCs w:val="20"/>
          <w:lang w:val="en-US"/>
        </w:rPr>
        <w:t>FastQC</w:t>
      </w:r>
      <w:proofErr w:type="spellEnd"/>
      <w:r w:rsidRPr="00CC4D2B">
        <w:rPr>
          <w:rFonts w:ascii="Arial" w:hAnsi="Arial" w:cs="Arial"/>
          <w:color w:val="000000"/>
          <w:sz w:val="20"/>
          <w:szCs w:val="20"/>
          <w:lang w:val="en-US"/>
        </w:rPr>
        <w:t xml:space="preserve"> report of an RNA-Seq sample from the Pune-SCZ study. A and B) Suggest that the quality of seque</w:t>
      </w:r>
      <w:r w:rsidR="00C16953" w:rsidRPr="00CC4D2B">
        <w:rPr>
          <w:rFonts w:ascii="Arial" w:hAnsi="Arial" w:cs="Arial"/>
          <w:color w:val="000000"/>
          <w:sz w:val="20"/>
          <w:szCs w:val="20"/>
          <w:lang w:val="en-US"/>
        </w:rPr>
        <w:t>ncing was acceptable. C) and D</w:t>
      </w:r>
      <w:r w:rsidRPr="00CC4D2B">
        <w:rPr>
          <w:rFonts w:ascii="Arial" w:hAnsi="Arial" w:cs="Arial"/>
          <w:color w:val="000000"/>
          <w:sz w:val="20"/>
          <w:szCs w:val="20"/>
          <w:lang w:val="en-US"/>
        </w:rPr>
        <w:t xml:space="preserve">) Suggest no significant library contamination or PCR duplication. </w:t>
      </w: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r w:rsidRPr="00CC4D2B">
        <w:rPr>
          <w:rFonts w:ascii="Arial" w:hAnsi="Arial" w:cs="Arial"/>
          <w:iCs/>
          <w:color w:val="000000"/>
          <w:sz w:val="20"/>
          <w:szCs w:val="20"/>
          <w:lang w:val="en-US"/>
        </w:rPr>
        <w:br w:type="page"/>
      </w:r>
    </w:p>
    <w:p w:rsidR="00F16278" w:rsidRPr="00CC4D2B" w:rsidRDefault="007025CF" w:rsidP="00F16278">
      <w:pPr>
        <w:spacing w:line="480" w:lineRule="auto"/>
        <w:jc w:val="both"/>
        <w:rPr>
          <w:rFonts w:ascii="Arial" w:hAnsi="Arial" w:cs="Arial"/>
          <w:b/>
          <w:color w:val="000000"/>
          <w:sz w:val="20"/>
          <w:szCs w:val="20"/>
          <w:lang w:val="en-US"/>
        </w:rPr>
      </w:pPr>
      <w:r>
        <w:rPr>
          <w:noProof/>
          <w:color w:val="000000"/>
          <w:lang w:eastAsia="en-IN"/>
        </w:rPr>
        <w:lastRenderedPageBreak/>
        <w:drawing>
          <wp:inline distT="0" distB="0" distL="0" distR="0">
            <wp:extent cx="5730875" cy="2030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30875" cy="2030730"/>
                    </a:xfrm>
                    <a:prstGeom prst="rect">
                      <a:avLst/>
                    </a:prstGeom>
                    <a:noFill/>
                    <a:ln w="9525">
                      <a:noFill/>
                      <a:miter lim="800000"/>
                      <a:headEnd/>
                      <a:tailEnd/>
                    </a:ln>
                  </pic:spPr>
                </pic:pic>
              </a:graphicData>
            </a:graphic>
          </wp:inline>
        </w:drawing>
      </w:r>
    </w:p>
    <w:p w:rsidR="00F965F3" w:rsidRPr="00CC4D2B" w:rsidRDefault="00F16278" w:rsidP="00F965F3">
      <w:pPr>
        <w:spacing w:line="480" w:lineRule="auto"/>
        <w:jc w:val="both"/>
        <w:rPr>
          <w:rFonts w:ascii="Arial" w:hAnsi="Arial" w:cs="Arial"/>
          <w:iCs/>
          <w:color w:val="000000"/>
          <w:sz w:val="20"/>
          <w:szCs w:val="20"/>
          <w:lang w:val="en-US"/>
        </w:rPr>
      </w:pPr>
      <w:r w:rsidRPr="00CC4D2B">
        <w:rPr>
          <w:rFonts w:ascii="Arial" w:hAnsi="Arial" w:cs="Arial"/>
          <w:b/>
          <w:color w:val="000000"/>
          <w:sz w:val="20"/>
          <w:szCs w:val="20"/>
          <w:lang w:val="en-US"/>
        </w:rPr>
        <w:t xml:space="preserve">Supplementary </w:t>
      </w:r>
      <w:r w:rsidR="0055006F" w:rsidRPr="00CC4D2B">
        <w:rPr>
          <w:rFonts w:ascii="Arial" w:hAnsi="Arial" w:cs="Arial"/>
          <w:b/>
          <w:color w:val="000000"/>
          <w:sz w:val="20"/>
          <w:szCs w:val="20"/>
          <w:lang w:val="en-US"/>
        </w:rPr>
        <w:t>F</w:t>
      </w:r>
      <w:r w:rsidRPr="00CC4D2B">
        <w:rPr>
          <w:rFonts w:ascii="Arial" w:hAnsi="Arial" w:cs="Arial"/>
          <w:b/>
          <w:color w:val="000000"/>
          <w:sz w:val="20"/>
          <w:szCs w:val="20"/>
          <w:lang w:val="en-US"/>
        </w:rPr>
        <w:t xml:space="preserve">igure 7: </w:t>
      </w:r>
      <w:r w:rsidRPr="00CC4D2B">
        <w:rPr>
          <w:rFonts w:ascii="Arial" w:hAnsi="Arial" w:cs="Arial"/>
          <w:iCs/>
          <w:color w:val="000000"/>
          <w:sz w:val="20"/>
          <w:szCs w:val="20"/>
          <w:lang w:val="en-US"/>
        </w:rPr>
        <w:t xml:space="preserve">Sensitivity and specificity of ensemble learning in class prediction analysis of RNA-Seq samples from Pune-SCZ study with DEGs as features. ML models were compared using </w:t>
      </w:r>
      <w:r w:rsidR="00791719" w:rsidRPr="00CC4D2B">
        <w:rPr>
          <w:rFonts w:ascii="Arial" w:hAnsi="Arial" w:cs="Arial"/>
          <w:color w:val="000000"/>
          <w:sz w:val="20"/>
          <w:szCs w:val="20"/>
          <w:lang w:val="en-US"/>
        </w:rPr>
        <w:t xml:space="preserve">RMA </w:t>
      </w:r>
      <w:r w:rsidR="00791719" w:rsidRPr="00CC4D2B">
        <w:rPr>
          <w:rFonts w:ascii="Arial" w:hAnsi="Arial" w:cs="Arial"/>
          <w:iCs/>
          <w:color w:val="000000"/>
          <w:sz w:val="20"/>
          <w:szCs w:val="20"/>
          <w:lang w:val="en-US"/>
        </w:rPr>
        <w:t xml:space="preserve">followed by Tukey’s post hoc test with </w:t>
      </w:r>
      <w:r w:rsidR="0049429D" w:rsidRPr="00CC4D2B">
        <w:rPr>
          <w:rFonts w:ascii="Arial" w:hAnsi="Arial" w:cs="Arial"/>
          <w:color w:val="000000"/>
          <w:sz w:val="20"/>
          <w:szCs w:val="20"/>
          <w:lang w:val="en-US"/>
        </w:rPr>
        <w:t xml:space="preserve">Greenhouse-Geisser and </w:t>
      </w:r>
      <w:r w:rsidR="007700A3" w:rsidRPr="00CC4D2B">
        <w:rPr>
          <w:rFonts w:ascii="Arial" w:hAnsi="Arial" w:cs="Arial"/>
          <w:color w:val="000000"/>
          <w:sz w:val="20"/>
          <w:szCs w:val="20"/>
          <w:lang w:val="en-US"/>
        </w:rPr>
        <w:t>Huynh</w:t>
      </w:r>
      <w:r w:rsidR="0049429D" w:rsidRPr="00CC4D2B">
        <w:rPr>
          <w:rFonts w:ascii="Arial" w:hAnsi="Arial" w:cs="Arial"/>
          <w:color w:val="000000"/>
          <w:sz w:val="20"/>
          <w:szCs w:val="20"/>
          <w:lang w:val="en-US"/>
        </w:rPr>
        <w:t>-Feldt corrections</w:t>
      </w:r>
      <w:r w:rsidR="00791719" w:rsidRPr="00CC4D2B">
        <w:rPr>
          <w:rFonts w:ascii="Arial" w:hAnsi="Arial" w:cs="Arial"/>
          <w:iCs/>
          <w:color w:val="000000"/>
          <w:sz w:val="20"/>
          <w:szCs w:val="20"/>
          <w:lang w:val="en-US"/>
        </w:rPr>
        <w:t>.</w:t>
      </w:r>
      <w:r w:rsidRPr="00CC4D2B">
        <w:rPr>
          <w:rFonts w:ascii="Arial" w:hAnsi="Arial" w:cs="Arial"/>
          <w:iCs/>
          <w:color w:val="000000"/>
          <w:sz w:val="20"/>
          <w:szCs w:val="20"/>
          <w:lang w:val="en-US"/>
        </w:rPr>
        <w:t xml:space="preserve"> A) Ensemble learning with </w:t>
      </w:r>
      <w:r w:rsidR="00791719" w:rsidRPr="00CC4D2B">
        <w:rPr>
          <w:rFonts w:ascii="Arial" w:hAnsi="Arial" w:cs="Arial"/>
          <w:iCs/>
          <w:color w:val="000000"/>
          <w:sz w:val="20"/>
          <w:szCs w:val="20"/>
          <w:lang w:val="en-US"/>
        </w:rPr>
        <w:t xml:space="preserve">the </w:t>
      </w:r>
      <w:r w:rsidRPr="00CC4D2B">
        <w:rPr>
          <w:rFonts w:ascii="Arial" w:hAnsi="Arial" w:cs="Arial"/>
          <w:iCs/>
          <w:color w:val="000000"/>
          <w:sz w:val="20"/>
          <w:szCs w:val="20"/>
          <w:lang w:val="en-US"/>
        </w:rPr>
        <w:t xml:space="preserve">top four hundred DEGs resulted in higher precision with a drop in sensitivity when compared to individual ML models. B) Ensemble learning also resulted in higher specificity compared to individual ML models. </w:t>
      </w:r>
      <w:r w:rsidR="00F965F3" w:rsidRPr="00CC4D2B">
        <w:rPr>
          <w:rFonts w:ascii="Arial" w:hAnsi="Arial" w:cs="Arial"/>
          <w:color w:val="000000"/>
          <w:sz w:val="20"/>
          <w:szCs w:val="20"/>
          <w:lang w:val="en-US"/>
        </w:rPr>
        <w:t>(</w:t>
      </w:r>
      <w:r w:rsidR="00F965F3" w:rsidRPr="00CC4D2B">
        <w:rPr>
          <w:rFonts w:ascii="Arial" w:hAnsi="Arial" w:cs="Arial"/>
          <w:b/>
          <w:iCs/>
          <w:color w:val="000000"/>
          <w:sz w:val="20"/>
          <w:szCs w:val="20"/>
          <w:lang w:val="en-US"/>
        </w:rPr>
        <w:t>Note</w:t>
      </w:r>
      <w:r w:rsidR="00F965F3" w:rsidRPr="00CC4D2B">
        <w:rPr>
          <w:rFonts w:ascii="Arial" w:hAnsi="Arial" w:cs="Arial"/>
          <w:iCs/>
          <w:color w:val="000000"/>
          <w:sz w:val="20"/>
          <w:szCs w:val="20"/>
          <w:lang w:val="en-US"/>
        </w:rPr>
        <w:t>: Error bars represent standard deviation for ten iterations</w:t>
      </w:r>
      <w:r w:rsidR="00C16953" w:rsidRPr="00CC4D2B">
        <w:rPr>
          <w:rFonts w:ascii="Arial" w:hAnsi="Arial" w:cs="Arial"/>
          <w:iCs/>
          <w:color w:val="000000"/>
          <w:sz w:val="20"/>
          <w:szCs w:val="20"/>
          <w:lang w:val="en-US"/>
        </w:rPr>
        <w:t>,</w:t>
      </w:r>
      <w:r w:rsidR="00F965F3" w:rsidRPr="00CC4D2B">
        <w:rPr>
          <w:rFonts w:ascii="Arial" w:hAnsi="Arial" w:cs="Arial"/>
          <w:iCs/>
          <w:color w:val="000000"/>
          <w:sz w:val="20"/>
          <w:szCs w:val="20"/>
          <w:lang w:val="en-US"/>
        </w:rPr>
        <w:t xml:space="preserve"> "</w:t>
      </w:r>
      <w:r w:rsidR="00C16953" w:rsidRPr="00CC4D2B">
        <w:rPr>
          <w:rFonts w:ascii="Arial" w:hAnsi="Arial" w:cs="Arial"/>
          <w:iCs/>
          <w:color w:val="000000"/>
          <w:sz w:val="20"/>
          <w:szCs w:val="20"/>
          <w:lang w:val="en-US"/>
        </w:rPr>
        <w:t xml:space="preserve">**" (adjusted P value ≤ 0.01), </w:t>
      </w:r>
      <w:r w:rsidR="00F965F3" w:rsidRPr="00CC4D2B">
        <w:rPr>
          <w:rFonts w:ascii="Arial" w:hAnsi="Arial" w:cs="Arial"/>
          <w:iCs/>
          <w:color w:val="000000"/>
          <w:sz w:val="20"/>
          <w:szCs w:val="20"/>
          <w:lang w:val="en-US"/>
        </w:rPr>
        <w:t>"****" (adjusted P value ≤ 0.0001))</w:t>
      </w: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color w:val="000000"/>
          <w:sz w:val="20"/>
          <w:szCs w:val="20"/>
          <w:lang w:val="en-US"/>
        </w:rPr>
      </w:pPr>
      <w:r w:rsidRPr="00CC4D2B">
        <w:rPr>
          <w:rFonts w:ascii="Arial" w:hAnsi="Arial" w:cs="Arial"/>
          <w:iCs/>
          <w:color w:val="000000"/>
          <w:sz w:val="20"/>
          <w:szCs w:val="20"/>
          <w:lang w:val="en-US"/>
        </w:rPr>
        <w:br w:type="page"/>
      </w:r>
      <w:r w:rsidR="007025CF">
        <w:rPr>
          <w:noProof/>
          <w:color w:val="000000"/>
          <w:lang w:eastAsia="en-IN"/>
        </w:rPr>
        <w:lastRenderedPageBreak/>
        <w:drawing>
          <wp:inline distT="0" distB="0" distL="0" distR="0">
            <wp:extent cx="5795010" cy="2328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95010" cy="2328545"/>
                    </a:xfrm>
                    <a:prstGeom prst="rect">
                      <a:avLst/>
                    </a:prstGeom>
                    <a:noFill/>
                    <a:ln w="9525">
                      <a:noFill/>
                      <a:miter lim="800000"/>
                      <a:headEnd/>
                      <a:tailEnd/>
                    </a:ln>
                  </pic:spPr>
                </pic:pic>
              </a:graphicData>
            </a:graphic>
          </wp:inline>
        </w:drawing>
      </w:r>
      <w:r w:rsidR="00791719" w:rsidRPr="00CC4D2B">
        <w:rPr>
          <w:rFonts w:ascii="Arial" w:hAnsi="Arial" w:cs="Arial"/>
          <w:b/>
          <w:color w:val="000000"/>
          <w:sz w:val="20"/>
          <w:szCs w:val="20"/>
          <w:lang w:val="en-US"/>
        </w:rPr>
        <w:t>Supplementary F</w:t>
      </w:r>
      <w:r w:rsidRPr="00CC4D2B">
        <w:rPr>
          <w:rFonts w:ascii="Arial" w:hAnsi="Arial" w:cs="Arial"/>
          <w:b/>
          <w:color w:val="000000"/>
          <w:sz w:val="20"/>
          <w:szCs w:val="20"/>
          <w:lang w:val="en-US"/>
        </w:rPr>
        <w:t xml:space="preserve">igure 8: </w:t>
      </w:r>
      <w:r w:rsidRPr="00CC4D2B">
        <w:rPr>
          <w:rFonts w:ascii="Arial" w:hAnsi="Arial" w:cs="Arial"/>
          <w:iCs/>
          <w:color w:val="000000"/>
          <w:sz w:val="20"/>
          <w:szCs w:val="20"/>
          <w:lang w:val="en-US"/>
        </w:rPr>
        <w:t xml:space="preserve">Functional enrichment and networking analyses of DEGs. The 400 DEGs from the iteration with the highest precision in ensemble learning were chosen for the analysis. </w:t>
      </w:r>
      <w:r w:rsidR="00C16953" w:rsidRPr="00CC4D2B">
        <w:rPr>
          <w:rFonts w:ascii="Arial" w:hAnsi="Arial" w:cs="Arial"/>
          <w:iCs/>
          <w:color w:val="000000"/>
          <w:sz w:val="20"/>
          <w:szCs w:val="20"/>
          <w:lang w:val="en-US"/>
        </w:rPr>
        <w:t xml:space="preserve">A) </w:t>
      </w:r>
      <w:r w:rsidRPr="00CC4D2B">
        <w:rPr>
          <w:rFonts w:ascii="Arial" w:hAnsi="Arial" w:cs="Arial"/>
          <w:iCs/>
          <w:color w:val="000000"/>
          <w:sz w:val="20"/>
          <w:szCs w:val="20"/>
          <w:lang w:val="en-US"/>
        </w:rPr>
        <w:t>The top ten biological processes (</w:t>
      </w:r>
      <w:proofErr w:type="spellStart"/>
      <w:r w:rsidRPr="00CC4D2B">
        <w:rPr>
          <w:rFonts w:ascii="Arial" w:hAnsi="Arial" w:cs="Arial"/>
          <w:iCs/>
          <w:color w:val="000000"/>
          <w:sz w:val="20"/>
          <w:szCs w:val="20"/>
          <w:lang w:val="en-US"/>
        </w:rPr>
        <w:t>adj.P.val</w:t>
      </w:r>
      <w:proofErr w:type="spellEnd"/>
      <w:r w:rsidRPr="00CC4D2B">
        <w:rPr>
          <w:rFonts w:ascii="Arial" w:hAnsi="Arial" w:cs="Arial"/>
          <w:iCs/>
          <w:color w:val="000000"/>
          <w:sz w:val="20"/>
          <w:szCs w:val="20"/>
          <w:lang w:val="en-US"/>
        </w:rPr>
        <w:t xml:space="preserve"> &lt;0.05) were visualized using a bar-plot.</w:t>
      </w:r>
      <w:r w:rsidR="001700B9" w:rsidRPr="00CC4D2B">
        <w:rPr>
          <w:rFonts w:ascii="Arial" w:hAnsi="Arial" w:cs="Arial"/>
          <w:iCs/>
          <w:color w:val="000000"/>
          <w:sz w:val="20"/>
          <w:szCs w:val="20"/>
          <w:lang w:val="en-US"/>
        </w:rPr>
        <w:t xml:space="preserve"> </w:t>
      </w:r>
      <w:r w:rsidR="00C16953" w:rsidRPr="00CC4D2B">
        <w:rPr>
          <w:rFonts w:ascii="Arial" w:hAnsi="Arial" w:cs="Arial"/>
          <w:iCs/>
          <w:color w:val="000000"/>
          <w:sz w:val="20"/>
          <w:szCs w:val="20"/>
          <w:lang w:val="en-US"/>
        </w:rPr>
        <w:t xml:space="preserve">B) </w:t>
      </w:r>
      <w:r w:rsidRPr="00CC4D2B">
        <w:rPr>
          <w:rFonts w:ascii="Arial" w:hAnsi="Arial" w:cs="Arial"/>
          <w:iCs/>
          <w:color w:val="000000"/>
          <w:sz w:val="20"/>
          <w:szCs w:val="20"/>
          <w:lang w:val="en-US"/>
        </w:rPr>
        <w:t>A STRING</w:t>
      </w:r>
      <w:r w:rsidR="00791719" w:rsidRPr="00CC4D2B">
        <w:rPr>
          <w:rFonts w:ascii="Arial" w:hAnsi="Arial" w:cs="Arial"/>
          <w:iCs/>
          <w:color w:val="000000"/>
          <w:sz w:val="20"/>
          <w:szCs w:val="20"/>
          <w:lang w:val="en-US"/>
        </w:rPr>
        <w:t>-</w:t>
      </w:r>
      <w:r w:rsidRPr="00CC4D2B">
        <w:rPr>
          <w:rFonts w:ascii="Arial" w:hAnsi="Arial" w:cs="Arial"/>
          <w:iCs/>
          <w:color w:val="000000"/>
          <w:sz w:val="20"/>
          <w:szCs w:val="20"/>
          <w:lang w:val="en-US"/>
        </w:rPr>
        <w:t xml:space="preserve">based protein-protein network was established for common genes using </w:t>
      </w:r>
      <w:proofErr w:type="spellStart"/>
      <w:r w:rsidRPr="00CC4D2B">
        <w:rPr>
          <w:rFonts w:ascii="Arial" w:hAnsi="Arial" w:cs="Arial"/>
          <w:iCs/>
          <w:color w:val="000000"/>
          <w:sz w:val="20"/>
          <w:szCs w:val="20"/>
          <w:lang w:val="en-US"/>
        </w:rPr>
        <w:t>Cytoscape</w:t>
      </w:r>
      <w:proofErr w:type="spellEnd"/>
      <w:r w:rsidRPr="00CC4D2B">
        <w:rPr>
          <w:rFonts w:ascii="Arial" w:hAnsi="Arial" w:cs="Arial"/>
          <w:iCs/>
          <w:color w:val="000000"/>
          <w:sz w:val="20"/>
          <w:szCs w:val="20"/>
          <w:lang w:val="en-US"/>
        </w:rPr>
        <w:t xml:space="preserve">. The </w:t>
      </w:r>
      <w:r w:rsidRPr="00CC4D2B">
        <w:rPr>
          <w:rFonts w:ascii="Arial" w:hAnsi="Arial" w:cs="Arial"/>
          <w:color w:val="000000"/>
          <w:sz w:val="20"/>
          <w:szCs w:val="20"/>
          <w:lang w:val="en-US"/>
        </w:rPr>
        <w:t xml:space="preserve">MCC method of </w:t>
      </w:r>
      <w:r w:rsidR="00791719" w:rsidRPr="00CC4D2B">
        <w:rPr>
          <w:rFonts w:ascii="Arial" w:hAnsi="Arial" w:cs="Arial"/>
          <w:color w:val="000000"/>
          <w:sz w:val="20"/>
          <w:szCs w:val="20"/>
          <w:lang w:val="en-US"/>
        </w:rPr>
        <w:t xml:space="preserve">the </w:t>
      </w:r>
      <w:proofErr w:type="spellStart"/>
      <w:r w:rsidRPr="00CC4D2B">
        <w:rPr>
          <w:rFonts w:ascii="Arial" w:hAnsi="Arial" w:cs="Arial"/>
          <w:color w:val="000000"/>
          <w:sz w:val="20"/>
          <w:szCs w:val="20"/>
          <w:lang w:val="en-US"/>
        </w:rPr>
        <w:t>cytohubba</w:t>
      </w:r>
      <w:proofErr w:type="spellEnd"/>
      <w:r w:rsidRPr="00CC4D2B">
        <w:rPr>
          <w:rFonts w:ascii="Arial" w:hAnsi="Arial" w:cs="Arial"/>
          <w:color w:val="000000"/>
          <w:sz w:val="20"/>
          <w:szCs w:val="20"/>
          <w:lang w:val="en-US"/>
        </w:rPr>
        <w:t xml:space="preserve"> plugin identified </w:t>
      </w:r>
      <w:r w:rsidR="00791719" w:rsidRPr="00CC4D2B">
        <w:rPr>
          <w:rFonts w:ascii="Arial" w:hAnsi="Arial" w:cs="Arial"/>
          <w:color w:val="000000"/>
          <w:sz w:val="20"/>
          <w:szCs w:val="20"/>
          <w:lang w:val="en-US"/>
        </w:rPr>
        <w:t xml:space="preserve">the </w:t>
      </w:r>
      <w:r w:rsidRPr="00CC4D2B">
        <w:rPr>
          <w:rFonts w:ascii="Arial" w:hAnsi="Arial" w:cs="Arial"/>
          <w:color w:val="000000"/>
          <w:sz w:val="20"/>
          <w:szCs w:val="20"/>
          <w:lang w:val="en-US"/>
        </w:rPr>
        <w:t xml:space="preserve">top 5 hub genes. The network of 5 hub genes and their first-degree nodes was visualized. The intensity of node </w:t>
      </w:r>
      <w:proofErr w:type="spellStart"/>
      <w:r w:rsidRPr="00CC4D2B">
        <w:rPr>
          <w:rFonts w:ascii="Arial" w:hAnsi="Arial" w:cs="Arial"/>
          <w:color w:val="000000"/>
          <w:sz w:val="20"/>
          <w:szCs w:val="20"/>
          <w:lang w:val="en-US"/>
        </w:rPr>
        <w:t>colour</w:t>
      </w:r>
      <w:proofErr w:type="spellEnd"/>
      <w:r w:rsidRPr="00CC4D2B">
        <w:rPr>
          <w:rFonts w:ascii="Arial" w:hAnsi="Arial" w:cs="Arial"/>
          <w:color w:val="000000"/>
          <w:sz w:val="20"/>
          <w:szCs w:val="20"/>
          <w:lang w:val="en-US"/>
        </w:rPr>
        <w:t xml:space="preserve"> represents the MCC rank. i.e., </w:t>
      </w:r>
      <w:r w:rsidRPr="00CC4D2B">
        <w:rPr>
          <w:rFonts w:ascii="Arial" w:hAnsi="Arial" w:cs="Arial"/>
          <w:i/>
          <w:color w:val="000000"/>
          <w:sz w:val="20"/>
          <w:lang w:val="en-US"/>
        </w:rPr>
        <w:t>RBX1</w:t>
      </w:r>
      <w:r w:rsidRPr="00CC4D2B">
        <w:rPr>
          <w:rFonts w:ascii="Arial" w:hAnsi="Arial" w:cs="Arial"/>
          <w:color w:val="000000"/>
          <w:sz w:val="20"/>
          <w:lang w:val="en-US"/>
        </w:rPr>
        <w:t xml:space="preserve"> </w:t>
      </w:r>
      <w:r w:rsidRPr="00CC4D2B">
        <w:rPr>
          <w:rFonts w:ascii="Arial" w:hAnsi="Arial" w:cs="Arial"/>
          <w:color w:val="000000"/>
          <w:sz w:val="20"/>
          <w:szCs w:val="20"/>
          <w:lang w:val="en-US"/>
        </w:rPr>
        <w:t xml:space="preserve">ranked as number one followed by </w:t>
      </w:r>
      <w:r w:rsidRPr="00CC4D2B">
        <w:rPr>
          <w:rFonts w:ascii="Arial" w:hAnsi="Arial" w:cs="Arial"/>
          <w:i/>
          <w:color w:val="000000"/>
          <w:sz w:val="20"/>
          <w:lang w:val="en-US"/>
        </w:rPr>
        <w:t>CUL4B</w:t>
      </w:r>
      <w:r w:rsidRPr="00CC4D2B">
        <w:rPr>
          <w:rFonts w:ascii="Arial" w:hAnsi="Arial" w:cs="Arial"/>
          <w:color w:val="000000"/>
          <w:sz w:val="20"/>
          <w:lang w:val="en-US"/>
        </w:rPr>
        <w:t xml:space="preserve">, </w:t>
      </w:r>
      <w:r w:rsidRPr="00CC4D2B">
        <w:rPr>
          <w:rFonts w:ascii="Arial" w:hAnsi="Arial" w:cs="Arial"/>
          <w:i/>
          <w:color w:val="000000"/>
          <w:sz w:val="20"/>
          <w:lang w:val="en-US"/>
        </w:rPr>
        <w:t>DDB1</w:t>
      </w:r>
      <w:r w:rsidRPr="00CC4D2B">
        <w:rPr>
          <w:rFonts w:ascii="Arial" w:hAnsi="Arial" w:cs="Arial"/>
          <w:color w:val="000000"/>
          <w:sz w:val="20"/>
          <w:lang w:val="en-US"/>
        </w:rPr>
        <w:t xml:space="preserve">, </w:t>
      </w:r>
      <w:r w:rsidRPr="00CC4D2B">
        <w:rPr>
          <w:rFonts w:ascii="Arial" w:hAnsi="Arial" w:cs="Arial"/>
          <w:i/>
          <w:color w:val="000000"/>
          <w:sz w:val="20"/>
          <w:lang w:val="en-US"/>
        </w:rPr>
        <w:t>PRPF19</w:t>
      </w:r>
      <w:r w:rsidRPr="00CC4D2B">
        <w:rPr>
          <w:rFonts w:ascii="Arial" w:hAnsi="Arial" w:cs="Arial"/>
          <w:color w:val="000000"/>
          <w:sz w:val="20"/>
          <w:lang w:val="en-US"/>
        </w:rPr>
        <w:t xml:space="preserve">, and </w:t>
      </w:r>
      <w:r w:rsidRPr="00CC4D2B">
        <w:rPr>
          <w:rFonts w:ascii="Arial" w:hAnsi="Arial" w:cs="Arial"/>
          <w:i/>
          <w:color w:val="000000"/>
          <w:sz w:val="20"/>
          <w:lang w:val="en-US"/>
        </w:rPr>
        <w:t>COPS4</w:t>
      </w:r>
      <w:r w:rsidRPr="00CC4D2B">
        <w:rPr>
          <w:rFonts w:ascii="Arial" w:hAnsi="Arial" w:cs="Arial"/>
          <w:color w:val="000000"/>
          <w:sz w:val="20"/>
          <w:szCs w:val="20"/>
          <w:lang w:val="en-US"/>
        </w:rPr>
        <w:t xml:space="preserve"> respectively. </w:t>
      </w:r>
    </w:p>
    <w:p w:rsidR="00F16278" w:rsidRPr="00CC4D2B" w:rsidRDefault="00F16278" w:rsidP="00F16278">
      <w:pPr>
        <w:spacing w:line="480" w:lineRule="auto"/>
        <w:jc w:val="both"/>
        <w:rPr>
          <w:rFonts w:ascii="Arial" w:hAnsi="Arial" w:cs="Arial"/>
          <w:color w:val="000000"/>
          <w:sz w:val="20"/>
          <w:szCs w:val="20"/>
          <w:lang w:val="en-US"/>
        </w:rPr>
      </w:pPr>
    </w:p>
    <w:p w:rsidR="00F16278" w:rsidRPr="00CC4D2B" w:rsidRDefault="00F16278" w:rsidP="00F16278">
      <w:pPr>
        <w:keepNext/>
        <w:spacing w:line="480" w:lineRule="auto"/>
        <w:jc w:val="both"/>
        <w:rPr>
          <w:rFonts w:ascii="Arial" w:hAnsi="Arial" w:cs="Arial"/>
          <w:color w:val="000000"/>
          <w:sz w:val="20"/>
          <w:szCs w:val="20"/>
          <w:lang w:val="en-US"/>
        </w:rPr>
      </w:pPr>
    </w:p>
    <w:p w:rsidR="00F16278" w:rsidRPr="00CC4D2B" w:rsidRDefault="00F16278" w:rsidP="00F16278">
      <w:pPr>
        <w:keepNext/>
        <w:spacing w:line="480" w:lineRule="auto"/>
        <w:jc w:val="both"/>
        <w:rPr>
          <w:rFonts w:ascii="Arial" w:hAnsi="Arial" w:cs="Arial"/>
          <w:color w:val="000000"/>
          <w:sz w:val="20"/>
          <w:szCs w:val="20"/>
          <w:lang w:val="en-US"/>
        </w:rPr>
      </w:pPr>
    </w:p>
    <w:p w:rsidR="00F16278" w:rsidRPr="00CC4D2B" w:rsidRDefault="00F16278" w:rsidP="00F16278">
      <w:pPr>
        <w:keepNext/>
        <w:spacing w:line="480" w:lineRule="auto"/>
        <w:jc w:val="both"/>
        <w:rPr>
          <w:rFonts w:ascii="Arial" w:hAnsi="Arial" w:cs="Arial"/>
          <w:color w:val="000000"/>
          <w:sz w:val="20"/>
          <w:szCs w:val="20"/>
          <w:lang w:val="en-US"/>
        </w:rPr>
      </w:pPr>
    </w:p>
    <w:p w:rsidR="00F16278" w:rsidRPr="00CC4D2B" w:rsidRDefault="00F16278" w:rsidP="00F16278">
      <w:pPr>
        <w:keepNext/>
        <w:spacing w:line="480" w:lineRule="auto"/>
        <w:jc w:val="both"/>
        <w:rPr>
          <w:rFonts w:ascii="Arial" w:hAnsi="Arial" w:cs="Arial"/>
          <w:color w:val="000000"/>
          <w:sz w:val="20"/>
          <w:szCs w:val="20"/>
          <w:lang w:val="en-US"/>
        </w:rPr>
      </w:pPr>
    </w:p>
    <w:p w:rsidR="00F16278" w:rsidRPr="00CC4D2B" w:rsidRDefault="00F16278" w:rsidP="00F16278">
      <w:pPr>
        <w:keepNext/>
        <w:spacing w:line="480" w:lineRule="auto"/>
        <w:jc w:val="both"/>
        <w:rPr>
          <w:rFonts w:ascii="Arial" w:hAnsi="Arial" w:cs="Arial"/>
          <w:color w:val="000000"/>
          <w:sz w:val="20"/>
          <w:szCs w:val="20"/>
          <w:lang w:val="en-US"/>
        </w:rPr>
      </w:pPr>
    </w:p>
    <w:p w:rsidR="00F16278" w:rsidRPr="00CC4D2B" w:rsidRDefault="00F16278" w:rsidP="00F16278">
      <w:pPr>
        <w:keepNext/>
        <w:spacing w:line="480" w:lineRule="auto"/>
        <w:jc w:val="both"/>
        <w:rPr>
          <w:rFonts w:ascii="Arial" w:hAnsi="Arial" w:cs="Arial"/>
          <w:color w:val="000000"/>
          <w:sz w:val="20"/>
          <w:szCs w:val="20"/>
          <w:lang w:val="en-US"/>
        </w:rPr>
      </w:pPr>
    </w:p>
    <w:p w:rsidR="00F16278" w:rsidRPr="00CC4D2B" w:rsidRDefault="00F16278" w:rsidP="00F16278">
      <w:pPr>
        <w:keepNext/>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b/>
          <w:color w:val="000000"/>
          <w:sz w:val="20"/>
          <w:szCs w:val="20"/>
          <w:lang w:val="en-US"/>
        </w:rPr>
      </w:pPr>
      <w:r w:rsidRPr="00CC4D2B">
        <w:rPr>
          <w:rFonts w:ascii="Arial" w:hAnsi="Arial" w:cs="Arial"/>
          <w:b/>
          <w:color w:val="000000"/>
          <w:sz w:val="20"/>
          <w:szCs w:val="20"/>
          <w:lang w:val="en-US"/>
        </w:rPr>
        <w:br w:type="page"/>
      </w:r>
    </w:p>
    <w:p w:rsidR="00F16278" w:rsidRPr="00CC4D2B" w:rsidRDefault="007025CF" w:rsidP="00F16278">
      <w:pPr>
        <w:spacing w:before="240" w:line="480" w:lineRule="auto"/>
        <w:jc w:val="both"/>
        <w:rPr>
          <w:rFonts w:ascii="Arial" w:hAnsi="Arial" w:cs="Arial"/>
          <w:b/>
          <w:color w:val="000000"/>
          <w:sz w:val="20"/>
          <w:szCs w:val="20"/>
          <w:lang w:val="en-US"/>
        </w:rPr>
      </w:pPr>
      <w:r>
        <w:rPr>
          <w:noProof/>
          <w:color w:val="000000"/>
          <w:lang w:eastAsia="en-IN"/>
        </w:rPr>
        <w:lastRenderedPageBreak/>
        <w:drawing>
          <wp:inline distT="0" distB="0" distL="0" distR="0">
            <wp:extent cx="5730875" cy="2019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30875" cy="2019935"/>
                    </a:xfrm>
                    <a:prstGeom prst="rect">
                      <a:avLst/>
                    </a:prstGeom>
                    <a:noFill/>
                    <a:ln w="9525">
                      <a:noFill/>
                      <a:miter lim="800000"/>
                      <a:headEnd/>
                      <a:tailEnd/>
                    </a:ln>
                  </pic:spPr>
                </pic:pic>
              </a:graphicData>
            </a:graphic>
          </wp:inline>
        </w:drawing>
      </w:r>
    </w:p>
    <w:p w:rsidR="00F965F3" w:rsidRPr="00CC4D2B" w:rsidRDefault="00F16278" w:rsidP="00F965F3">
      <w:pPr>
        <w:spacing w:line="480" w:lineRule="auto"/>
        <w:jc w:val="both"/>
        <w:rPr>
          <w:rFonts w:ascii="Arial" w:hAnsi="Arial" w:cs="Arial"/>
          <w:iCs/>
          <w:color w:val="000000"/>
          <w:sz w:val="20"/>
          <w:szCs w:val="20"/>
          <w:lang w:val="en-US"/>
        </w:rPr>
      </w:pPr>
      <w:r w:rsidRPr="00CC4D2B">
        <w:rPr>
          <w:rFonts w:ascii="Arial" w:hAnsi="Arial" w:cs="Arial"/>
          <w:b/>
          <w:color w:val="000000"/>
          <w:sz w:val="20"/>
          <w:szCs w:val="20"/>
          <w:lang w:val="en-US"/>
        </w:rPr>
        <w:t xml:space="preserve">Supplementary </w:t>
      </w:r>
      <w:r w:rsidR="00791719" w:rsidRPr="00CC4D2B">
        <w:rPr>
          <w:rFonts w:ascii="Arial" w:hAnsi="Arial" w:cs="Arial"/>
          <w:b/>
          <w:color w:val="000000"/>
          <w:sz w:val="20"/>
          <w:szCs w:val="20"/>
          <w:lang w:val="en-US"/>
        </w:rPr>
        <w:t>F</w:t>
      </w:r>
      <w:r w:rsidRPr="00CC4D2B">
        <w:rPr>
          <w:rFonts w:ascii="Arial" w:hAnsi="Arial" w:cs="Arial"/>
          <w:b/>
          <w:color w:val="000000"/>
          <w:sz w:val="20"/>
          <w:szCs w:val="20"/>
          <w:lang w:val="en-US"/>
        </w:rPr>
        <w:t>igure 9:</w:t>
      </w:r>
      <w:r w:rsidRPr="00CC4D2B">
        <w:rPr>
          <w:rFonts w:ascii="Arial" w:hAnsi="Arial" w:cs="Arial"/>
          <w:color w:val="000000"/>
          <w:sz w:val="20"/>
          <w:szCs w:val="20"/>
          <w:lang w:val="en-US"/>
        </w:rPr>
        <w:t xml:space="preserve"> </w:t>
      </w:r>
      <w:r w:rsidRPr="00CC4D2B">
        <w:rPr>
          <w:rFonts w:ascii="Arial" w:hAnsi="Arial" w:cs="Arial"/>
          <w:iCs/>
          <w:color w:val="000000"/>
          <w:sz w:val="20"/>
          <w:szCs w:val="20"/>
          <w:lang w:val="en-US"/>
        </w:rPr>
        <w:t xml:space="preserve">Sensitivity and specificity of ensemble learning in the independent dataset prediction analysis with DEGs as features. SVM-radial, PAM and ensemble with 400 DEGs were ensemble together to achieve higher diagnostic precision. These models were compared using </w:t>
      </w:r>
      <w:r w:rsidRPr="00CC4D2B">
        <w:rPr>
          <w:rFonts w:ascii="Arial" w:hAnsi="Arial" w:cs="Arial"/>
          <w:color w:val="000000"/>
          <w:sz w:val="20"/>
          <w:szCs w:val="20"/>
          <w:lang w:val="en-US"/>
        </w:rPr>
        <w:t xml:space="preserve">RMA </w:t>
      </w:r>
      <w:r w:rsidRPr="00CC4D2B">
        <w:rPr>
          <w:rFonts w:ascii="Arial" w:hAnsi="Arial" w:cs="Arial"/>
          <w:iCs/>
          <w:color w:val="000000"/>
          <w:sz w:val="20"/>
          <w:szCs w:val="20"/>
          <w:lang w:val="en-US"/>
        </w:rPr>
        <w:t xml:space="preserve">followed by Tukey’s post hoc test with </w:t>
      </w:r>
      <w:r w:rsidR="0049429D" w:rsidRPr="00CC4D2B">
        <w:rPr>
          <w:rFonts w:ascii="Arial" w:hAnsi="Arial" w:cs="Arial"/>
          <w:color w:val="000000"/>
          <w:sz w:val="20"/>
          <w:szCs w:val="20"/>
          <w:lang w:val="en-US"/>
        </w:rPr>
        <w:t xml:space="preserve">Greenhouse-Geisser and </w:t>
      </w:r>
      <w:r w:rsidR="007700A3" w:rsidRPr="00CC4D2B">
        <w:rPr>
          <w:rFonts w:ascii="Arial" w:hAnsi="Arial" w:cs="Arial"/>
          <w:color w:val="000000"/>
          <w:sz w:val="20"/>
          <w:szCs w:val="20"/>
          <w:lang w:val="en-US"/>
        </w:rPr>
        <w:t>Huynh</w:t>
      </w:r>
      <w:r w:rsidR="0049429D" w:rsidRPr="00CC4D2B">
        <w:rPr>
          <w:rFonts w:ascii="Arial" w:hAnsi="Arial" w:cs="Arial"/>
          <w:color w:val="000000"/>
          <w:sz w:val="20"/>
          <w:szCs w:val="20"/>
          <w:lang w:val="en-US"/>
        </w:rPr>
        <w:t>-Feldt corrections</w:t>
      </w:r>
      <w:r w:rsidRPr="00CC4D2B">
        <w:rPr>
          <w:rFonts w:ascii="Arial" w:hAnsi="Arial" w:cs="Arial"/>
          <w:iCs/>
          <w:color w:val="000000"/>
          <w:sz w:val="20"/>
          <w:szCs w:val="20"/>
          <w:lang w:val="en-US"/>
        </w:rPr>
        <w:t xml:space="preserve">. A) This higher precision by ensemble learning was achieved with a drop in sensitivity and B) an increase in the specificity with respect to the individual models. </w:t>
      </w:r>
      <w:r w:rsidR="00F965F3" w:rsidRPr="00CC4D2B">
        <w:rPr>
          <w:rFonts w:ascii="Arial" w:hAnsi="Arial" w:cs="Arial"/>
          <w:color w:val="000000"/>
          <w:sz w:val="20"/>
          <w:szCs w:val="20"/>
          <w:lang w:val="en-US"/>
        </w:rPr>
        <w:t>(</w:t>
      </w:r>
      <w:r w:rsidR="00F965F3" w:rsidRPr="00CC4D2B">
        <w:rPr>
          <w:rFonts w:ascii="Arial" w:hAnsi="Arial" w:cs="Arial"/>
          <w:b/>
          <w:iCs/>
          <w:color w:val="000000"/>
          <w:sz w:val="20"/>
          <w:szCs w:val="20"/>
          <w:lang w:val="en-US"/>
        </w:rPr>
        <w:t>Note</w:t>
      </w:r>
      <w:r w:rsidR="00F965F3" w:rsidRPr="00CC4D2B">
        <w:rPr>
          <w:rFonts w:ascii="Arial" w:hAnsi="Arial" w:cs="Arial"/>
          <w:iCs/>
          <w:color w:val="000000"/>
          <w:sz w:val="20"/>
          <w:szCs w:val="20"/>
          <w:lang w:val="en-US"/>
        </w:rPr>
        <w:t>: Error bars represent standar</w:t>
      </w:r>
      <w:r w:rsidR="00C16953" w:rsidRPr="00CC4D2B">
        <w:rPr>
          <w:rFonts w:ascii="Arial" w:hAnsi="Arial" w:cs="Arial"/>
          <w:iCs/>
          <w:color w:val="000000"/>
          <w:sz w:val="20"/>
          <w:szCs w:val="20"/>
          <w:lang w:val="en-US"/>
        </w:rPr>
        <w:t>d deviation for ten iterations</w:t>
      </w:r>
      <w:r w:rsidR="00F965F3" w:rsidRPr="00CC4D2B">
        <w:rPr>
          <w:rFonts w:ascii="Arial" w:hAnsi="Arial" w:cs="Arial"/>
          <w:iCs/>
          <w:color w:val="000000"/>
          <w:sz w:val="20"/>
          <w:szCs w:val="20"/>
          <w:lang w:val="en-US"/>
        </w:rPr>
        <w:t xml:space="preserve">, </w:t>
      </w:r>
      <w:r w:rsidR="00C16953" w:rsidRPr="00CC4D2B">
        <w:rPr>
          <w:rFonts w:ascii="Arial" w:hAnsi="Arial" w:cs="Arial"/>
          <w:iCs/>
          <w:color w:val="000000"/>
          <w:sz w:val="20"/>
          <w:szCs w:val="20"/>
          <w:lang w:val="en-US"/>
        </w:rPr>
        <w:t>"**" (adjusted P value ≤ 0.01)</w:t>
      </w:r>
      <w:r w:rsidR="00F965F3" w:rsidRPr="00CC4D2B">
        <w:rPr>
          <w:rFonts w:ascii="Arial" w:hAnsi="Arial" w:cs="Arial"/>
          <w:iCs/>
          <w:color w:val="000000"/>
          <w:sz w:val="20"/>
          <w:szCs w:val="20"/>
          <w:lang w:val="en-US"/>
        </w:rPr>
        <w:t>, "****" (adjusted P value ≤ 0.0001)</w:t>
      </w:r>
      <w:r w:rsidR="00C16953" w:rsidRPr="00CC4D2B">
        <w:rPr>
          <w:rFonts w:ascii="Arial" w:hAnsi="Arial" w:cs="Arial"/>
          <w:iCs/>
          <w:color w:val="000000"/>
          <w:sz w:val="20"/>
          <w:szCs w:val="20"/>
          <w:lang w:val="en-US"/>
        </w:rPr>
        <w:t>)</w:t>
      </w: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iCs/>
          <w:color w:val="000000"/>
          <w:sz w:val="20"/>
          <w:szCs w:val="20"/>
          <w:lang w:val="en-US"/>
        </w:rPr>
      </w:pPr>
    </w:p>
    <w:p w:rsidR="00F16278" w:rsidRPr="00CC4D2B" w:rsidRDefault="00F16278" w:rsidP="00F16278">
      <w:pPr>
        <w:spacing w:line="480" w:lineRule="auto"/>
        <w:jc w:val="both"/>
        <w:rPr>
          <w:rFonts w:ascii="Arial" w:hAnsi="Arial" w:cs="Arial"/>
          <w:b/>
          <w:color w:val="000000"/>
          <w:sz w:val="20"/>
          <w:szCs w:val="20"/>
          <w:lang w:val="en-US"/>
        </w:rPr>
      </w:pPr>
    </w:p>
    <w:p w:rsidR="005406EC" w:rsidRPr="00CC4D2B" w:rsidRDefault="007025CF" w:rsidP="005406EC">
      <w:pPr>
        <w:spacing w:before="240" w:line="480" w:lineRule="auto"/>
        <w:jc w:val="both"/>
        <w:rPr>
          <w:color w:val="000000"/>
          <w:lang w:val="en-US"/>
        </w:rPr>
      </w:pPr>
      <w:r>
        <w:rPr>
          <w:noProof/>
          <w:color w:val="000000"/>
          <w:lang w:eastAsia="en-IN"/>
        </w:rPr>
        <w:lastRenderedPageBreak/>
        <w:drawing>
          <wp:inline distT="0" distB="0" distL="0" distR="0">
            <wp:extent cx="5730875" cy="4231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730875" cy="4231640"/>
                    </a:xfrm>
                    <a:prstGeom prst="rect">
                      <a:avLst/>
                    </a:prstGeom>
                    <a:noFill/>
                    <a:ln w="9525">
                      <a:noFill/>
                      <a:miter lim="800000"/>
                      <a:headEnd/>
                      <a:tailEnd/>
                    </a:ln>
                  </pic:spPr>
                </pic:pic>
              </a:graphicData>
            </a:graphic>
          </wp:inline>
        </w:drawing>
      </w:r>
    </w:p>
    <w:p w:rsidR="00F16278" w:rsidRPr="00CC4D2B" w:rsidRDefault="00F16278" w:rsidP="005406EC">
      <w:pPr>
        <w:spacing w:before="240" w:line="480" w:lineRule="auto"/>
        <w:jc w:val="both"/>
        <w:rPr>
          <w:rFonts w:ascii="Arial" w:hAnsi="Arial" w:cs="Arial"/>
          <w:iCs/>
          <w:color w:val="000000"/>
          <w:sz w:val="20"/>
          <w:szCs w:val="20"/>
          <w:lang w:val="en-US"/>
        </w:rPr>
      </w:pPr>
      <w:r w:rsidRPr="00CC4D2B">
        <w:rPr>
          <w:rFonts w:ascii="Arial" w:hAnsi="Arial" w:cs="Arial"/>
          <w:b/>
          <w:color w:val="000000"/>
          <w:sz w:val="20"/>
          <w:szCs w:val="20"/>
          <w:lang w:val="en-US"/>
        </w:rPr>
        <w:t xml:space="preserve">Supplementary </w:t>
      </w:r>
      <w:r w:rsidR="00791719" w:rsidRPr="00CC4D2B">
        <w:rPr>
          <w:rFonts w:ascii="Arial" w:hAnsi="Arial" w:cs="Arial"/>
          <w:b/>
          <w:color w:val="000000"/>
          <w:sz w:val="20"/>
          <w:szCs w:val="20"/>
          <w:lang w:val="en-US"/>
        </w:rPr>
        <w:t>F</w:t>
      </w:r>
      <w:r w:rsidRPr="00CC4D2B">
        <w:rPr>
          <w:rFonts w:ascii="Arial" w:hAnsi="Arial" w:cs="Arial"/>
          <w:b/>
          <w:color w:val="000000"/>
          <w:sz w:val="20"/>
          <w:szCs w:val="20"/>
          <w:lang w:val="en-US"/>
        </w:rPr>
        <w:t>igure 10:</w:t>
      </w:r>
      <w:r w:rsidRPr="00CC4D2B">
        <w:rPr>
          <w:b/>
          <w:bCs/>
          <w:color w:val="000000"/>
          <w:sz w:val="20"/>
          <w:szCs w:val="20"/>
          <w:lang w:val="en-US"/>
        </w:rPr>
        <w:t xml:space="preserve"> </w:t>
      </w:r>
      <w:r w:rsidRPr="00CC4D2B">
        <w:rPr>
          <w:rFonts w:ascii="Arial" w:hAnsi="Arial" w:cs="Arial"/>
          <w:iCs/>
          <w:color w:val="000000"/>
          <w:sz w:val="20"/>
          <w:szCs w:val="20"/>
          <w:lang w:val="en-US"/>
        </w:rPr>
        <w:t xml:space="preserve">Test data prediction accuracy and precision of SVM-radial, PAM and ensemble learning for each microarray dataset. The ensemble learning with </w:t>
      </w:r>
      <w:r w:rsidR="00791719" w:rsidRPr="00CC4D2B">
        <w:rPr>
          <w:rFonts w:ascii="Arial" w:hAnsi="Arial" w:cs="Arial"/>
          <w:iCs/>
          <w:color w:val="000000"/>
          <w:sz w:val="20"/>
          <w:szCs w:val="20"/>
          <w:lang w:val="en-US"/>
        </w:rPr>
        <w:t xml:space="preserve">the </w:t>
      </w:r>
      <w:r w:rsidRPr="00CC4D2B">
        <w:rPr>
          <w:rFonts w:ascii="Arial" w:hAnsi="Arial" w:cs="Arial"/>
          <w:iCs/>
          <w:color w:val="000000"/>
          <w:sz w:val="20"/>
          <w:szCs w:val="20"/>
          <w:lang w:val="en-US"/>
        </w:rPr>
        <w:t>top 400 DEGs was evaluated for its performance across each dataset. A) No specific trend was observed for ML models in class prediction of the datasets</w:t>
      </w:r>
      <w:r w:rsidR="00791719" w:rsidRPr="00CC4D2B">
        <w:rPr>
          <w:rFonts w:ascii="Arial" w:hAnsi="Arial" w:cs="Arial"/>
          <w:iCs/>
          <w:color w:val="000000"/>
          <w:sz w:val="20"/>
          <w:szCs w:val="20"/>
          <w:lang w:val="en-US"/>
        </w:rPr>
        <w:t>,</w:t>
      </w:r>
      <w:r w:rsidRPr="00CC4D2B">
        <w:rPr>
          <w:rFonts w:ascii="Arial" w:hAnsi="Arial" w:cs="Arial"/>
          <w:iCs/>
          <w:color w:val="000000"/>
          <w:sz w:val="20"/>
          <w:szCs w:val="20"/>
          <w:lang w:val="en-US"/>
        </w:rPr>
        <w:t xml:space="preserve"> irrespective of the tissue type, medication status and sample number. B) However, high precision in most of the datasets indicates a better performance ensemble learning over SVM-radial and PAM.</w:t>
      </w:r>
    </w:p>
    <w:p w:rsidR="00F16278" w:rsidRPr="00CC4D2B" w:rsidRDefault="00F16278" w:rsidP="00F16278">
      <w:pPr>
        <w:spacing w:line="480" w:lineRule="auto"/>
        <w:jc w:val="both"/>
        <w:rPr>
          <w:rFonts w:ascii="Arial" w:hAnsi="Arial" w:cs="Arial"/>
          <w:iCs/>
          <w:color w:val="000000"/>
          <w:sz w:val="20"/>
          <w:szCs w:val="20"/>
          <w:lang w:val="en-US"/>
        </w:rPr>
      </w:pPr>
    </w:p>
    <w:p w:rsidR="00727682" w:rsidRPr="00CC4D2B" w:rsidRDefault="00432050" w:rsidP="00432050">
      <w:pPr>
        <w:spacing w:line="480" w:lineRule="auto"/>
        <w:jc w:val="center"/>
        <w:rPr>
          <w:rFonts w:ascii="Arial" w:hAnsi="Arial" w:cs="Arial"/>
          <w:b/>
          <w:color w:val="000000"/>
          <w:sz w:val="20"/>
          <w:szCs w:val="20"/>
          <w:lang w:val="en-US"/>
        </w:rPr>
      </w:pPr>
      <w:r w:rsidRPr="00CC4D2B">
        <w:rPr>
          <w:color w:val="000000"/>
          <w:lang w:val="en-US"/>
        </w:rPr>
        <w:br w:type="page"/>
      </w:r>
      <w:proofErr w:type="spellStart"/>
      <w:r w:rsidRPr="00CC4D2B">
        <w:rPr>
          <w:rFonts w:ascii="Arial" w:hAnsi="Arial" w:cs="Arial"/>
          <w:b/>
          <w:color w:val="000000"/>
          <w:sz w:val="20"/>
          <w:szCs w:val="20"/>
          <w:lang w:val="en-US"/>
        </w:rPr>
        <w:lastRenderedPageBreak/>
        <w:t>Supplemetary</w:t>
      </w:r>
      <w:proofErr w:type="spellEnd"/>
      <w:r w:rsidRPr="00CC4D2B">
        <w:rPr>
          <w:rFonts w:ascii="Arial" w:hAnsi="Arial" w:cs="Arial"/>
          <w:b/>
          <w:color w:val="000000"/>
          <w:sz w:val="20"/>
          <w:szCs w:val="20"/>
          <w:lang w:val="en-US"/>
        </w:rPr>
        <w:t xml:space="preserve"> References</w:t>
      </w:r>
    </w:p>
    <w:p w:rsidR="00A81EE8" w:rsidRPr="002272A7" w:rsidRDefault="00CF1FBE" w:rsidP="00A81EE8">
      <w:pPr>
        <w:widowControl w:val="0"/>
        <w:autoSpaceDE w:val="0"/>
        <w:autoSpaceDN w:val="0"/>
        <w:adjustRightInd w:val="0"/>
        <w:spacing w:line="480" w:lineRule="auto"/>
        <w:ind w:left="640" w:hanging="640"/>
        <w:jc w:val="both"/>
        <w:rPr>
          <w:rFonts w:ascii="Arial" w:hAnsi="Arial" w:cs="Arial"/>
          <w:color w:val="000000"/>
          <w:sz w:val="20"/>
          <w:szCs w:val="24"/>
          <w:lang w:val="de-DE"/>
        </w:rPr>
      </w:pPr>
      <w:r w:rsidRPr="00CC4D2B">
        <w:rPr>
          <w:rFonts w:ascii="Arial" w:hAnsi="Arial" w:cs="Arial"/>
          <w:color w:val="000000"/>
          <w:sz w:val="20"/>
          <w:lang w:val="en-US"/>
        </w:rPr>
        <w:fldChar w:fldCharType="begin" w:fldLock="1"/>
      </w:r>
      <w:r w:rsidR="00A81EE8" w:rsidRPr="00CC4D2B">
        <w:rPr>
          <w:rFonts w:ascii="Arial" w:hAnsi="Arial" w:cs="Arial"/>
          <w:color w:val="000000"/>
          <w:sz w:val="20"/>
          <w:lang w:val="en-US"/>
        </w:rPr>
        <w:instrText xml:space="preserve">ADDIN Mendeley Bibliography CSL_BIBLIOGRAPHY </w:instrText>
      </w:r>
      <w:r w:rsidRPr="00CC4D2B">
        <w:rPr>
          <w:rFonts w:ascii="Arial" w:hAnsi="Arial" w:cs="Arial"/>
          <w:color w:val="000000"/>
          <w:sz w:val="20"/>
          <w:lang w:val="en-US"/>
        </w:rPr>
        <w:fldChar w:fldCharType="separate"/>
      </w:r>
      <w:r w:rsidR="00A81EE8" w:rsidRPr="00CC4D2B">
        <w:rPr>
          <w:rFonts w:ascii="Arial" w:hAnsi="Arial" w:cs="Arial"/>
          <w:color w:val="000000"/>
          <w:sz w:val="20"/>
          <w:szCs w:val="24"/>
          <w:lang w:val="en-US"/>
        </w:rPr>
        <w:t xml:space="preserve">1. </w:t>
      </w:r>
      <w:r w:rsidR="00A81EE8" w:rsidRPr="00CC4D2B">
        <w:rPr>
          <w:rFonts w:ascii="Arial" w:hAnsi="Arial" w:cs="Arial"/>
          <w:color w:val="000000"/>
          <w:sz w:val="20"/>
          <w:szCs w:val="24"/>
          <w:lang w:val="en-US"/>
        </w:rPr>
        <w:tab/>
        <w:t xml:space="preserve">Bousman CA, Chana G, Glatt SJ, et al. Preliminary evidence of ubiquitin proteasome system dysregulation in schizophrenia and bipolar disorder: convergent pathway analysis findings from two independent samples. </w:t>
      </w:r>
      <w:r w:rsidR="00A81EE8" w:rsidRPr="002272A7">
        <w:rPr>
          <w:rFonts w:ascii="Arial" w:hAnsi="Arial" w:cs="Arial"/>
          <w:i/>
          <w:iCs/>
          <w:color w:val="000000"/>
          <w:sz w:val="20"/>
          <w:szCs w:val="24"/>
          <w:lang w:val="de-DE"/>
        </w:rPr>
        <w:t>Am J Med Genet B Neuropsychiatr Genet</w:t>
      </w:r>
      <w:r w:rsidR="00A81EE8" w:rsidRPr="002272A7">
        <w:rPr>
          <w:rFonts w:ascii="Arial" w:hAnsi="Arial" w:cs="Arial"/>
          <w:color w:val="000000"/>
          <w:sz w:val="20"/>
          <w:szCs w:val="24"/>
          <w:lang w:val="de-DE"/>
        </w:rPr>
        <w:t>. 2010;153B(2):494-502. doi:10.1002/ajmg.b.31006</w:t>
      </w:r>
    </w:p>
    <w:p w:rsidR="00A81EE8" w:rsidRPr="00CC4D2B" w:rsidRDefault="00A81EE8" w:rsidP="00A81EE8">
      <w:pPr>
        <w:widowControl w:val="0"/>
        <w:autoSpaceDE w:val="0"/>
        <w:autoSpaceDN w:val="0"/>
        <w:adjustRightInd w:val="0"/>
        <w:spacing w:line="480" w:lineRule="auto"/>
        <w:ind w:left="640" w:hanging="640"/>
        <w:jc w:val="both"/>
        <w:rPr>
          <w:rFonts w:ascii="Arial" w:hAnsi="Arial" w:cs="Arial"/>
          <w:color w:val="000000"/>
          <w:sz w:val="20"/>
          <w:szCs w:val="24"/>
          <w:lang w:val="en-US"/>
        </w:rPr>
      </w:pPr>
      <w:r w:rsidRPr="00CC4D2B">
        <w:rPr>
          <w:rFonts w:ascii="Arial" w:hAnsi="Arial" w:cs="Arial"/>
          <w:color w:val="000000"/>
          <w:sz w:val="20"/>
          <w:szCs w:val="24"/>
          <w:lang w:val="en-US"/>
        </w:rPr>
        <w:t xml:space="preserve">2. </w:t>
      </w:r>
      <w:r w:rsidRPr="00CC4D2B">
        <w:rPr>
          <w:rFonts w:ascii="Arial" w:hAnsi="Arial" w:cs="Arial"/>
          <w:color w:val="000000"/>
          <w:sz w:val="20"/>
          <w:szCs w:val="24"/>
          <w:lang w:val="en-US"/>
        </w:rPr>
        <w:tab/>
        <w:t xml:space="preserve">de Jong S, Boks MPM, Fuller TF, et al. A Gene Co-Expression Network in Whole Blood of Schizophrenia Patients Is Independent of Antipsychotic-Use and Enriched for Brain-Expressed Genes. Mazza M, ed. </w:t>
      </w:r>
      <w:r w:rsidRPr="00CC4D2B">
        <w:rPr>
          <w:rFonts w:ascii="Arial" w:hAnsi="Arial" w:cs="Arial"/>
          <w:i/>
          <w:iCs/>
          <w:color w:val="000000"/>
          <w:sz w:val="20"/>
          <w:szCs w:val="24"/>
          <w:lang w:val="en-US"/>
        </w:rPr>
        <w:t>PLoS One</w:t>
      </w:r>
      <w:r w:rsidRPr="00CC4D2B">
        <w:rPr>
          <w:rFonts w:ascii="Arial" w:hAnsi="Arial" w:cs="Arial"/>
          <w:color w:val="000000"/>
          <w:sz w:val="20"/>
          <w:szCs w:val="24"/>
          <w:lang w:val="en-US"/>
        </w:rPr>
        <w:t>. 2012;7(6):e39498. doi:10.1371/journal.pone.0039498</w:t>
      </w:r>
    </w:p>
    <w:p w:rsidR="00A81EE8" w:rsidRPr="00CC4D2B" w:rsidRDefault="00A81EE8" w:rsidP="00A81EE8">
      <w:pPr>
        <w:widowControl w:val="0"/>
        <w:autoSpaceDE w:val="0"/>
        <w:autoSpaceDN w:val="0"/>
        <w:adjustRightInd w:val="0"/>
        <w:spacing w:line="480" w:lineRule="auto"/>
        <w:ind w:left="640" w:hanging="640"/>
        <w:jc w:val="both"/>
        <w:rPr>
          <w:rFonts w:ascii="Arial" w:hAnsi="Arial" w:cs="Arial"/>
          <w:color w:val="000000"/>
          <w:sz w:val="20"/>
          <w:szCs w:val="24"/>
          <w:lang w:val="en-US"/>
        </w:rPr>
      </w:pPr>
      <w:r w:rsidRPr="00CC4D2B">
        <w:rPr>
          <w:rFonts w:ascii="Arial" w:hAnsi="Arial" w:cs="Arial"/>
          <w:color w:val="000000"/>
          <w:sz w:val="20"/>
          <w:szCs w:val="24"/>
          <w:lang w:val="en-US"/>
        </w:rPr>
        <w:t xml:space="preserve">3. </w:t>
      </w:r>
      <w:r w:rsidRPr="00CC4D2B">
        <w:rPr>
          <w:rFonts w:ascii="Arial" w:hAnsi="Arial" w:cs="Arial"/>
          <w:color w:val="000000"/>
          <w:sz w:val="20"/>
          <w:szCs w:val="24"/>
          <w:lang w:val="en-US"/>
        </w:rPr>
        <w:tab/>
        <w:t xml:space="preserve">Stoll G, Pietiläinen OPH, Linder B, et al. Deletion of TOP3β, a component of FMRP-containing mRNPs, contributes to neurodevelopmental disorders. </w:t>
      </w:r>
      <w:r w:rsidRPr="00CC4D2B">
        <w:rPr>
          <w:rFonts w:ascii="Arial" w:hAnsi="Arial" w:cs="Arial"/>
          <w:i/>
          <w:iCs/>
          <w:color w:val="000000"/>
          <w:sz w:val="20"/>
          <w:szCs w:val="24"/>
          <w:lang w:val="en-US"/>
        </w:rPr>
        <w:t>Nat Neurosci</w:t>
      </w:r>
      <w:r w:rsidRPr="00CC4D2B">
        <w:rPr>
          <w:rFonts w:ascii="Arial" w:hAnsi="Arial" w:cs="Arial"/>
          <w:color w:val="000000"/>
          <w:sz w:val="20"/>
          <w:szCs w:val="24"/>
          <w:lang w:val="en-US"/>
        </w:rPr>
        <w:t>. 2013;16(9):1228-1237. doi:10.1038/nn.3484</w:t>
      </w:r>
    </w:p>
    <w:p w:rsidR="00A81EE8" w:rsidRPr="00CC4D2B" w:rsidRDefault="00A81EE8" w:rsidP="00A81EE8">
      <w:pPr>
        <w:widowControl w:val="0"/>
        <w:autoSpaceDE w:val="0"/>
        <w:autoSpaceDN w:val="0"/>
        <w:adjustRightInd w:val="0"/>
        <w:spacing w:line="480" w:lineRule="auto"/>
        <w:ind w:left="640" w:hanging="640"/>
        <w:jc w:val="both"/>
        <w:rPr>
          <w:rFonts w:ascii="Arial" w:hAnsi="Arial" w:cs="Arial"/>
          <w:color w:val="000000"/>
          <w:sz w:val="20"/>
          <w:szCs w:val="24"/>
          <w:lang w:val="en-US"/>
        </w:rPr>
      </w:pPr>
      <w:r w:rsidRPr="00CC4D2B">
        <w:rPr>
          <w:rFonts w:ascii="Arial" w:hAnsi="Arial" w:cs="Arial"/>
          <w:color w:val="000000"/>
          <w:sz w:val="20"/>
          <w:szCs w:val="24"/>
          <w:lang w:val="en-US"/>
        </w:rPr>
        <w:t xml:space="preserve">4. </w:t>
      </w:r>
      <w:r w:rsidRPr="00CC4D2B">
        <w:rPr>
          <w:rFonts w:ascii="Arial" w:hAnsi="Arial" w:cs="Arial"/>
          <w:color w:val="000000"/>
          <w:sz w:val="20"/>
          <w:szCs w:val="24"/>
          <w:lang w:val="en-US"/>
        </w:rPr>
        <w:tab/>
        <w:t xml:space="preserve">Xu Y, Yao Shugart Y, Wang G, et al. Altered expression of mRNA profiles in blood of early-onset schizophrenia. </w:t>
      </w:r>
      <w:r w:rsidRPr="00CC4D2B">
        <w:rPr>
          <w:rFonts w:ascii="Arial" w:hAnsi="Arial" w:cs="Arial"/>
          <w:i/>
          <w:iCs/>
          <w:color w:val="000000"/>
          <w:sz w:val="20"/>
          <w:szCs w:val="24"/>
          <w:lang w:val="en-US"/>
        </w:rPr>
        <w:t>Sci Rep</w:t>
      </w:r>
      <w:r w:rsidRPr="00CC4D2B">
        <w:rPr>
          <w:rFonts w:ascii="Arial" w:hAnsi="Arial" w:cs="Arial"/>
          <w:color w:val="000000"/>
          <w:sz w:val="20"/>
          <w:szCs w:val="24"/>
          <w:lang w:val="en-US"/>
        </w:rPr>
        <w:t>. 2016;6(1):16767. doi:10.1038/srep16767</w:t>
      </w:r>
    </w:p>
    <w:p w:rsidR="00A81EE8" w:rsidRPr="00CC4D2B" w:rsidRDefault="00A81EE8" w:rsidP="00A81EE8">
      <w:pPr>
        <w:widowControl w:val="0"/>
        <w:autoSpaceDE w:val="0"/>
        <w:autoSpaceDN w:val="0"/>
        <w:adjustRightInd w:val="0"/>
        <w:spacing w:line="480" w:lineRule="auto"/>
        <w:ind w:left="640" w:hanging="640"/>
        <w:jc w:val="both"/>
        <w:rPr>
          <w:rFonts w:ascii="Arial" w:hAnsi="Arial" w:cs="Arial"/>
          <w:color w:val="000000"/>
          <w:sz w:val="20"/>
          <w:szCs w:val="24"/>
          <w:lang w:val="en-US"/>
        </w:rPr>
      </w:pPr>
      <w:r w:rsidRPr="00CC4D2B">
        <w:rPr>
          <w:rFonts w:ascii="Arial" w:hAnsi="Arial" w:cs="Arial"/>
          <w:color w:val="000000"/>
          <w:sz w:val="20"/>
          <w:szCs w:val="24"/>
          <w:lang w:val="en-US"/>
        </w:rPr>
        <w:t xml:space="preserve">5. </w:t>
      </w:r>
      <w:r w:rsidRPr="00CC4D2B">
        <w:rPr>
          <w:rFonts w:ascii="Arial" w:hAnsi="Arial" w:cs="Arial"/>
          <w:color w:val="000000"/>
          <w:sz w:val="20"/>
          <w:szCs w:val="24"/>
          <w:lang w:val="en-US"/>
        </w:rPr>
        <w:tab/>
        <w:t xml:space="preserve">Kumarasinghe N, Beveridge NJ, Gardiner E, et al. Gene expression profiling in treatment-naive schizophrenia patients identifies abnormalities in biological pathways involving AKT1 that are corrected by antipsychotic medication. </w:t>
      </w:r>
      <w:r w:rsidRPr="00CC4D2B">
        <w:rPr>
          <w:rFonts w:ascii="Arial" w:hAnsi="Arial" w:cs="Arial"/>
          <w:i/>
          <w:iCs/>
          <w:color w:val="000000"/>
          <w:sz w:val="20"/>
          <w:szCs w:val="24"/>
          <w:lang w:val="en-US"/>
        </w:rPr>
        <w:t>Int J Neuropsychopharmacol</w:t>
      </w:r>
      <w:r w:rsidRPr="00CC4D2B">
        <w:rPr>
          <w:rFonts w:ascii="Arial" w:hAnsi="Arial" w:cs="Arial"/>
          <w:color w:val="000000"/>
          <w:sz w:val="20"/>
          <w:szCs w:val="24"/>
          <w:lang w:val="en-US"/>
        </w:rPr>
        <w:t>. 2013;16(07):1483-1503. doi:10.1017/S1461145713000035</w:t>
      </w:r>
    </w:p>
    <w:p w:rsidR="00A81EE8" w:rsidRPr="00CC4D2B" w:rsidRDefault="00A81EE8" w:rsidP="00A81EE8">
      <w:pPr>
        <w:widowControl w:val="0"/>
        <w:autoSpaceDE w:val="0"/>
        <w:autoSpaceDN w:val="0"/>
        <w:adjustRightInd w:val="0"/>
        <w:spacing w:line="480" w:lineRule="auto"/>
        <w:ind w:left="640" w:hanging="640"/>
        <w:jc w:val="both"/>
        <w:rPr>
          <w:rFonts w:ascii="Arial" w:hAnsi="Arial" w:cs="Arial"/>
          <w:color w:val="000000"/>
          <w:sz w:val="20"/>
          <w:lang w:val="en-US"/>
        </w:rPr>
      </w:pPr>
      <w:r w:rsidRPr="00CC4D2B">
        <w:rPr>
          <w:rFonts w:ascii="Arial" w:hAnsi="Arial" w:cs="Arial"/>
          <w:color w:val="000000"/>
          <w:sz w:val="20"/>
          <w:szCs w:val="24"/>
          <w:lang w:val="en-US"/>
        </w:rPr>
        <w:t xml:space="preserve">6. </w:t>
      </w:r>
      <w:r w:rsidRPr="00CC4D2B">
        <w:rPr>
          <w:rFonts w:ascii="Arial" w:hAnsi="Arial" w:cs="Arial"/>
          <w:color w:val="000000"/>
          <w:sz w:val="20"/>
          <w:szCs w:val="24"/>
          <w:lang w:val="en-US"/>
        </w:rPr>
        <w:tab/>
        <w:t xml:space="preserve">van Beveren NJM, Buitendijk GHS, Swagemakers S, et al. Marked reduction of AKT1 expression and deregulation of AKT1-associated pathways in peripheral blood mononuclear cells of schizophrenia patients. </w:t>
      </w:r>
      <w:r w:rsidRPr="00CC4D2B">
        <w:rPr>
          <w:rFonts w:ascii="Arial" w:hAnsi="Arial" w:cs="Arial"/>
          <w:i/>
          <w:iCs/>
          <w:color w:val="000000"/>
          <w:sz w:val="20"/>
          <w:szCs w:val="24"/>
          <w:lang w:val="en-US"/>
        </w:rPr>
        <w:t>PLoS One</w:t>
      </w:r>
      <w:r w:rsidRPr="00CC4D2B">
        <w:rPr>
          <w:rFonts w:ascii="Arial" w:hAnsi="Arial" w:cs="Arial"/>
          <w:color w:val="000000"/>
          <w:sz w:val="20"/>
          <w:szCs w:val="24"/>
          <w:lang w:val="en-US"/>
        </w:rPr>
        <w:t>. 2012;7(2). doi:10.1371/journal.pone.0032618</w:t>
      </w:r>
    </w:p>
    <w:p w:rsidR="00432050" w:rsidRPr="00CC4D2B" w:rsidRDefault="00CF1FBE" w:rsidP="00A81EE8">
      <w:pPr>
        <w:spacing w:line="480" w:lineRule="auto"/>
        <w:jc w:val="both"/>
        <w:rPr>
          <w:color w:val="000000"/>
          <w:lang w:val="en-US"/>
        </w:rPr>
      </w:pPr>
      <w:r w:rsidRPr="00CC4D2B">
        <w:rPr>
          <w:rFonts w:ascii="Arial" w:hAnsi="Arial" w:cs="Arial"/>
          <w:color w:val="000000"/>
          <w:sz w:val="20"/>
          <w:lang w:val="en-US"/>
        </w:rPr>
        <w:fldChar w:fldCharType="end"/>
      </w:r>
    </w:p>
    <w:sectPr w:rsidR="00432050" w:rsidRPr="00CC4D2B" w:rsidSect="00CF464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F464C" w:rsidRDefault="00CF464C">
      <w:pPr>
        <w:spacing w:after="0" w:line="240" w:lineRule="auto"/>
      </w:pPr>
      <w:r>
        <w:separator/>
      </w:r>
    </w:p>
  </w:endnote>
  <w:endnote w:type="continuationSeparator" w:id="0">
    <w:p w:rsidR="00CF464C" w:rsidRDefault="00CF4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F464C" w:rsidRDefault="00CF464C">
      <w:pPr>
        <w:spacing w:after="0" w:line="240" w:lineRule="auto"/>
      </w:pPr>
      <w:r>
        <w:separator/>
      </w:r>
    </w:p>
  </w:footnote>
  <w:footnote w:type="continuationSeparator" w:id="0">
    <w:p w:rsidR="00CF464C" w:rsidRDefault="00CF46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855E49"/>
    <w:multiLevelType w:val="hybridMultilevel"/>
    <w:tmpl w:val="C38A18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9464D87"/>
    <w:multiLevelType w:val="multilevel"/>
    <w:tmpl w:val="01242D5E"/>
    <w:lvl w:ilvl="0">
      <w:start w:val="1"/>
      <w:numFmt w:val="decimal"/>
      <w:lvlText w:val="%1."/>
      <w:lvlJc w:val="left"/>
      <w:pPr>
        <w:ind w:left="360" w:hanging="360"/>
      </w:pPr>
      <w:rPr>
        <w:rFonts w:ascii="Arial" w:hAnsi="Arial" w:hint="default"/>
        <w:b/>
        <w:i w:val="0"/>
        <w:sz w:val="20"/>
      </w:rPr>
    </w:lvl>
    <w:lvl w:ilvl="1">
      <w:start w:val="1"/>
      <w:numFmt w:val="decimal"/>
      <w:pStyle w:val="Heading2"/>
      <w:lvlText w:val="%1.%2."/>
      <w:lvlJc w:val="left"/>
      <w:pPr>
        <w:ind w:left="934" w:hanging="792"/>
      </w:pPr>
      <w:rPr>
        <w:rFonts w:ascii="Arial" w:hAnsi="Arial" w:hint="default"/>
        <w:b w:val="0"/>
        <w:i w:val="0"/>
        <w:color w:val="00000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28660294">
    <w:abstractNumId w:val="1"/>
  </w:num>
  <w:num w:numId="2" w16cid:durableId="2051955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IysjQxNzE1tDQzN7VQ0lEKTi0uzszPAykwNKgFAC16CLYtAAAA"/>
  </w:docVars>
  <w:rsids>
    <w:rsidRoot w:val="00727682"/>
    <w:rsid w:val="00041FCA"/>
    <w:rsid w:val="000849D6"/>
    <w:rsid w:val="000D4DF6"/>
    <w:rsid w:val="001700B9"/>
    <w:rsid w:val="0017463F"/>
    <w:rsid w:val="00187976"/>
    <w:rsid w:val="001B52AB"/>
    <w:rsid w:val="001D6716"/>
    <w:rsid w:val="002272A7"/>
    <w:rsid w:val="002E66E7"/>
    <w:rsid w:val="003953E1"/>
    <w:rsid w:val="003A74C6"/>
    <w:rsid w:val="003C7095"/>
    <w:rsid w:val="00432050"/>
    <w:rsid w:val="0049429D"/>
    <w:rsid w:val="005406EC"/>
    <w:rsid w:val="0055006F"/>
    <w:rsid w:val="005503DA"/>
    <w:rsid w:val="00592BFC"/>
    <w:rsid w:val="005E08A4"/>
    <w:rsid w:val="005F31CB"/>
    <w:rsid w:val="006071C8"/>
    <w:rsid w:val="00626AD0"/>
    <w:rsid w:val="00663116"/>
    <w:rsid w:val="00683830"/>
    <w:rsid w:val="006E3D3D"/>
    <w:rsid w:val="007025CF"/>
    <w:rsid w:val="00727682"/>
    <w:rsid w:val="00737D56"/>
    <w:rsid w:val="007700A3"/>
    <w:rsid w:val="00791719"/>
    <w:rsid w:val="007A0C5A"/>
    <w:rsid w:val="007B0316"/>
    <w:rsid w:val="007F3218"/>
    <w:rsid w:val="00804605"/>
    <w:rsid w:val="00854F56"/>
    <w:rsid w:val="008906C5"/>
    <w:rsid w:val="008B6545"/>
    <w:rsid w:val="0097012F"/>
    <w:rsid w:val="009A4862"/>
    <w:rsid w:val="009F222B"/>
    <w:rsid w:val="00A52B50"/>
    <w:rsid w:val="00A81EE8"/>
    <w:rsid w:val="00B60549"/>
    <w:rsid w:val="00B67340"/>
    <w:rsid w:val="00BA1DC7"/>
    <w:rsid w:val="00BC611C"/>
    <w:rsid w:val="00C16953"/>
    <w:rsid w:val="00C23F0D"/>
    <w:rsid w:val="00C43C43"/>
    <w:rsid w:val="00C53814"/>
    <w:rsid w:val="00CC4D2B"/>
    <w:rsid w:val="00CF1FBE"/>
    <w:rsid w:val="00CF464C"/>
    <w:rsid w:val="00D11745"/>
    <w:rsid w:val="00D154D8"/>
    <w:rsid w:val="00D82346"/>
    <w:rsid w:val="00E01B98"/>
    <w:rsid w:val="00E26DCD"/>
    <w:rsid w:val="00E61A3B"/>
    <w:rsid w:val="00E94FD2"/>
    <w:rsid w:val="00EE2FFC"/>
    <w:rsid w:val="00F16278"/>
    <w:rsid w:val="00F209D1"/>
    <w:rsid w:val="00F46EF2"/>
    <w:rsid w:val="00F965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31BC5"/>
  <w15:docId w15:val="{2B06E6F9-867C-4DD4-9012-00C2DC63A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82"/>
    <w:pPr>
      <w:spacing w:after="200" w:line="276" w:lineRule="auto"/>
    </w:pPr>
    <w:rPr>
      <w:sz w:val="22"/>
      <w:szCs w:val="22"/>
      <w:lang w:val="en-IN" w:eastAsia="en-US"/>
    </w:rPr>
  </w:style>
  <w:style w:type="paragraph" w:styleId="Heading1">
    <w:name w:val="heading 1"/>
    <w:basedOn w:val="Normal"/>
    <w:next w:val="Normal"/>
    <w:link w:val="Heading1Char"/>
    <w:uiPriority w:val="9"/>
    <w:qFormat/>
    <w:rsid w:val="005503DA"/>
    <w:pPr>
      <w:keepNext/>
      <w:keepLines/>
      <w:spacing w:before="480" w:after="0"/>
      <w:outlineLvl w:val="0"/>
    </w:pPr>
    <w:rPr>
      <w:rFonts w:ascii="Arial" w:eastAsia="Times New Roman" w:hAnsi="Arial"/>
      <w:b/>
      <w:bCs/>
      <w:color w:val="000000"/>
      <w:sz w:val="20"/>
      <w:szCs w:val="28"/>
    </w:rPr>
  </w:style>
  <w:style w:type="paragraph" w:styleId="Heading2">
    <w:name w:val="heading 2"/>
    <w:basedOn w:val="Normal"/>
    <w:next w:val="Normal"/>
    <w:link w:val="Heading2Char"/>
    <w:uiPriority w:val="9"/>
    <w:unhideWhenUsed/>
    <w:qFormat/>
    <w:rsid w:val="005503DA"/>
    <w:pPr>
      <w:keepNext/>
      <w:keepLines/>
      <w:numPr>
        <w:ilvl w:val="1"/>
        <w:numId w:val="1"/>
      </w:numPr>
      <w:spacing w:before="200" w:after="0"/>
      <w:outlineLvl w:val="1"/>
    </w:pPr>
    <w:rPr>
      <w:rFonts w:ascii="Arial" w:eastAsia="Times New Roman" w:hAnsi="Arial"/>
      <w:bCs/>
      <w:color w:val="000000"/>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503DA"/>
    <w:rPr>
      <w:rFonts w:ascii="Arial" w:eastAsia="Times New Roman" w:hAnsi="Arial"/>
      <w:bCs/>
      <w:color w:val="000000"/>
      <w:szCs w:val="26"/>
      <w:lang w:eastAsia="en-US"/>
    </w:rPr>
  </w:style>
  <w:style w:type="character" w:customStyle="1" w:styleId="Heading1Char">
    <w:name w:val="Heading 1 Char"/>
    <w:link w:val="Heading1"/>
    <w:uiPriority w:val="9"/>
    <w:rsid w:val="005503DA"/>
    <w:rPr>
      <w:rFonts w:ascii="Arial" w:eastAsia="Times New Roman" w:hAnsi="Arial"/>
      <w:b/>
      <w:bCs/>
      <w:color w:val="000000"/>
      <w:szCs w:val="28"/>
      <w:lang w:eastAsia="en-US"/>
    </w:rPr>
  </w:style>
  <w:style w:type="paragraph" w:styleId="Caption">
    <w:name w:val="caption"/>
    <w:basedOn w:val="Normal"/>
    <w:next w:val="Normal"/>
    <w:uiPriority w:val="35"/>
    <w:unhideWhenUsed/>
    <w:qFormat/>
    <w:rsid w:val="00727682"/>
    <w:pPr>
      <w:spacing w:line="240" w:lineRule="auto"/>
    </w:pPr>
    <w:rPr>
      <w:i/>
      <w:iCs/>
      <w:color w:val="1F497D"/>
      <w:sz w:val="18"/>
      <w:szCs w:val="18"/>
    </w:rPr>
  </w:style>
  <w:style w:type="paragraph" w:styleId="BalloonText">
    <w:name w:val="Balloon Text"/>
    <w:basedOn w:val="Normal"/>
    <w:link w:val="BalloonTextChar"/>
    <w:uiPriority w:val="99"/>
    <w:semiHidden/>
    <w:unhideWhenUsed/>
    <w:rsid w:val="0072768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27682"/>
    <w:rPr>
      <w:rFonts w:ascii="Tahoma" w:eastAsia="Calibri" w:hAnsi="Tahoma" w:cs="Tahoma"/>
      <w:sz w:val="16"/>
      <w:szCs w:val="16"/>
    </w:rPr>
  </w:style>
  <w:style w:type="character" w:styleId="CommentReference">
    <w:name w:val="annotation reference"/>
    <w:uiPriority w:val="99"/>
    <w:semiHidden/>
    <w:unhideWhenUsed/>
    <w:rsid w:val="00C16953"/>
    <w:rPr>
      <w:sz w:val="16"/>
      <w:szCs w:val="16"/>
    </w:rPr>
  </w:style>
  <w:style w:type="paragraph" w:styleId="CommentText">
    <w:name w:val="annotation text"/>
    <w:basedOn w:val="Normal"/>
    <w:link w:val="CommentTextChar"/>
    <w:uiPriority w:val="99"/>
    <w:semiHidden/>
    <w:unhideWhenUsed/>
    <w:rsid w:val="00C16953"/>
    <w:rPr>
      <w:sz w:val="20"/>
      <w:szCs w:val="20"/>
    </w:rPr>
  </w:style>
  <w:style w:type="character" w:customStyle="1" w:styleId="CommentTextChar">
    <w:name w:val="Comment Text Char"/>
    <w:link w:val="CommentText"/>
    <w:uiPriority w:val="99"/>
    <w:semiHidden/>
    <w:rsid w:val="00C16953"/>
    <w:rPr>
      <w:lang w:eastAsia="en-US"/>
    </w:rPr>
  </w:style>
  <w:style w:type="paragraph" w:styleId="CommentSubject">
    <w:name w:val="annotation subject"/>
    <w:basedOn w:val="CommentText"/>
    <w:next w:val="CommentText"/>
    <w:link w:val="CommentSubjectChar"/>
    <w:uiPriority w:val="99"/>
    <w:semiHidden/>
    <w:unhideWhenUsed/>
    <w:rsid w:val="00C16953"/>
    <w:rPr>
      <w:b/>
      <w:bCs/>
    </w:rPr>
  </w:style>
  <w:style w:type="character" w:customStyle="1" w:styleId="CommentSubjectChar">
    <w:name w:val="Comment Subject Char"/>
    <w:link w:val="CommentSubject"/>
    <w:uiPriority w:val="99"/>
    <w:semiHidden/>
    <w:rsid w:val="00C1695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F909C-955A-4F05-881E-FFC1B1D13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14126</Words>
  <Characters>80521</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Satyajeet Khare</cp:lastModifiedBy>
  <cp:revision>13</cp:revision>
  <dcterms:created xsi:type="dcterms:W3CDTF">2024-05-01T07:05:00Z</dcterms:created>
  <dcterms:modified xsi:type="dcterms:W3CDTF">2024-05-01T13:41:00Z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42d0f433-dc54-3dca-aa95-d2c00fb5ae5a</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http://www.zotero.org/styles/elsevier-harvard</vt:lpwstr>
  </property>
  <property fmtid="{D5CDD505-2E9C-101B-9397-08002B2CF9AE}" pid="10" name="Mendeley Recent Style Name 2_1">
    <vt:lpwstr>Elsevier - Harvard (with titles)</vt:lpwstr>
  </property>
  <property fmtid="{D5CDD505-2E9C-101B-9397-08002B2CF9AE}" pid="11" name="Mendeley Recent Style Id 3_1">
    <vt:lpwstr>http://www.zotero.org/styles/frontiers-in-genetics</vt:lpwstr>
  </property>
  <property fmtid="{D5CDD505-2E9C-101B-9397-08002B2CF9AE}" pid="12" name="Mendeley Recent Style Name 3_1">
    <vt:lpwstr>Frontiers in Genetics</vt:lpwstr>
  </property>
  <property fmtid="{D5CDD505-2E9C-101B-9397-08002B2CF9AE}" pid="13" name="Mendeley Recent Style Id 4_1">
    <vt:lpwstr>http://www.zotero.org/styles/interdisciplinary-sciences-computational-life-sciences</vt:lpwstr>
  </property>
  <property fmtid="{D5CDD505-2E9C-101B-9397-08002B2CF9AE}" pid="14" name="Mendeley Recent Style Name 4_1">
    <vt:lpwstr>Interdisciplinary Sciences: Computational Life Sciences</vt:lpwstr>
  </property>
  <property fmtid="{D5CDD505-2E9C-101B-9397-08002B2CF9AE}" pid="15" name="Mendeley Recent Style Id 5_1">
    <vt:lpwstr>http://www.zotero.org/styles/mary-ann-liebert-harvard</vt:lpwstr>
  </property>
  <property fmtid="{D5CDD505-2E9C-101B-9397-08002B2CF9AE}" pid="16" name="Mendeley Recent Style Name 5_1">
    <vt:lpwstr>Mary Ann Liebert - Harvard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http://www.zotero.org/styles/neuroscience</vt:lpwstr>
  </property>
  <property fmtid="{D5CDD505-2E9C-101B-9397-08002B2CF9AE}" pid="22" name="Mendeley Recent Style Name 8_1">
    <vt:lpwstr>Neuroscience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