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ABFC" w14:textId="4F5FDEA0" w:rsidR="00627907" w:rsidRPr="008808AA" w:rsidRDefault="00627907" w:rsidP="00580B2C">
      <w:pPr>
        <w:pStyle w:val="Title"/>
        <w:spacing w:line="36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808A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Supplementary Material </w:t>
      </w:r>
    </w:p>
    <w:p w14:paraId="72F12CC6" w14:textId="77777777" w:rsidR="007E50E6" w:rsidRPr="008808AA" w:rsidRDefault="007E50E6">
      <w:pPr>
        <w:rPr>
          <w:rFonts w:ascii="Times New Roman" w:hAnsi="Times New Roman" w:cs="Times New Roman"/>
          <w:b/>
          <w:bCs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 xml:space="preserve">Challenges with estimating long-term overall survival in extensive stage small-cell lung cancer: A validation-based case </w:t>
      </w:r>
      <w:proofErr w:type="gramStart"/>
      <w:r w:rsidRPr="008808AA">
        <w:rPr>
          <w:rFonts w:ascii="Times New Roman" w:hAnsi="Times New Roman" w:cs="Times New Roman"/>
          <w:b/>
          <w:bCs/>
          <w:color w:val="000000"/>
        </w:rPr>
        <w:t>study</w:t>
      </w:r>
      <w:proofErr w:type="gramEnd"/>
    </w:p>
    <w:p w14:paraId="0C3109FE" w14:textId="092B8476" w:rsidR="008E328F" w:rsidRPr="008808AA" w:rsidRDefault="008E328F">
      <w:pPr>
        <w:rPr>
          <w:rFonts w:ascii="Times New Roman" w:hAnsi="Times New Roman" w:cs="Times New Roman"/>
          <w:b/>
          <w:bCs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 xml:space="preserve">Authors: </w:t>
      </w:r>
      <w:r w:rsidRPr="008808AA">
        <w:rPr>
          <w:rFonts w:ascii="Times New Roman" w:hAnsi="Times New Roman" w:cs="Times New Roman"/>
          <w:color w:val="000000"/>
        </w:rPr>
        <w:t xml:space="preserve">Sukhvinder Johal, PhD, AstraZeneca, Cambridge, United Kingdom; Lance </w:t>
      </w:r>
      <w:proofErr w:type="spellStart"/>
      <w:r w:rsidRPr="008808AA">
        <w:rPr>
          <w:rFonts w:ascii="Times New Roman" w:hAnsi="Times New Roman" w:cs="Times New Roman"/>
          <w:color w:val="000000"/>
        </w:rPr>
        <w:t>Brannman</w:t>
      </w:r>
      <w:proofErr w:type="spellEnd"/>
      <w:r w:rsidRPr="008808AA">
        <w:rPr>
          <w:rFonts w:ascii="Times New Roman" w:hAnsi="Times New Roman" w:cs="Times New Roman"/>
          <w:color w:val="000000"/>
        </w:rPr>
        <w:t xml:space="preserve">, PhD, AstraZeneca, Gaithersburg, Maryland, United States of America; Victor </w:t>
      </w:r>
      <w:proofErr w:type="spellStart"/>
      <w:r w:rsidRPr="008808AA">
        <w:rPr>
          <w:rFonts w:ascii="Times New Roman" w:hAnsi="Times New Roman" w:cs="Times New Roman"/>
          <w:color w:val="000000"/>
        </w:rPr>
        <w:t>Genestier</w:t>
      </w:r>
      <w:proofErr w:type="spellEnd"/>
      <w:r w:rsidRPr="008808AA">
        <w:rPr>
          <w:rFonts w:ascii="Times New Roman" w:hAnsi="Times New Roman" w:cs="Times New Roman"/>
          <w:color w:val="000000"/>
        </w:rPr>
        <w:t>, MSc, Amaris Consulting, Toronto, Ontario, Canada; Hélène Cawston, MSc, Amaris Consulting, Paris, France</w:t>
      </w:r>
    </w:p>
    <w:p w14:paraId="3E278762" w14:textId="2228C2E7" w:rsidR="00627907" w:rsidRPr="008808AA" w:rsidRDefault="008E328F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 xml:space="preserve">Corresponding author: </w:t>
      </w:r>
      <w:r w:rsidRPr="008808AA">
        <w:rPr>
          <w:rFonts w:ascii="Times New Roman" w:hAnsi="Times New Roman" w:cs="Times New Roman"/>
          <w:color w:val="000000"/>
        </w:rPr>
        <w:t xml:space="preserve">Sukhvinder Johal, PhD, Oncology Business Unit, Oncology Market Access and Pricing, AstraZeneca, Academy House, 136 Hills Road, Cambridge, CB2 8PA, United Kingdom, </w:t>
      </w:r>
      <w:hyperlink r:id="rId9" w:history="1">
        <w:r w:rsidR="00627907" w:rsidRPr="008808AA">
          <w:rPr>
            <w:rStyle w:val="Hyperlink"/>
            <w:rFonts w:ascii="Times New Roman" w:hAnsi="Times New Roman" w:cs="Times New Roman"/>
            <w:color w:val="000000"/>
          </w:rPr>
          <w:t>sukhvinder.johal@astrazeneca.com</w:t>
        </w:r>
      </w:hyperlink>
    </w:p>
    <w:p w14:paraId="7C647C46" w14:textId="3616DF03" w:rsidR="00E13FD6" w:rsidRPr="008808AA" w:rsidRDefault="00E13FD6">
      <w:pPr>
        <w:rPr>
          <w:rFonts w:ascii="Times New Roman" w:hAnsi="Times New Roman" w:cs="Times New Roman"/>
          <w:b/>
          <w:bCs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 xml:space="preserve">Declarations </w:t>
      </w:r>
    </w:p>
    <w:p w14:paraId="7370360C" w14:textId="55678EB8" w:rsidR="005E0435" w:rsidRPr="008808AA" w:rsidRDefault="005E0435" w:rsidP="005E0435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>Funding:</w:t>
      </w:r>
      <w:r w:rsidRPr="008808AA">
        <w:rPr>
          <w:rFonts w:ascii="Times New Roman" w:hAnsi="Times New Roman" w:cs="Times New Roman"/>
          <w:color w:val="000000"/>
        </w:rPr>
        <w:t xml:space="preserve"> This study was sponsored by AstraZeneca. The sponsor was involved in data collection, data analysis and manuscript preparation. </w:t>
      </w:r>
    </w:p>
    <w:p w14:paraId="232A578B" w14:textId="6E1F5871" w:rsidR="00E13FD6" w:rsidRPr="008808AA" w:rsidRDefault="005E0435" w:rsidP="005E0435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b/>
          <w:bCs/>
          <w:color w:val="000000"/>
        </w:rPr>
        <w:t>Conflicts of interest:</w:t>
      </w:r>
      <w:r w:rsidRPr="008808AA">
        <w:rPr>
          <w:rFonts w:ascii="Times New Roman" w:hAnsi="Times New Roman" w:cs="Times New Roman"/>
          <w:color w:val="000000"/>
        </w:rPr>
        <w:t xml:space="preserve"> This study was funded by AstraZeneca. Amaris received a consultancy fee from AstraZeneca to support this analysis and develop the manuscript. Victor </w:t>
      </w:r>
      <w:proofErr w:type="spellStart"/>
      <w:r w:rsidRPr="008808AA">
        <w:rPr>
          <w:rFonts w:ascii="Times New Roman" w:hAnsi="Times New Roman" w:cs="Times New Roman"/>
          <w:color w:val="000000"/>
        </w:rPr>
        <w:t>Genestier</w:t>
      </w:r>
      <w:proofErr w:type="spellEnd"/>
      <w:r w:rsidRPr="008808AA">
        <w:rPr>
          <w:rFonts w:ascii="Times New Roman" w:hAnsi="Times New Roman" w:cs="Times New Roman"/>
          <w:color w:val="000000"/>
        </w:rPr>
        <w:t xml:space="preserve"> and Hélène Cawston are employees of Amaris. Sukhvinder Johal and Lance </w:t>
      </w:r>
      <w:proofErr w:type="spellStart"/>
      <w:r w:rsidRPr="008808AA">
        <w:rPr>
          <w:rFonts w:ascii="Times New Roman" w:hAnsi="Times New Roman" w:cs="Times New Roman"/>
          <w:color w:val="000000"/>
        </w:rPr>
        <w:t>Brannman</w:t>
      </w:r>
      <w:proofErr w:type="spellEnd"/>
      <w:r w:rsidRPr="008808AA">
        <w:rPr>
          <w:rFonts w:ascii="Times New Roman" w:hAnsi="Times New Roman" w:cs="Times New Roman"/>
          <w:color w:val="000000"/>
        </w:rPr>
        <w:t xml:space="preserve"> are employees of AstraZeneca and report stock ownership in AstraZeneca.</w:t>
      </w:r>
    </w:p>
    <w:p w14:paraId="3458691B" w14:textId="77777777" w:rsidR="00627907" w:rsidRPr="008808AA" w:rsidRDefault="00627907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color w:val="000000"/>
        </w:rPr>
        <w:br w:type="page"/>
      </w:r>
    </w:p>
    <w:p w14:paraId="141EDB3F" w14:textId="77777777" w:rsidR="008E328F" w:rsidRPr="008808AA" w:rsidRDefault="008E328F">
      <w:pPr>
        <w:rPr>
          <w:rFonts w:ascii="Times New Roman" w:hAnsi="Times New Roman" w:cs="Times New Roman"/>
          <w:b/>
          <w:bCs/>
          <w:color w:val="000000"/>
        </w:rPr>
      </w:pPr>
    </w:p>
    <w:p w14:paraId="6B6F4B27" w14:textId="5DBF87AE" w:rsidR="007E05DE" w:rsidRPr="008808AA" w:rsidRDefault="007E05DE" w:rsidP="008808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808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Supplementary Table 1 </w:t>
      </w:r>
      <w:r w:rsidR="00B176A0" w:rsidRPr="008808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Restricted mean overall survival calculated over 2- and 3-year time horizons for durvalumab plus etoposide and platinum and etoposide and platinum </w:t>
      </w:r>
      <w:proofErr w:type="gramStart"/>
      <w:r w:rsidR="00B176A0" w:rsidRPr="008808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alone</w:t>
      </w:r>
      <w:proofErr w:type="gramEnd"/>
      <w:r w:rsidR="00B176A0" w:rsidRPr="008808AA" w:rsidDel="00B176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830"/>
        <w:gridCol w:w="1845"/>
        <w:gridCol w:w="1830"/>
        <w:gridCol w:w="1845"/>
      </w:tblGrid>
      <w:tr w:rsidR="00B176A0" w:rsidRPr="008808AA" w14:paraId="5F985714" w14:textId="77777777" w:rsidTr="00037F8D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39A9F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8F738B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Durva+EP</w:t>
            </w:r>
            <w:proofErr w:type="spellEnd"/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074A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EP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176A0" w:rsidRPr="008808AA" w14:paraId="4B845319" w14:textId="77777777" w:rsidTr="00037F8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17261" w14:textId="77777777" w:rsidR="00B176A0" w:rsidRPr="008808AA" w:rsidRDefault="00B176A0" w:rsidP="0003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DE47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Restricted mean survival at 2 years (years)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221A9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Restricted mean survival at 3 years (years)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E2435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Restricted mean survival at 2 years (years)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E064C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Restricted mean survival at 3 years (years)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176A0" w:rsidRPr="008808AA" w14:paraId="58760447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B67B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Kaplan-Meier curve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962B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5AF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9E1A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2F1E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1.09</w:t>
            </w:r>
          </w:p>
        </w:tc>
      </w:tr>
      <w:tr w:rsidR="00B176A0" w:rsidRPr="008808AA" w14:paraId="5B5F7A91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EF2D5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(log-logistic)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6A37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97D5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8702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D436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</w:t>
            </w:r>
          </w:p>
        </w:tc>
      </w:tr>
      <w:tr w:rsidR="00B176A0" w:rsidRPr="008808AA" w14:paraId="557C6167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DF6B2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Landmark 12 weeks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E0BB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3570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F47B9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F27F2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</w:t>
            </w:r>
          </w:p>
        </w:tc>
      </w:tr>
      <w:tr w:rsidR="00B176A0" w:rsidRPr="008808AA" w14:paraId="34494FCD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19B3D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(Gompertz)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D3F6F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78214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623BE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5E7C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1.10</w:t>
            </w:r>
          </w:p>
        </w:tc>
      </w:tr>
      <w:tr w:rsidR="00B176A0" w:rsidRPr="008808AA" w14:paraId="4504749D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74B9A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Non-mixture cure model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C54E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0C7A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826EF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A93C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1.09</w:t>
            </w:r>
          </w:p>
        </w:tc>
      </w:tr>
      <w:tr w:rsidR="00B176A0" w:rsidRPr="008808AA" w14:paraId="41E30F97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A88C5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Spline model (spline odds 3 knots)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DD052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DC30F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11E84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CA8C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1.10</w:t>
            </w:r>
          </w:p>
        </w:tc>
      </w:tr>
      <w:tr w:rsidR="00B176A0" w:rsidRPr="008808AA" w14:paraId="7D14EC86" w14:textId="77777777" w:rsidTr="00037F8D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9EA06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Markov model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3BDAC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052F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C962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8C1F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</w:t>
            </w:r>
          </w:p>
        </w:tc>
      </w:tr>
    </w:tbl>
    <w:p w14:paraId="5BB39A5B" w14:textId="17C5064A" w:rsidR="00B176A0" w:rsidRPr="008808AA" w:rsidRDefault="00B176A0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color w:val="000000"/>
        </w:rPr>
        <w:t>Abbreviations: Durva: durvalumab; EP: etoposide and platinum</w:t>
      </w:r>
    </w:p>
    <w:p w14:paraId="49ABE131" w14:textId="6D6A9819" w:rsidR="00000E25" w:rsidRPr="008808AA" w:rsidRDefault="003F1B83" w:rsidP="008808AA">
      <w:pPr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Supplementary Table 2 </w:t>
      </w:r>
      <w:r w:rsidR="00B176A0" w:rsidRPr="008808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Overall survival extrapolation estimates for the sensitivity </w:t>
      </w:r>
      <w:proofErr w:type="gramStart"/>
      <w:r w:rsidR="00B176A0" w:rsidRPr="008808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analyses</w:t>
      </w:r>
      <w:proofErr w:type="gramEnd"/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830"/>
        <w:gridCol w:w="1845"/>
        <w:gridCol w:w="1830"/>
        <w:gridCol w:w="1845"/>
      </w:tblGrid>
      <w:tr w:rsidR="00B176A0" w:rsidRPr="008808AA" w14:paraId="2897CE64" w14:textId="77777777" w:rsidTr="00B176A0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4053D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9F39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Durva+EP</w:t>
            </w:r>
            <w:proofErr w:type="spellEnd"/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1C5A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EP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176A0" w:rsidRPr="008808AA" w14:paraId="6403ADB0" w14:textId="77777777" w:rsidTr="00B176A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59370" w14:textId="77777777" w:rsidR="00B176A0" w:rsidRPr="008808AA" w:rsidRDefault="00B176A0" w:rsidP="0003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629F9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Survival at 3 years (%)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4F9B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Survival at 5 years (%)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CCD8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Survival at 3 years (%)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58B08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Survival at 5 years (%)</w:t>
            </w: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176A0" w:rsidRPr="008808AA" w14:paraId="72428445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B1578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Landmark 20 weeks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3A95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31A5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6188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7D13B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0.8 </w:t>
            </w:r>
          </w:p>
        </w:tc>
      </w:tr>
      <w:tr w:rsidR="00B176A0" w:rsidRPr="008808AA" w14:paraId="2C180F0F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941F9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(exponential)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4F7D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12.8 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52C8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B0C9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7.5 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DED5E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1.3 </w:t>
            </w:r>
          </w:p>
        </w:tc>
      </w:tr>
      <w:tr w:rsidR="00B176A0" w:rsidRPr="008808AA" w14:paraId="3A7B4577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6791C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(Weibull)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0E5A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770F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5952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73EA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0.1 </w:t>
            </w:r>
          </w:p>
        </w:tc>
      </w:tr>
      <w:tr w:rsidR="00B176A0" w:rsidRPr="008808AA" w14:paraId="77F4A6D2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4B3EF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(Gompertz)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79929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BA2B8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E4B1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14119E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0.0 </w:t>
            </w:r>
          </w:p>
        </w:tc>
      </w:tr>
      <w:tr w:rsidR="00B176A0" w:rsidRPr="008808AA" w14:paraId="6F4BBDDE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0D0FA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(Log-normal)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E0F6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2347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6.6 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B23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B8F7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3.3 </w:t>
            </w:r>
          </w:p>
        </w:tc>
      </w:tr>
      <w:tr w:rsidR="00B176A0" w:rsidRPr="008808AA" w14:paraId="7FBE527C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FCE61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Standard parametric (Generalized Gamma)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D4C4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364D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0059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32CE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0.1 </w:t>
            </w:r>
          </w:p>
        </w:tc>
      </w:tr>
      <w:tr w:rsidR="00B176A0" w:rsidRPr="008808AA" w14:paraId="3488605A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F6492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Spline model (spline hazard 3 knots)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202E4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5B41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B2A0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82D8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0.7 </w:t>
            </w:r>
          </w:p>
        </w:tc>
      </w:tr>
      <w:tr w:rsidR="00B176A0" w:rsidRPr="008808AA" w14:paraId="5A57A757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52646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Spline model (spline normal 3 knots)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A338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6C13F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0382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6CE5E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1.6 </w:t>
            </w:r>
          </w:p>
        </w:tc>
      </w:tr>
      <w:tr w:rsidR="00B176A0" w:rsidRPr="008808AA" w14:paraId="2392AE86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BA179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(Generalized Gamma)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E9C3E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C9E9B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17.7 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DA75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927A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4.8 </w:t>
            </w:r>
          </w:p>
        </w:tc>
      </w:tr>
      <w:tr w:rsidR="00B176A0" w:rsidRPr="008808AA" w14:paraId="097B56A1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E0C64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(Weibull)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E3DA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F398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DF8E9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2BD77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4.8 </w:t>
            </w:r>
          </w:p>
        </w:tc>
      </w:tr>
      <w:tr w:rsidR="00B176A0" w:rsidRPr="008808AA" w14:paraId="7A915FC1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726B8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(log-logistic)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53E9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14.5 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E968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15598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7.6 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D639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2.8 </w:t>
            </w:r>
          </w:p>
        </w:tc>
      </w:tr>
      <w:tr w:rsidR="00B176A0" w:rsidRPr="008808AA" w14:paraId="56E43CAC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36427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(log-normal)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5FB85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EDE82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6.7 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AD5C1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7.9 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70D4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2.4 </w:t>
            </w:r>
          </w:p>
        </w:tc>
      </w:tr>
      <w:tr w:rsidR="00B176A0" w:rsidRPr="008808AA" w14:paraId="40C13DB4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86608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(exponential)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F08B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AD223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6E030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7.5 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37876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1.3 </w:t>
            </w:r>
          </w:p>
        </w:tc>
      </w:tr>
      <w:tr w:rsidR="00B176A0" w:rsidRPr="008808AA" w14:paraId="44764B82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8FF87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Mixture cure model (Japan general population mortality)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FAF6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9596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18.0 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709A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6.1 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AFC1A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4.8 </w:t>
            </w:r>
          </w:p>
        </w:tc>
      </w:tr>
      <w:tr w:rsidR="00B176A0" w:rsidRPr="008808AA" w14:paraId="32B6F2D7" w14:textId="77777777" w:rsidTr="00B176A0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BA0CF" w14:textId="77777777" w:rsidR="00B176A0" w:rsidRPr="008808AA" w:rsidRDefault="00B176A0" w:rsidP="00037F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Mixture cure model (Ukraine general population mortality)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4CBDD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DACA3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4AA68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5.7 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A0C4F" w14:textId="77777777" w:rsidR="00B176A0" w:rsidRPr="008808AA" w:rsidRDefault="00B176A0" w:rsidP="00037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8A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4.8 </w:t>
            </w:r>
          </w:p>
        </w:tc>
      </w:tr>
    </w:tbl>
    <w:p w14:paraId="5583C4AF" w14:textId="33CAA90F" w:rsidR="00B176A0" w:rsidRPr="006F5143" w:rsidRDefault="00B176A0">
      <w:pPr>
        <w:rPr>
          <w:rFonts w:ascii="Times New Roman" w:hAnsi="Times New Roman" w:cs="Times New Roman"/>
          <w:color w:val="000000"/>
        </w:rPr>
      </w:pPr>
      <w:r w:rsidRPr="008808AA">
        <w:rPr>
          <w:rFonts w:ascii="Times New Roman" w:hAnsi="Times New Roman" w:cs="Times New Roman"/>
          <w:color w:val="000000"/>
        </w:rPr>
        <w:t>Abbreviations: Durva: durvalumab; EP: etoposide and platinum</w:t>
      </w:r>
    </w:p>
    <w:sectPr w:rsidR="00B176A0" w:rsidRPr="006F5143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14D6" w14:textId="77777777" w:rsidR="008808AA" w:rsidRDefault="008808AA" w:rsidP="008808AA">
      <w:pPr>
        <w:spacing w:after="0" w:line="240" w:lineRule="auto"/>
      </w:pPr>
      <w:r>
        <w:separator/>
      </w:r>
    </w:p>
  </w:endnote>
  <w:endnote w:type="continuationSeparator" w:id="0">
    <w:p w14:paraId="5BA32DEA" w14:textId="77777777" w:rsidR="008808AA" w:rsidRDefault="008808AA" w:rsidP="0088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FDCA" w14:textId="55B7EFFD" w:rsidR="008808AA" w:rsidRDefault="008808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8E10" wp14:editId="76138F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39399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7D5E8" w14:textId="7975EA83" w:rsidR="008808AA" w:rsidRPr="008808AA" w:rsidRDefault="008808AA" w:rsidP="008808A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8A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8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C17D5E8" w14:textId="7975EA83" w:rsidR="008808AA" w:rsidRPr="008808AA" w:rsidRDefault="008808AA" w:rsidP="008808A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8A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F48B" w14:textId="2296249F" w:rsidR="008808AA" w:rsidRDefault="008808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079EC2" wp14:editId="6F855DD9">
              <wp:simplePos x="914400" y="943107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49737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78530" w14:textId="1EED8ABC" w:rsidR="008808AA" w:rsidRPr="008808AA" w:rsidRDefault="008808AA" w:rsidP="008808A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8A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9E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AE78530" w14:textId="1EED8ABC" w:rsidR="008808AA" w:rsidRPr="008808AA" w:rsidRDefault="008808AA" w:rsidP="008808A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8A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AA76" w14:textId="6ACB14DE" w:rsidR="008808AA" w:rsidRDefault="008808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EC7C91" wp14:editId="64F521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020085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7407F" w14:textId="4402165D" w:rsidR="008808AA" w:rsidRPr="008808AA" w:rsidRDefault="008808AA" w:rsidP="008808A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8A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C7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1C7407F" w14:textId="4402165D" w:rsidR="008808AA" w:rsidRPr="008808AA" w:rsidRDefault="008808AA" w:rsidP="008808A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8A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42C4" w14:textId="77777777" w:rsidR="008808AA" w:rsidRDefault="008808AA" w:rsidP="008808AA">
      <w:pPr>
        <w:spacing w:after="0" w:line="240" w:lineRule="auto"/>
      </w:pPr>
      <w:r>
        <w:separator/>
      </w:r>
    </w:p>
  </w:footnote>
  <w:footnote w:type="continuationSeparator" w:id="0">
    <w:p w14:paraId="260E7CE2" w14:textId="77777777" w:rsidR="008808AA" w:rsidRDefault="008808AA" w:rsidP="00880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8F"/>
    <w:rsid w:val="00000E25"/>
    <w:rsid w:val="0000568C"/>
    <w:rsid w:val="00071627"/>
    <w:rsid w:val="000856B2"/>
    <w:rsid w:val="000C0CBC"/>
    <w:rsid w:val="00213CE5"/>
    <w:rsid w:val="00280486"/>
    <w:rsid w:val="002D79D5"/>
    <w:rsid w:val="0039667C"/>
    <w:rsid w:val="003F1B83"/>
    <w:rsid w:val="004A51D8"/>
    <w:rsid w:val="004B7D79"/>
    <w:rsid w:val="004C5875"/>
    <w:rsid w:val="004E2232"/>
    <w:rsid w:val="00565681"/>
    <w:rsid w:val="00580B2C"/>
    <w:rsid w:val="005E0435"/>
    <w:rsid w:val="00606340"/>
    <w:rsid w:val="00627907"/>
    <w:rsid w:val="006B2139"/>
    <w:rsid w:val="006F5143"/>
    <w:rsid w:val="00793BF0"/>
    <w:rsid w:val="007E05DE"/>
    <w:rsid w:val="007E50E6"/>
    <w:rsid w:val="0080724B"/>
    <w:rsid w:val="00825B7E"/>
    <w:rsid w:val="008315EF"/>
    <w:rsid w:val="008642BB"/>
    <w:rsid w:val="00876BAE"/>
    <w:rsid w:val="008808AA"/>
    <w:rsid w:val="008B1002"/>
    <w:rsid w:val="008E328F"/>
    <w:rsid w:val="008E4D15"/>
    <w:rsid w:val="00900D79"/>
    <w:rsid w:val="0096678B"/>
    <w:rsid w:val="00AE3696"/>
    <w:rsid w:val="00AF4766"/>
    <w:rsid w:val="00B176A0"/>
    <w:rsid w:val="00B51E00"/>
    <w:rsid w:val="00B82CF0"/>
    <w:rsid w:val="00C014DD"/>
    <w:rsid w:val="00C66429"/>
    <w:rsid w:val="00DA5B08"/>
    <w:rsid w:val="00E13FD6"/>
    <w:rsid w:val="00EC64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5ED9"/>
  <w15:chartTrackingRefBased/>
  <w15:docId w15:val="{8968B36C-9B2F-40BF-A860-24B6E07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90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7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7E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E05DE"/>
  </w:style>
  <w:style w:type="character" w:customStyle="1" w:styleId="eop">
    <w:name w:val="eop"/>
    <w:basedOn w:val="DefaultParagraphFont"/>
    <w:rsid w:val="007E05DE"/>
  </w:style>
  <w:style w:type="character" w:styleId="CommentReference">
    <w:name w:val="annotation reference"/>
    <w:basedOn w:val="DefaultParagraphFont"/>
    <w:uiPriority w:val="99"/>
    <w:semiHidden/>
    <w:unhideWhenUsed/>
    <w:rsid w:val="000C0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D1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80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9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ukhvinder.johal@astrazenec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F4B1D4FB574AA7A0A88885B52493" ma:contentTypeVersion="16" ma:contentTypeDescription="Create a new document." ma:contentTypeScope="" ma:versionID="8e33330b601f41cea3a915a97d55a3a6">
  <xsd:schema xmlns:xsd="http://www.w3.org/2001/XMLSchema" xmlns:xs="http://www.w3.org/2001/XMLSchema" xmlns:p="http://schemas.microsoft.com/office/2006/metadata/properties" xmlns:ns2="3e7cd765-62e4-4e9d-a1ec-50ca4f26f816" xmlns:ns3="cc5a168e-0515-48e5-8d18-aa3ba03c518a" targetNamespace="http://schemas.microsoft.com/office/2006/metadata/properties" ma:root="true" ma:fieldsID="5778ba8a419d0ba188097fca05663743" ns2:_="" ns3:_="">
    <xsd:import namespace="3e7cd765-62e4-4e9d-a1ec-50ca4f26f816"/>
    <xsd:import namespace="cc5a168e-0515-48e5-8d18-aa3ba03c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d765-62e4-4e9d-a1ec-50ca4f26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dca834-c081-4a8d-98be-8b726a065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a168e-0515-48e5-8d18-aa3ba03c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e4427e-7477-4f52-83e8-6d9be086cc7f}" ma:internalName="TaxCatchAll" ma:showField="CatchAllData" ma:web="cc5a168e-0515-48e5-8d18-aa3ba03c5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cd765-62e4-4e9d-a1ec-50ca4f26f816">
      <Terms xmlns="http://schemas.microsoft.com/office/infopath/2007/PartnerControls"/>
    </lcf76f155ced4ddcb4097134ff3c332f>
    <TaxCatchAll xmlns="cc5a168e-0515-48e5-8d18-aa3ba03c518a" xsi:nil="true"/>
  </documentManagement>
</p:properties>
</file>

<file path=customXml/itemProps1.xml><?xml version="1.0" encoding="utf-8"?>
<ds:datastoreItem xmlns:ds="http://schemas.openxmlformats.org/officeDocument/2006/customXml" ds:itemID="{A6482B01-C535-4BFD-8B21-828BE11B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5C61F-6E2E-4F6C-A098-0E475EA71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d765-62e4-4e9d-a1ec-50ca4f26f816"/>
    <ds:schemaRef ds:uri="cc5a168e-0515-48e5-8d18-aa3ba03c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E2C7-2201-4372-9C11-4890CE0B08B4}">
  <ds:schemaRefs>
    <ds:schemaRef ds:uri="http://schemas.microsoft.com/office/2006/metadata/properties"/>
    <ds:schemaRef ds:uri="http://schemas.microsoft.com/office/infopath/2007/PartnerControls"/>
    <ds:schemaRef ds:uri="3e7cd765-62e4-4e9d-a1ec-50ca4f26f816"/>
    <ds:schemaRef ds:uri="cc5a168e-0515-48e5-8d18-aa3ba03c51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RATTANAVONG Brenda</dc:creator>
  <cp:keywords/>
  <dc:description/>
  <cp:lastModifiedBy>Lee, Boon</cp:lastModifiedBy>
  <cp:revision>2</cp:revision>
  <dcterms:created xsi:type="dcterms:W3CDTF">2024-02-14T02:53:00Z</dcterms:created>
  <dcterms:modified xsi:type="dcterms:W3CDTF">2024-02-14T02:53:00Z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0x0101000327F4B1D4FB574AA7A0A88885B52493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35c38ecf,7fbc2f8,338e7398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2024-02-08T21:59:48Z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27e60ab9-50ae-4bd9-a74e-e26e359fe0e3</vt:lpwstr>
  </property>
  <property fmtid="{D5CDD505-2E9C-101B-9397-08002B2CF9AE}" pid="13" name="MSIP_Label_2bbab825-a111-45e4-86a1-18cee0005896_ContentBits">
    <vt:lpwstr>2</vt:lpwstr>
  </property>
</Properties>
</file>